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版本号：241214002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大数据应用创新平台建设项目</w:t>
      </w:r>
    </w:p>
    <w:p>
      <w:pPr>
        <w:pStyle w:val="null3"/>
        <w:jc w:val="center"/>
        <w:outlineLvl w:val="2"/>
      </w:pPr>
      <w:r>
        <w:rPr>
          <w:sz w:val="28"/>
          <w:b/>
        </w:rPr>
        <w:t>采购项目编号：</w:t>
      </w:r>
      <w:r>
        <w:rPr>
          <w:sz w:val="28"/>
          <w:b/>
        </w:rPr>
        <w:t>LZBD2024-1983</w:t>
      </w:r>
      <w:r>
        <w:br/>
      </w:r>
      <w:r>
        <w:br/>
      </w:r>
      <w:r>
        <w:br/>
      </w:r>
    </w:p>
    <w:p>
      <w:pPr>
        <w:pStyle w:val="null3"/>
        <w:jc w:val="center"/>
        <w:outlineLvl w:val="2"/>
      </w:pPr>
      <w:r>
        <w:rPr>
          <w:sz w:val="28"/>
          <w:b/>
        </w:rPr>
        <w:t>陕西工业职业技术学院</w:t>
      </w:r>
    </w:p>
    <w:p>
      <w:pPr>
        <w:pStyle w:val="null3"/>
        <w:jc w:val="center"/>
        <w:outlineLvl w:val="2"/>
      </w:pPr>
      <w:r>
        <w:rPr>
          <w:sz w:val="28"/>
          <w:b/>
        </w:rPr>
        <w:t>龙寰项目管理咨询有限公司</w:t>
      </w:r>
      <w:r>
        <w:rPr>
          <w:sz w:val="28"/>
          <w:b/>
        </w:rPr>
        <w:t>共同编制</w:t>
      </w:r>
    </w:p>
    <w:p>
      <w:pPr>
        <w:pStyle w:val="null3"/>
        <w:jc w:val="center"/>
        <w:outlineLvl w:val="2"/>
      </w:pPr>
      <w:r>
        <w:rPr>
          <w:sz w:val="28"/>
          <w:b/>
        </w:rPr>
        <w:t>2024年12月12日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龙寰项目管理咨询有限公司</w:t>
      </w:r>
      <w:r>
        <w:rPr/>
        <w:t>（以下简称“代理机构”）受</w:t>
      </w:r>
      <w:r>
        <w:rPr/>
        <w:t>陕西工业职业技术学院</w:t>
      </w:r>
      <w:r>
        <w:rPr/>
        <w:t>委托，拟对</w:t>
      </w:r>
      <w:r>
        <w:rPr/>
        <w:t>大数据应用创新平台建设项目</w:t>
      </w:r>
      <w:r>
        <w:rPr/>
        <w:t>进行国内公开招标，兹邀请符合本次招标要求的供应商参加投标。</w:t>
      </w:r>
    </w:p>
    <w:p>
      <w:pPr>
        <w:pStyle w:val="null3"/>
        <w:outlineLvl w:val="2"/>
      </w:pPr>
      <w:r>
        <w:rPr>
          <w:sz w:val="28"/>
          <w:b/>
        </w:rPr>
        <w:t>一、采购项目编号：</w:t>
      </w:r>
      <w:r>
        <w:rPr>
          <w:sz w:val="28"/>
          <w:b/>
        </w:rPr>
        <w:t>LZBD2024-1983</w:t>
      </w:r>
    </w:p>
    <w:p>
      <w:pPr>
        <w:pStyle w:val="null3"/>
        <w:outlineLvl w:val="2"/>
      </w:pPr>
      <w:r>
        <w:rPr>
          <w:sz w:val="28"/>
          <w:b/>
        </w:rPr>
        <w:t>二、采购项目名称：</w:t>
      </w:r>
      <w:r>
        <w:rPr>
          <w:sz w:val="28"/>
          <w:b/>
        </w:rPr>
        <w:t>大数据应用创新平台建设项目</w:t>
      </w:r>
    </w:p>
    <w:p>
      <w:pPr>
        <w:pStyle w:val="null3"/>
        <w:outlineLvl w:val="2"/>
      </w:pPr>
      <w:r>
        <w:rPr>
          <w:sz w:val="28"/>
          <w:b/>
        </w:rPr>
        <w:t>三、招标项目简介</w:t>
      </w:r>
    </w:p>
    <w:p>
      <w:pPr>
        <w:pStyle w:val="null3"/>
        <w:ind w:firstLine="480"/>
      </w:pPr>
      <w:r>
        <w:rPr/>
        <w:t>陕西工业职业技术学院大数据应用创新平台建设项目，详见招标文件技术要求。</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t>采购包2：</w:t>
      </w:r>
    </w:p>
    <w:p>
      <w:pPr>
        <w:pStyle w:val="null3"/>
      </w:pPr>
      <w:r>
        <w:rPr/>
        <w:t>1、法人或者其他组织的营业执照等证明文件，自然人的身份证明：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p>
      <w:pPr>
        <w:pStyle w:val="null3"/>
      </w:pPr>
      <w:r>
        <w:rPr/>
        <w:t>2、企业信用：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p>
      <w:pPr>
        <w:pStyle w:val="null3"/>
      </w:pPr>
      <w:r>
        <w:rPr/>
        <w:t>3、控股关系：单位负责人为同一人或者存在直接控股、管理关系的不同供应商不得参加同一合同项下的政府采购活动；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陕西工业职业技术学院</w:t>
      </w:r>
    </w:p>
    <w:p>
      <w:pPr>
        <w:pStyle w:val="null3"/>
      </w:pPr>
      <w:r>
        <w:rPr/>
        <w:t xml:space="preserve"> 地址： </w:t>
      </w:r>
      <w:r>
        <w:rPr/>
        <w:t>陕西省咸阳市渭城区文汇西路12号</w:t>
      </w:r>
    </w:p>
    <w:p>
      <w:pPr>
        <w:pStyle w:val="null3"/>
      </w:pPr>
      <w:r>
        <w:rPr/>
        <w:t xml:space="preserve"> 邮编： </w:t>
      </w:r>
      <w:r>
        <w:rPr/>
        <w:t>712000</w:t>
      </w:r>
    </w:p>
    <w:p>
      <w:pPr>
        <w:pStyle w:val="null3"/>
      </w:pPr>
      <w:r>
        <w:rPr/>
        <w:t xml:space="preserve"> 联系人： </w:t>
      </w:r>
      <w:r>
        <w:rPr/>
        <w:t>陕西工业职业技术学院王老师</w:t>
      </w:r>
    </w:p>
    <w:p>
      <w:pPr>
        <w:pStyle w:val="null3"/>
      </w:pPr>
      <w:r>
        <w:rPr/>
        <w:t xml:space="preserve"> 联系电话： </w:t>
      </w:r>
      <w:r>
        <w:rPr/>
        <w:t>029-33152066</w:t>
      </w:r>
    </w:p>
    <w:p>
      <w:pPr>
        <w:pStyle w:val="null3"/>
        <w:outlineLvl w:val="2"/>
      </w:pPr>
      <w:r>
        <w:rPr>
          <w:sz w:val="28"/>
          <w:b/>
        </w:rPr>
        <w:t>代理机构：</w:t>
      </w:r>
      <w:r>
        <w:rPr>
          <w:sz w:val="28"/>
          <w:b/>
        </w:rPr>
        <w:t>龙寰项目管理咨询有限公司</w:t>
      </w:r>
    </w:p>
    <w:p>
      <w:pPr>
        <w:pStyle w:val="null3"/>
      </w:pPr>
      <w:r>
        <w:rPr/>
        <w:t xml:space="preserve"> 地址： </w:t>
      </w:r>
      <w:r>
        <w:rPr/>
        <w:t>西安市雁塔区太白南路181号西部电子社区A座A区501室</w:t>
      </w:r>
    </w:p>
    <w:p>
      <w:pPr>
        <w:pStyle w:val="null3"/>
      </w:pPr>
      <w:r>
        <w:rPr/>
        <w:t xml:space="preserve"> 邮编： </w:t>
      </w:r>
      <w:r>
        <w:rPr/>
        <w:t>710000</w:t>
      </w:r>
    </w:p>
    <w:p>
      <w:pPr>
        <w:pStyle w:val="null3"/>
      </w:pPr>
      <w:r>
        <w:rPr/>
        <w:t xml:space="preserve"> 联系人： </w:t>
      </w:r>
      <w:r>
        <w:rPr/>
        <w:t>徐小宁、郑蕊、张波</w:t>
      </w:r>
    </w:p>
    <w:p>
      <w:pPr>
        <w:pStyle w:val="null3"/>
      </w:pPr>
      <w:r>
        <w:rPr/>
        <w:t xml:space="preserve"> 联系电话： </w:t>
      </w:r>
      <w:r>
        <w:rPr/>
        <w:t>029-88228899-643</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采购包1：4,500,000.00元</w:t>
            </w:r>
          </w:p>
          <w:p>
            <w:pPr>
              <w:pStyle w:val="null3"/>
            </w:pPr>
            <w:r>
              <w:rPr/>
              <w:t>采购包2：4,070,000.00元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p>
            <w:pPr>
              <w:pStyle w:val="null3"/>
            </w:pPr>
            <w:r>
              <w:rPr/>
              <w:t>采购包2：缴纳</w:t>
            </w:r>
          </w:p>
          <w:p>
            <w:pPr>
              <w:pStyle w:val="null3"/>
            </w:pPr>
            <w:r>
              <w:rPr/>
              <w:t>本采购包履约保证金为合同金额的5.0%</w:t>
            </w:r>
          </w:p>
          <w:p>
            <w:pPr>
              <w:pStyle w:val="null3"/>
            </w:pPr>
            <w:r>
              <w:rPr/>
              <w:t>说明：中标/成交通知书发出之日起 5 日内乙方以转账方式向甲方指定账户支付合同款的 5 %作为履约保证金，经甲方最终书面验收合格后，乙方向甲方申请全额无息退还。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参照国家发展计划委员会《招标代理服务收费管理暂行办法》（计价格[2002]1980号）文件和《国家发展改革委办公厅关于招标代理服务收费有关问题的通知》（发改办价格[2003]857号）文件规定标准收取。2、缴费账户：开户名称：龙寰项目管理咨询有限公司，开户银行：平安银行西安高新路支行，账号：30201278015927。</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陕西工业职业技术学院</w:t>
      </w:r>
      <w:r>
        <w:rPr/>
        <w:t>和</w:t>
      </w:r>
      <w:r>
        <w:rPr/>
        <w:t>龙寰项目管理咨询有限公司</w:t>
      </w:r>
      <w:r>
        <w:rPr/>
        <w:t>享有。对招标文件中供应商参加本次政府采购活动应当具备的条件，招标项目技术、服务、商务及其他要求，评标细则及标准由</w:t>
      </w:r>
      <w:r>
        <w:rPr/>
        <w:t>陕西工业职业技术学院</w:t>
      </w:r>
      <w:r>
        <w:rPr/>
        <w:t>负责解释。除上述招标文件内容，其他内容由</w:t>
      </w:r>
      <w:r>
        <w:rPr/>
        <w:t>龙寰项目管理咨询有限公司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陕西工业职业技术学院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龙寰项目管理咨询有限公司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详见合同条款</w:t>
      </w:r>
    </w:p>
    <w:p>
      <w:pPr>
        <w:pStyle w:val="null3"/>
      </w:pPr>
      <w:r>
        <w:rPr/>
        <w:t>采购包2：</w:t>
      </w:r>
    </w:p>
    <w:p>
      <w:pPr>
        <w:pStyle w:val="null3"/>
      </w:pPr>
      <w:r>
        <w:rPr/>
        <w:t>详见合同条款</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龙寰项目管理咨询有限公司</w:t>
      </w:r>
      <w:r>
        <w:rPr/>
        <w:t xml:space="preserve"> 负责答复；供应商对除采购需求外的采购文件的询问、质疑由</w:t>
      </w:r>
      <w:r>
        <w:rPr/>
        <w:t>龙寰项目管理咨询有限公司</w:t>
      </w:r>
      <w:r>
        <w:rPr/>
        <w:t xml:space="preserve"> 负责答复；供应商对采购过程、采购结果的询问、质疑由 </w:t>
      </w:r>
      <w:r>
        <w:rPr/>
        <w:t>龙寰项目管理咨询有限公司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联系人：徐小宁、郑蕊</w:t>
      </w:r>
    </w:p>
    <w:p>
      <w:pPr>
        <w:pStyle w:val="null3"/>
      </w:pPr>
      <w:r>
        <w:rPr/>
        <w:t>联系电话：029-88228899-643</w:t>
      </w:r>
    </w:p>
    <w:p>
      <w:pPr>
        <w:pStyle w:val="null3"/>
      </w:pPr>
      <w:r>
        <w:rPr/>
        <w:t>地址：西安市雁塔区太白南路181号西部电子社区A座A区501室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陕西工业职业技术学院大数据应用创新平台建设项目，详见招标文件技术要求。</w:t>
      </w:r>
    </w:p>
    <w:p>
      <w:pPr>
        <w:pStyle w:val="null3"/>
        <w:outlineLvl w:val="2"/>
      </w:pPr>
      <w:r>
        <w:rPr>
          <w:sz w:val="28"/>
          <w:b/>
        </w:rPr>
        <w:t>3.2采购内容</w:t>
      </w:r>
    </w:p>
    <w:p>
      <w:pPr>
        <w:pStyle w:val="null3"/>
      </w:pPr>
      <w:r>
        <w:rPr/>
        <w:t>采购包1：</w:t>
      </w:r>
    </w:p>
    <w:p>
      <w:pPr>
        <w:pStyle w:val="null3"/>
      </w:pPr>
      <w:r>
        <w:rPr/>
        <w:t>采购包预算金额（元）: 4,500,000.00</w:t>
      </w:r>
    </w:p>
    <w:p>
      <w:pPr>
        <w:pStyle w:val="null3"/>
      </w:pPr>
      <w:r>
        <w:rPr/>
        <w:t>采购包最高限价（元）: 4,500,000.00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大数据智慧实验应用创新平台</w:t>
            </w:r>
          </w:p>
        </w:tc>
        <w:tc>
          <w:tcPr>
            <w:tcW w:type="dxa" w:w="831"/>
          </w:tcPr>
          <w:p>
            <w:pPr>
              <w:pStyle w:val="null3"/>
              <w:jc w:val="right"/>
            </w:pPr>
            <w:r>
              <w:rPr/>
              <w:t>1.00</w:t>
            </w:r>
          </w:p>
        </w:tc>
        <w:tc>
          <w:tcPr>
            <w:tcW w:type="dxa" w:w="831"/>
          </w:tcPr>
          <w:p>
            <w:pPr>
              <w:pStyle w:val="null3"/>
              <w:jc w:val="right"/>
            </w:pPr>
            <w:r>
              <w:rPr/>
              <w:t>4,500,000.00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4,070,000.00</w:t>
      </w:r>
    </w:p>
    <w:p>
      <w:pPr>
        <w:pStyle w:val="null3"/>
      </w:pPr>
      <w:r>
        <w:rPr/>
        <w:t>采购包最高限价（元）: 4,070,000.00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大数据综合治理应用创新平台</w:t>
            </w:r>
          </w:p>
        </w:tc>
        <w:tc>
          <w:tcPr>
            <w:tcW w:type="dxa" w:w="831"/>
          </w:tcPr>
          <w:p>
            <w:pPr>
              <w:pStyle w:val="null3"/>
              <w:jc w:val="right"/>
            </w:pPr>
            <w:r>
              <w:rPr/>
              <w:t>1.00</w:t>
            </w:r>
          </w:p>
        </w:tc>
        <w:tc>
          <w:tcPr>
            <w:tcW w:type="dxa" w:w="831"/>
          </w:tcPr>
          <w:p>
            <w:pPr>
              <w:pStyle w:val="null3"/>
              <w:jc w:val="right"/>
            </w:pPr>
            <w:r>
              <w:rPr/>
              <w:t>4,070,000.00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标的名称：大数据智慧实验应用创新平台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0"/>
              <w:gridCol w:w="226"/>
              <w:gridCol w:w="254"/>
              <w:gridCol w:w="1603"/>
              <w:gridCol w:w="16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产品类型</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单位</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分包</w:t>
                  </w:r>
                </w:p>
              </w:tc>
              <w:tc>
                <w:tcPr>
                  <w:tcW w:type="dxa" w:w="1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参数</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宋体" w:hAnsi="宋体" w:cs="宋体" w:eastAsia="宋体"/>
                      <w:sz w:val="18"/>
                    </w:rPr>
                    <w:t>数量</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实验室管理平台</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color w:val="333333"/>
                      <w:shd w:fill="FFFFFF" w:val="clear"/>
                    </w:rPr>
                    <w:t>大数据应用创新平台建设项目</w:t>
                  </w:r>
                  <w:r>
                    <w:rPr>
                      <w:rFonts w:ascii="宋体" w:hAnsi="宋体" w:cs="宋体" w:eastAsia="宋体"/>
                      <w:sz w:val="18"/>
                    </w:rPr>
                    <w:t>（第一包</w:t>
                  </w:r>
                  <w:r>
                    <w:rPr>
                      <w:rFonts w:ascii="宋体" w:hAnsi="宋体" w:cs="宋体" w:eastAsia="宋体"/>
                      <w:sz w:val="18"/>
                    </w:rPr>
                    <w:t>:大数据智慧实验应用创新平台）</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1）实验管理资源节点4个，单节点配置：</w:t>
                  </w:r>
                  <w:r>
                    <w:br/>
                  </w:r>
                  <w:r>
                    <w:rPr>
                      <w:rFonts w:ascii="宋体" w:hAnsi="宋体" w:cs="宋体" w:eastAsia="宋体"/>
                      <w:sz w:val="18"/>
                    </w:rPr>
                    <w:t>2）配置≥2颗国产高性能处理器，国产处理器通过中国信息安全测评中心发布的安全可靠测评，单颗处理器基础主频≥2.6GHZ，单处理器≥48物理核；</w:t>
                  </w:r>
                  <w:r>
                    <w:br/>
                  </w:r>
                  <w:r>
                    <w:rPr>
                      <w:rFonts w:ascii="宋体" w:hAnsi="宋体" w:cs="宋体" w:eastAsia="宋体"/>
                      <w:sz w:val="18"/>
                    </w:rPr>
                    <w:t>3）配置≥16*32GB 3200MHz RDIMM DDR4 内存；</w:t>
                  </w:r>
                  <w:r>
                    <w:br/>
                  </w:r>
                  <w:r>
                    <w:rPr>
                      <w:rFonts w:ascii="宋体" w:hAnsi="宋体" w:cs="宋体" w:eastAsia="宋体"/>
                      <w:sz w:val="18"/>
                    </w:rPr>
                    <w:t>4）配置≥2*960GB SSD硬盘；</w:t>
                  </w:r>
                  <w:r>
                    <w:br/>
                  </w:r>
                  <w:r>
                    <w:rPr>
                      <w:rFonts w:ascii="宋体" w:hAnsi="宋体" w:cs="宋体" w:eastAsia="宋体"/>
                      <w:sz w:val="18"/>
                    </w:rPr>
                    <w:t>5）配置≥4个千兆电口，≥4个25GE光口（含10GE光模块）；</w:t>
                  </w:r>
                  <w:r>
                    <w:br/>
                  </w:r>
                  <w:r>
                    <w:rPr>
                      <w:rFonts w:ascii="宋体" w:hAnsi="宋体" w:cs="宋体" w:eastAsia="宋体"/>
                      <w:sz w:val="18"/>
                    </w:rPr>
                    <w:t>6）配置≥1块独立阵列卡，≥2GB缓存，支持RAID 0,1,10，5等；</w:t>
                  </w:r>
                  <w:r>
                    <w:br/>
                  </w:r>
                  <w:r>
                    <w:rPr>
                      <w:rFonts w:ascii="宋体" w:hAnsi="宋体" w:cs="宋体" w:eastAsia="宋体"/>
                      <w:sz w:val="18"/>
                    </w:rPr>
                    <w:t>7）配置≥2*900W冗余交流电源；</w:t>
                  </w:r>
                  <w:r>
                    <w:br/>
                  </w:r>
                  <w:r>
                    <w:rPr>
                      <w:rFonts w:ascii="宋体" w:hAnsi="宋体" w:cs="宋体" w:eastAsia="宋体"/>
                      <w:sz w:val="18"/>
                    </w:rPr>
                    <w:t>8）配置独立的远程管理控制端口，支持远程监控图形界面, 可实现与操作系统无关的远程对设备的完全控制，包括远程的开机、关机、重启、虚拟软驱、虚拟光驱等操作；</w:t>
                  </w:r>
                  <w:r>
                    <w:br/>
                  </w:r>
                  <w:r>
                    <w:rPr>
                      <w:rFonts w:ascii="宋体" w:hAnsi="宋体" w:cs="宋体" w:eastAsia="宋体"/>
                      <w:sz w:val="18"/>
                    </w:rPr>
                    <w:t>9）管理系统配置国产管理芯片，提供相关证明材料，包括但不限于官网链接、彩页、第三方检测报告等证明材料；</w:t>
                  </w:r>
                </w:p>
                <w:p>
                  <w:pPr>
                    <w:pStyle w:val="null3"/>
                    <w:ind w:left="165"/>
                    <w:jc w:val="both"/>
                  </w:pPr>
                  <w:r>
                    <w:rPr>
                      <w:rFonts w:ascii="宋体" w:hAnsi="宋体" w:cs="宋体" w:eastAsia="宋体"/>
                      <w:sz w:val="18"/>
                    </w:rPr>
                    <w:t>10）提供与机房现有同规格超六类非屏蔽跳线，长度≥3米，线径≥24AWG，传输带宽：≥500MHz，符合TIA/EIA-568C.2、ISO11801 2nd、EN50173标准，数量≥1500条。</w:t>
                  </w:r>
                  <w:r>
                    <w:br/>
                  </w:r>
                  <w:r>
                    <w:rPr>
                      <w:rFonts w:ascii="宋体" w:hAnsi="宋体" w:cs="宋体" w:eastAsia="宋体"/>
                      <w:sz w:val="18"/>
                    </w:rPr>
                    <w:t>11）实验室信息管理模块：包含实验室基础信息、人员、账户、仪器设备、角色与权限管理等软件模块的所有基础数据，为智慧实验室建设提供多级管理框架。</w:t>
                  </w:r>
                  <w:r>
                    <w:br/>
                  </w:r>
                  <w:r>
                    <w:rPr>
                      <w:rFonts w:ascii="宋体" w:hAnsi="宋体" w:cs="宋体" w:eastAsia="宋体"/>
                      <w:sz w:val="18"/>
                    </w:rPr>
                    <w:t>实验室环境安全管理：智能化监测：对实验室基础环境及多种有害气体进行智能监测，对实验室的视频画面实现实时监控等。智能化控制：根据实验环境要求不同，远程控制空调温度，新风，灯光等智能设备。智能危险识别：基于</w:t>
                  </w:r>
                  <w:r>
                    <w:rPr>
                      <w:rFonts w:ascii="宋体" w:hAnsi="宋体" w:cs="宋体" w:eastAsia="宋体"/>
                      <w:sz w:val="18"/>
                    </w:rPr>
                    <w:t>AI智能识别模型，对实验室的人、物、行为异常事件，准确识别及时预警。</w:t>
                  </w:r>
                  <w:r>
                    <w:br/>
                  </w:r>
                  <w:r>
                    <w:rPr>
                      <w:rFonts w:ascii="宋体" w:hAnsi="宋体" w:cs="宋体" w:eastAsia="宋体"/>
                      <w:sz w:val="18"/>
                    </w:rPr>
                    <w:t>12）实验室应急响应管理：实验室应急响应根据处置模版的设置，依照风险等级对通知对象进行具体划分，并联动广播，新风系统，危险区域门禁失效等措施进行紧急疏散；可通过短信，平台信息，警铃的方式实现通知推送；</w:t>
                  </w:r>
                  <w:r>
                    <w:br/>
                  </w:r>
                  <w:r>
                    <w:rPr>
                      <w:rFonts w:ascii="宋体" w:hAnsi="宋体" w:cs="宋体" w:eastAsia="宋体"/>
                      <w:sz w:val="18"/>
                    </w:rPr>
                    <w:t>实验室电子门牌管理：系统支持动态实时显示实验室名称、所属单位、安全负责人、紧急联系人、分类分级、风险点、危险源清单、安全防护要点等信息等；</w:t>
                  </w:r>
                  <w:r>
                    <w:br/>
                  </w:r>
                  <w:r>
                    <w:rPr>
                      <w:rFonts w:ascii="宋体" w:hAnsi="宋体" w:cs="宋体" w:eastAsia="宋体"/>
                      <w:sz w:val="18"/>
                    </w:rPr>
                    <w:t>安全检查：用户可在手机端上发起安全检查任务（实验室自查、定期检查等），通过现场执行检查。</w:t>
                  </w:r>
                </w:p>
                <w:p>
                  <w:pPr>
                    <w:pStyle w:val="null3"/>
                    <w:ind w:left="165"/>
                    <w:jc w:val="both"/>
                  </w:pPr>
                  <w:r>
                    <w:rPr>
                      <w:rFonts w:ascii="宋体" w:hAnsi="宋体" w:cs="宋体" w:eastAsia="宋体"/>
                      <w:sz w:val="18"/>
                    </w:rPr>
                    <w:t>13）物联设备接入级通用型网关，支持容器技术、APP应用监控管理，多重防护，支持物联网协议栈组件管理、协议栈动态热插拨和自适配。CPU≥8核，主频≥2.3GHz；内存≥4GB；GE电口≥2；RS485/RS232复用口≥3；支持PLC 通信，支持HPLC 标准，支持IPv6，支持DTLS,-20~+50度工作温度，无风扇，双电源冗余；支持CLI、SSH v2、支持本地和远程固件升级；支持二次开发，支持CLI、SSH v2、支持本地和远程固件升级工作温度-40 ℃~+80 ℃，支持搭载国密安全芯片。</w:t>
                  </w:r>
                  <w:r>
                    <w:br/>
                  </w:r>
                  <w:r>
                    <w:rPr>
                      <w:rFonts w:ascii="宋体" w:hAnsi="宋体" w:cs="宋体" w:eastAsia="宋体"/>
                      <w:sz w:val="18"/>
                    </w:rPr>
                    <w:t>室内摄像头</w:t>
                  </w:r>
                  <w:r>
                    <w:rPr>
                      <w:rFonts w:ascii="宋体" w:hAnsi="宋体" w:cs="宋体" w:eastAsia="宋体"/>
                      <w:sz w:val="18"/>
                    </w:rPr>
                    <w:t xml:space="preserve">1.内置1个CPU、GPU、NPU—体化AI芯片；2.传感器靶面≥1/2.7""，支持电动变焦，2.8-12mm，传感器分辨率≥2880×1620；3.最低照度，彩色：≤0.005lux，黑白：≤0.0025lux；4.内置补光灯，红外补光距离≥50m；5.具有智能编码功能，可根据AI算法降低视频码率，在相对稳定的场景下图像质量基本不降低，开启智能编码功能后码率节约约60%~90%，H.264/H.265编码均支持；6.支持下面3种算法切换运行：1）人脸卡口模式：支持人脸和人体的关联抓拍，并支持人脸、人体的属性识别、人流量统计和人脸比对功能2）行为分析模式：支持人群密度统计、排队长度检测和人流量统计功能；支持快速移动，越线检测，区域入侵，进入/离开区域，徘徊检测，人员聚集，电瓶车检测报警3）车辆抓拍模式：支持车辆、非机动车、人体的同时抓拍，并支持车辆、非机动车、人体的属性识别，支持违章检测和交通信息采集，支持车牌识别；7支持GB/T28181、GA/T1400和Onvif协议，确保兼容性；8.支持人脸、人体抓拍，行为分析；9供电方式：DC12V、POE；10.防护等级：IP67 </w:t>
                  </w:r>
                  <w:r>
                    <w:br/>
                  </w:r>
                  <w:r>
                    <w:rPr>
                      <w:rFonts w:ascii="宋体" w:hAnsi="宋体" w:cs="宋体" w:eastAsia="宋体"/>
                      <w:sz w:val="18"/>
                    </w:rPr>
                    <w:t>室内半球</w:t>
                  </w:r>
                  <w:r>
                    <w:rPr>
                      <w:rFonts w:ascii="宋体" w:hAnsi="宋体" w:cs="宋体" w:eastAsia="宋体"/>
                      <w:sz w:val="18"/>
                    </w:rPr>
                    <w:t>:1.内置1个CPU、GPU、NPU—体化AI芯片；2.传感器靶面≥1/2.7"，传感器分辨率≥2560×1920，最低照度，彩色：≤0.005Lux，黑白：≤0.0025lux，镜头焦距有2.8mm、3.6mm可选；3.内置补光灯，支持白光、红外混合补光，红外补光距离≥30m，白光补光距离≥20m；4.支持H.265/H.264/MJPEG编码格式；5.支持GB/T28181、GA/T1400和Onvif协议，确保兼容性；6.支持下面2种多算法切换运行.（1）、人脸抓拍模式（2）、行为分析模式；7.支持对经过监控画面中的行人进行(自上而下，自下而上)的人流量统计，支持双向通行的人数统计，准确率:&gt;99%，支持报表统计，支持日报表、周报表、月报表、年报表；8.具内置双Mic，内置扬声器，2路报警输入，1路报警输出、1个MicroSD卡插槽；9.供电方式：DC12V、POE；10.防护等级：IP67。RS485-温度、湿度、二氧化碳、甲醛、TVOC、PM2.5、噪声、光照度、烟雾</w:t>
                  </w:r>
                </w:p>
                <w:p>
                  <w:pPr>
                    <w:pStyle w:val="null3"/>
                    <w:ind w:left="165"/>
                    <w:jc w:val="both"/>
                  </w:pPr>
                  <w:r>
                    <w:rPr>
                      <w:rFonts w:ascii="宋体" w:hAnsi="宋体" w:cs="宋体" w:eastAsia="宋体"/>
                      <w:sz w:val="18"/>
                    </w:rPr>
                    <w:t>14）提供三年原厂维保服务</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生产存储</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color w:val="333333"/>
                      <w:shd w:fill="FFFFFF" w:val="clear"/>
                    </w:rPr>
                    <w:t>大数据应用创新平台建设项目</w:t>
                  </w:r>
                  <w:r>
                    <w:rPr>
                      <w:rFonts w:ascii="宋体" w:hAnsi="宋体" w:cs="宋体" w:eastAsia="宋体"/>
                      <w:sz w:val="18"/>
                    </w:rPr>
                    <w:t>（第一包</w:t>
                  </w:r>
                  <w:r>
                    <w:rPr>
                      <w:rFonts w:ascii="宋体" w:hAnsi="宋体" w:cs="宋体" w:eastAsia="宋体"/>
                      <w:sz w:val="18"/>
                    </w:rPr>
                    <w:t>:大数据智慧实验应用创新平台）</w:t>
                  </w:r>
                </w:p>
              </w:tc>
              <w:tc>
                <w:tcPr>
                  <w:tcW w:type="dxa" w:w="1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18"/>
                    </w:rPr>
                    <w:t>1）</w:t>
                  </w:r>
                  <w:r>
                    <w:rPr>
                      <w:rFonts w:ascii="宋体" w:hAnsi="宋体" w:cs="宋体" w:eastAsia="宋体"/>
                      <w:sz w:val="18"/>
                    </w:rPr>
                    <w:t>控制器：配置</w:t>
                  </w:r>
                  <w:r>
                    <w:rPr>
                      <w:rFonts w:ascii="宋体" w:hAnsi="宋体" w:cs="宋体" w:eastAsia="宋体"/>
                      <w:sz w:val="18"/>
                    </w:rPr>
                    <w:t>≥2控制器，控制器采用多核处理器，控制器总物理核心数≥96，单处理器主频率≥2.5GHz，提供相关证明材料，包括但不限于官网链接、彩页、第三方检测报告等证明材料。</w:t>
                  </w:r>
                </w:p>
                <w:p>
                  <w:pPr>
                    <w:pStyle w:val="null3"/>
                  </w:pPr>
                  <w:r>
                    <w:rPr>
                      <w:rFonts w:ascii="宋体" w:hAnsi="宋体" w:cs="宋体" w:eastAsia="宋体"/>
                      <w:sz w:val="18"/>
                    </w:rPr>
                    <w:t>2）</w:t>
                  </w:r>
                  <w:r>
                    <w:rPr>
                      <w:rFonts w:ascii="宋体" w:hAnsi="宋体" w:cs="宋体" w:eastAsia="宋体"/>
                      <w:sz w:val="18"/>
                    </w:rPr>
                    <w:t>租户：存储系统配置</w:t>
                  </w:r>
                  <w:r>
                    <w:rPr>
                      <w:rFonts w:ascii="宋体" w:hAnsi="宋体" w:cs="宋体" w:eastAsia="宋体"/>
                      <w:sz w:val="18"/>
                    </w:rPr>
                    <w:t>SAN和NAS的多租户功能，多租户功能能够提供存储资源、网络和业务的隔离，客户端通过租户数据逻辑端口只能访问该租户内的共享，并且支持租户自管理。</w:t>
                  </w:r>
                </w:p>
                <w:p>
                  <w:pPr>
                    <w:pStyle w:val="null3"/>
                  </w:pPr>
                  <w:r>
                    <w:rPr>
                      <w:rFonts w:ascii="宋体" w:hAnsi="宋体" w:cs="宋体" w:eastAsia="宋体"/>
                      <w:sz w:val="18"/>
                    </w:rPr>
                    <w:t>3）</w:t>
                  </w:r>
                  <w:r>
                    <w:rPr>
                      <w:rFonts w:ascii="宋体" w:hAnsi="宋体" w:cs="宋体" w:eastAsia="宋体"/>
                      <w:sz w:val="18"/>
                    </w:rPr>
                    <w:t>CPU指令集：存储 CPU 的指令集，采用RISC 精简指令集</w:t>
                  </w:r>
                </w:p>
                <w:p>
                  <w:pPr>
                    <w:pStyle w:val="null3"/>
                  </w:pPr>
                  <w:r>
                    <w:rPr>
                      <w:rFonts w:ascii="宋体" w:hAnsi="宋体" w:cs="宋体" w:eastAsia="宋体"/>
                      <w:sz w:val="18"/>
                    </w:rPr>
                    <w:t>4）</w:t>
                  </w:r>
                  <w:r>
                    <w:rPr>
                      <w:rFonts w:ascii="宋体" w:hAnsi="宋体" w:cs="宋体" w:eastAsia="宋体"/>
                      <w:sz w:val="18"/>
                    </w:rPr>
                    <w:t>部件要求：本次投标产品不能包含或使用任何美光部件（内存条、硬盘、芯片、传感器等）</w:t>
                  </w:r>
                </w:p>
                <w:p>
                  <w:pPr>
                    <w:pStyle w:val="null3"/>
                  </w:pPr>
                  <w:r>
                    <w:rPr>
                      <w:rFonts w:ascii="宋体" w:hAnsi="宋体" w:cs="宋体" w:eastAsia="宋体"/>
                      <w:sz w:val="18"/>
                    </w:rPr>
                    <w:t>5）</w:t>
                  </w:r>
                  <w:r>
                    <w:rPr>
                      <w:rFonts w:ascii="宋体" w:hAnsi="宋体" w:cs="宋体" w:eastAsia="宋体"/>
                      <w:sz w:val="18"/>
                    </w:rPr>
                    <w:t>存储缓存：存储系统内总一级缓存容量配置</w:t>
                  </w:r>
                  <w:r>
                    <w:rPr>
                      <w:rFonts w:ascii="宋体" w:hAnsi="宋体" w:cs="宋体" w:eastAsia="宋体"/>
                      <w:sz w:val="18"/>
                    </w:rPr>
                    <w:t>≥384GB，且任意控制器一级缓存容量≥192GB（不含任何性能加速模块、FlashCache、PAM卡，SSD Cache、SCM等）；</w:t>
                  </w:r>
                </w:p>
                <w:p>
                  <w:pPr>
                    <w:pStyle w:val="null3"/>
                  </w:pPr>
                  <w:r>
                    <w:rPr>
                      <w:rFonts w:ascii="宋体" w:hAnsi="宋体" w:cs="宋体" w:eastAsia="宋体"/>
                      <w:sz w:val="18"/>
                    </w:rPr>
                    <w:t>6）</w:t>
                  </w:r>
                  <w:r>
                    <w:rPr>
                      <w:rFonts w:ascii="宋体" w:hAnsi="宋体" w:cs="宋体" w:eastAsia="宋体"/>
                      <w:sz w:val="18"/>
                    </w:rPr>
                    <w:t>硬盘和接口配置：配置</w:t>
                  </w:r>
                  <w:r>
                    <w:rPr>
                      <w:rFonts w:ascii="宋体" w:hAnsi="宋体" w:cs="宋体" w:eastAsia="宋体"/>
                      <w:sz w:val="18"/>
                    </w:rPr>
                    <w:t>≥25*1.92TB NVMe SSD 硬盘，配置≥35块10TB 7.2K NL-SAS硬盘；配置≥8*10GE 光口（含光模块）；≥8个16G FC口；</w:t>
                  </w:r>
                </w:p>
                <w:p>
                  <w:pPr>
                    <w:pStyle w:val="null3"/>
                  </w:pPr>
                  <w:r>
                    <w:rPr>
                      <w:rFonts w:ascii="宋体" w:hAnsi="宋体" w:cs="宋体" w:eastAsia="宋体"/>
                      <w:sz w:val="18"/>
                    </w:rPr>
                    <w:t>7）</w:t>
                  </w:r>
                  <w:r>
                    <w:rPr>
                      <w:rFonts w:ascii="宋体" w:hAnsi="宋体" w:cs="宋体" w:eastAsia="宋体"/>
                      <w:sz w:val="18"/>
                    </w:rPr>
                    <w:t>增值特性：配置</w:t>
                  </w:r>
                  <w:r>
                    <w:rPr>
                      <w:rFonts w:ascii="宋体" w:hAnsi="宋体" w:cs="宋体" w:eastAsia="宋体"/>
                      <w:sz w:val="18"/>
                    </w:rPr>
                    <w:t>SAN和NAS一体免网关双活、远程复制、智能缓存、QoS、克隆、WORM、快照、CDP等功能。</w:t>
                  </w:r>
                </w:p>
                <w:p>
                  <w:pPr>
                    <w:pStyle w:val="null3"/>
                  </w:pPr>
                  <w:r>
                    <w:rPr>
                      <w:rFonts w:ascii="宋体" w:hAnsi="宋体" w:cs="宋体" w:eastAsia="宋体"/>
                      <w:sz w:val="18"/>
                    </w:rPr>
                    <w:t>8）</w:t>
                  </w:r>
                  <w:r>
                    <w:rPr>
                      <w:rFonts w:ascii="宋体" w:hAnsi="宋体" w:cs="宋体" w:eastAsia="宋体"/>
                      <w:sz w:val="18"/>
                    </w:rPr>
                    <w:t>存储多路径：产品厂商自研的多路径软件，支持链路的负载均衡，支持路径故障自动切换与回切，支持链路检测和隔离，支持主机链路告警在存储界面统一管理，提供相关证明材料，包括但不限于官网链接、彩页、第三方检测报告等证明材料。</w:t>
                  </w:r>
                </w:p>
                <w:p>
                  <w:pPr>
                    <w:pStyle w:val="null3"/>
                  </w:pPr>
                  <w:r>
                    <w:rPr>
                      <w:rFonts w:ascii="宋体" w:hAnsi="宋体" w:cs="宋体" w:eastAsia="宋体"/>
                      <w:sz w:val="18"/>
                    </w:rPr>
                    <w:t>9）</w:t>
                  </w:r>
                  <w:r>
                    <w:rPr>
                      <w:rFonts w:ascii="宋体" w:hAnsi="宋体" w:cs="宋体" w:eastAsia="宋体"/>
                      <w:sz w:val="18"/>
                    </w:rPr>
                    <w:t>异构虚拟化：支持异构虚拟化兼容业界主流存储（如</w:t>
                  </w:r>
                  <w:r>
                    <w:rPr>
                      <w:rFonts w:ascii="宋体" w:hAnsi="宋体" w:cs="宋体" w:eastAsia="宋体"/>
                      <w:sz w:val="18"/>
                    </w:rPr>
                    <w:t>EMC、HP、HDS、IBM、Huawei、NetApp等多个厂家的阵列），提供相关证明材料，包括但不限于官网链接、彩页、第三方检测报告等证明材料。</w:t>
                  </w:r>
                </w:p>
                <w:p>
                  <w:pPr>
                    <w:pStyle w:val="null3"/>
                  </w:pPr>
                  <w:r>
                    <w:rPr>
                      <w:rFonts w:ascii="宋体" w:hAnsi="宋体" w:cs="宋体" w:eastAsia="宋体"/>
                      <w:sz w:val="18"/>
                    </w:rPr>
                    <w:t>10）</w:t>
                  </w:r>
                  <w:r>
                    <w:rPr>
                      <w:rFonts w:ascii="宋体" w:hAnsi="宋体" w:cs="宋体" w:eastAsia="宋体"/>
                      <w:sz w:val="18"/>
                    </w:rPr>
                    <w:t>NAS文件系统：提供SAN和NAS一体化能力，存储采用分布式文件系统架构，文件系统无控制器归属，在多控配置下，支持多个控制器负载均衡，在单文件系统的情况下，多个控制器负载均衡，控制器的 OPS 和 CPU 利用率差异小于 5%，提供相关证明材料，包括但不限于官网链接、彩页、第三方检测报告等证明材料。</w:t>
                  </w:r>
                </w:p>
                <w:p>
                  <w:pPr>
                    <w:pStyle w:val="null3"/>
                  </w:pPr>
                  <w:r>
                    <w:rPr>
                      <w:rFonts w:ascii="宋体" w:hAnsi="宋体" w:cs="宋体" w:eastAsia="宋体"/>
                      <w:sz w:val="18"/>
                    </w:rPr>
                    <w:t>11）</w:t>
                  </w:r>
                  <w:r>
                    <w:rPr>
                      <w:rFonts w:ascii="宋体" w:hAnsi="宋体" w:cs="宋体" w:eastAsia="宋体"/>
                      <w:sz w:val="18"/>
                    </w:rPr>
                    <w:t>数据加密：支持数据加密功能，可以通过与外置密管的配合实现数据的加密。数据加密模块通过国家密码管理局《商用密码产品认证证书》，提供相关证明材料，包括但不限于官网链接、彩页、第三方检测报告等证明材料。</w:t>
                  </w:r>
                </w:p>
                <w:p>
                  <w:pPr>
                    <w:pStyle w:val="null3"/>
                  </w:pPr>
                  <w:r>
                    <w:rPr>
                      <w:rFonts w:ascii="宋体" w:hAnsi="宋体" w:cs="宋体" w:eastAsia="宋体"/>
                      <w:sz w:val="18"/>
                    </w:rPr>
                    <w:t>12）</w:t>
                  </w:r>
                  <w:r>
                    <w:rPr>
                      <w:rFonts w:ascii="宋体" w:hAnsi="宋体" w:cs="宋体" w:eastAsia="宋体"/>
                      <w:sz w:val="18"/>
                    </w:rPr>
                    <w:t>配额：支持针对目录、用户、用户组这三类对象进行配额限。</w:t>
                  </w:r>
                </w:p>
                <w:p>
                  <w:pPr>
                    <w:pStyle w:val="null3"/>
                  </w:pPr>
                  <w:r>
                    <w:rPr>
                      <w:rFonts w:ascii="宋体" w:hAnsi="宋体" w:cs="宋体" w:eastAsia="宋体"/>
                      <w:sz w:val="18"/>
                    </w:rPr>
                    <w:t>13）</w:t>
                  </w:r>
                  <w:r>
                    <w:rPr>
                      <w:rFonts w:ascii="宋体" w:hAnsi="宋体" w:cs="宋体" w:eastAsia="宋体"/>
                      <w:sz w:val="18"/>
                    </w:rPr>
                    <w:t>缓存掉电保护：采用内置硬盘的缓存掉电保护机制</w:t>
                  </w:r>
                  <w:r>
                    <w:rPr>
                      <w:rFonts w:ascii="宋体" w:hAnsi="宋体" w:cs="宋体" w:eastAsia="宋体"/>
                      <w:sz w:val="18"/>
                    </w:rPr>
                    <w:t>(不占用控制器/磁盘柜硬盘槽位)，系统掉电时能确保将 Cache数据写入控制器内置硬盘，保证数据不丢失。</w:t>
                  </w:r>
                </w:p>
                <w:p>
                  <w:pPr>
                    <w:pStyle w:val="null3"/>
                  </w:pPr>
                  <w:r>
                    <w:rPr>
                      <w:rFonts w:ascii="宋体" w:hAnsi="宋体" w:cs="宋体" w:eastAsia="宋体"/>
                      <w:sz w:val="18"/>
                    </w:rPr>
                    <w:t>14）</w:t>
                  </w:r>
                  <w:r>
                    <w:rPr>
                      <w:rFonts w:ascii="宋体" w:hAnsi="宋体" w:cs="宋体" w:eastAsia="宋体"/>
                      <w:sz w:val="18"/>
                    </w:rPr>
                    <w:t>复制：实配远程复制功能，支持在所提供产品厂家的同系列高中低端产品之间创建远程复制</w:t>
                  </w:r>
                  <w:r>
                    <w:rPr>
                      <w:rFonts w:ascii="宋体" w:hAnsi="宋体" w:cs="宋体" w:eastAsia="宋体"/>
                      <w:sz w:val="18"/>
                    </w:rPr>
                    <w:t>,实现容灾。</w:t>
                  </w:r>
                </w:p>
                <w:p>
                  <w:pPr>
                    <w:pStyle w:val="null3"/>
                  </w:pPr>
                  <w:r>
                    <w:rPr>
                      <w:rFonts w:ascii="宋体" w:hAnsi="宋体" w:cs="宋体" w:eastAsia="宋体"/>
                      <w:sz w:val="18"/>
                    </w:rPr>
                    <w:t>15）</w:t>
                  </w:r>
                  <w:r>
                    <w:rPr>
                      <w:rFonts w:ascii="宋体" w:hAnsi="宋体" w:cs="宋体" w:eastAsia="宋体"/>
                      <w:sz w:val="18"/>
                    </w:rPr>
                    <w:t>在线升级：支持控制器微码在线升级。</w:t>
                  </w:r>
                </w:p>
                <w:p>
                  <w:pPr>
                    <w:pStyle w:val="null3"/>
                  </w:pPr>
                  <w:r>
                    <w:rPr>
                      <w:rFonts w:ascii="宋体" w:hAnsi="宋体" w:cs="宋体" w:eastAsia="宋体"/>
                      <w:sz w:val="18"/>
                    </w:rPr>
                    <w:t>16）</w:t>
                  </w:r>
                  <w:r>
                    <w:rPr>
                      <w:rFonts w:ascii="宋体" w:hAnsi="宋体" w:cs="宋体" w:eastAsia="宋体"/>
                      <w:sz w:val="18"/>
                    </w:rPr>
                    <w:t>快照：配置快照功能，开启快照后对存储性能影响</w:t>
                  </w:r>
                  <w:r>
                    <w:rPr>
                      <w:rFonts w:ascii="宋体" w:hAnsi="宋体" w:cs="宋体" w:eastAsia="宋体"/>
                      <w:sz w:val="18"/>
                    </w:rPr>
                    <w:t>≤5%。</w:t>
                  </w:r>
                </w:p>
                <w:p>
                  <w:pPr>
                    <w:pStyle w:val="null3"/>
                  </w:pPr>
                  <w:r>
                    <w:rPr>
                      <w:rFonts w:ascii="宋体" w:hAnsi="宋体" w:cs="宋体" w:eastAsia="宋体"/>
                      <w:sz w:val="18"/>
                    </w:rPr>
                    <w:t>17）</w:t>
                  </w:r>
                  <w:r>
                    <w:rPr>
                      <w:rFonts w:ascii="宋体" w:hAnsi="宋体" w:cs="宋体" w:eastAsia="宋体"/>
                      <w:sz w:val="18"/>
                    </w:rPr>
                    <w:t>维保：提供三年原厂维保服务</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4</w:t>
                  </w:r>
                </w:p>
              </w:tc>
            </w:tr>
          </w:tbl>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18"/>
              </w:rPr>
              <w:t>核心产</w:t>
            </w:r>
            <w:r>
              <w:rPr>
                <w:rFonts w:ascii="宋体" w:hAnsi="宋体" w:cs="宋体" w:eastAsia="宋体"/>
                <w:sz w:val="18"/>
              </w:rPr>
              <w:t>品：实验室管理平台</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18"/>
              </w:rPr>
              <w:t>交货时间：</w:t>
            </w:r>
            <w:r>
              <w:rPr>
                <w:rFonts w:ascii="&quot;times new roman&quot;" w:hAnsi="&quot;times new roman&quot;" w:cs="&quot;times new roman&quot;" w:eastAsia="&quot;times new roman&quot;"/>
                <w:sz w:val="21"/>
              </w:rPr>
              <w:t>1.交货期：合同签订之日起60个日历日内；</w:t>
            </w:r>
            <w:r>
              <w:rPr>
                <w:rFonts w:ascii="&quot;times new roman&quot;" w:hAnsi="&quot;times new roman&quot;" w:cs="&quot;times new roman&quot;" w:eastAsia="&quot;times new roman&quot;"/>
                <w:sz w:val="21"/>
              </w:rPr>
              <w:t>2.安装调试期：到货之日起45个日历日内。</w:t>
            </w:r>
          </w:p>
        </w:tc>
      </w:tr>
      <w:tr>
        <w:tc>
          <w:tcPr>
            <w:tcW w:type="dxa" w:w="2769"/>
          </w:tcPr>
          <w:p/>
        </w:tc>
        <w:tc>
          <w:tcPr>
            <w:tcW w:type="dxa" w:w="2769"/>
          </w:tcPr>
          <w:p>
            <w:pPr>
              <w:pStyle w:val="null3"/>
            </w:pPr>
            <w:r>
              <w:rPr/>
              <w:t>4</w:t>
            </w:r>
          </w:p>
        </w:tc>
        <w:tc>
          <w:tcPr>
            <w:tcW w:type="dxa" w:w="2769"/>
          </w:tcPr>
          <w:p>
            <w:pPr>
              <w:pStyle w:val="null3"/>
              <w:jc w:val="both"/>
            </w:pPr>
            <w:r>
              <w:rPr>
                <w:rFonts w:ascii="宋体" w:hAnsi="宋体" w:cs="宋体" w:eastAsia="宋体"/>
                <w:sz w:val="21"/>
              </w:rPr>
              <w:t>质保期：三年</w:t>
            </w:r>
          </w:p>
        </w:tc>
      </w:tr>
      <w:tr>
        <w:tc>
          <w:tcPr>
            <w:tcW w:type="dxa" w:w="2769"/>
          </w:tcPr>
          <w:p>
            <w:pPr>
              <w:pStyle w:val="null3"/>
            </w:pPr>
            <w:r>
              <w:rPr/>
              <w:t>★</w:t>
            </w:r>
          </w:p>
        </w:tc>
        <w:tc>
          <w:tcPr>
            <w:tcW w:type="dxa" w:w="2769"/>
          </w:tcPr>
          <w:p>
            <w:pPr>
              <w:pStyle w:val="null3"/>
            </w:pPr>
            <w:r>
              <w:rPr/>
              <w:t>5</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quot;times new roman&quot;&quot;" w:hAnsi="&quot;&quot;times new roman&quot;&quot;" w:cs="&quot;&quot;times new roman&quot;&quot;" w:eastAsia="&quot;&quot;times new roman&quot;&quot;"/>
                <w:sz w:val="21"/>
              </w:rPr>
              <w:t>/</w:t>
            </w:r>
            <w:r>
              <w:rPr>
                <w:rFonts w:ascii="宋体" w:hAnsi="宋体" w:cs="宋体" w:eastAsia="宋体"/>
                <w:sz w:val="21"/>
              </w:rPr>
              <w:t>成交通知书发出之日起</w:t>
            </w:r>
            <w:r>
              <w:rPr>
                <w:rFonts w:ascii="&quot;&quot;times new roman&quot;&quot;" w:hAnsi="&quot;&quot;times new roman&quot;&quot;" w:cs="&quot;&quot;times new roman&quot;&quot;" w:eastAsia="&quot;&quot;times new roman&quot;&quot;"/>
                <w:sz w:val="21"/>
                <w:u w:val="single"/>
              </w:rPr>
              <w:t xml:space="preserve"> 2 </w:t>
            </w:r>
            <w:r>
              <w:rPr>
                <w:rFonts w:ascii="宋体" w:hAnsi="宋体" w:cs="宋体" w:eastAsia="宋体"/>
                <w:sz w:val="21"/>
              </w:rPr>
              <w:t>个工作日内开通专用账户</w:t>
            </w:r>
            <w:r>
              <w:rPr>
                <w:rFonts w:ascii="&quot;&quot;times new roman&quot;&quot;" w:hAnsi="&quot;&quot;times new roman&quot;&quot;" w:cs="&quot;&quot;times new roman&quot;&quot;" w:eastAsia="&quot;&quot;times new roman&quot;&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标的名称：大数据综合治理应用创新平台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 xml:space="preserve">           </w:t>
            </w:r>
          </w:p>
          <w:tbl>
            <w:tblPr>
              <w:tblBorders>
                <w:top w:val="none" w:color="000000" w:sz="4"/>
                <w:left w:val="none" w:color="000000" w:sz="4"/>
                <w:bottom w:val="none" w:color="000000" w:sz="4"/>
                <w:right w:val="none" w:color="000000" w:sz="4"/>
                <w:insideH w:val="none"/>
                <w:insideV w:val="none"/>
              </w:tblBorders>
            </w:tblPr>
            <w:tblGrid>
              <w:gridCol w:w="334"/>
              <w:gridCol w:w="211"/>
              <w:gridCol w:w="313"/>
              <w:gridCol w:w="1528"/>
              <w:gridCol w:w="160"/>
            </w:tblGrid>
            <w:tr>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产品类型</w:t>
                  </w:r>
                </w:p>
              </w:tc>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单位</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分包</w:t>
                  </w:r>
                </w:p>
              </w:tc>
              <w:tc>
                <w:tcPr>
                  <w:tcW w:type="dxa" w:w="1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center"/>
                  </w:pPr>
                  <w:r>
                    <w:rPr>
                      <w:rFonts w:ascii="宋体" w:hAnsi="宋体" w:cs="宋体" w:eastAsia="宋体"/>
                      <w:sz w:val="18"/>
                    </w:rPr>
                    <w:t>参数</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
                    <w:jc w:val="center"/>
                  </w:pPr>
                  <w:r>
                    <w:rPr>
                      <w:rFonts w:ascii="宋体" w:hAnsi="宋体" w:cs="宋体" w:eastAsia="宋体"/>
                      <w:sz w:val="18"/>
                    </w:rPr>
                    <w:t>数量</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虚拟化资源平台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shd w:fill="FFFFFF" w:val="clear"/>
                    </w:rPr>
                    <w:t>大数据应用创新平台建设项目</w:t>
                  </w:r>
                  <w:r>
                    <w:rPr>
                      <w:rFonts w:ascii="宋体" w:hAnsi="宋体" w:cs="宋体" w:eastAsia="宋体"/>
                      <w:sz w:val="18"/>
                    </w:rPr>
                    <w:t>（第二包</w:t>
                  </w:r>
                  <w:r>
                    <w:rPr>
                      <w:rFonts w:ascii="宋体" w:hAnsi="宋体" w:cs="宋体" w:eastAsia="宋体"/>
                      <w:sz w:val="18"/>
                    </w:rPr>
                    <w:t>:大数据综合治理应用创新平台）</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1）资源节点6台，单节点配置如下：</w:t>
                  </w:r>
                  <w:r>
                    <w:br/>
                  </w:r>
                  <w:r>
                    <w:rPr>
                      <w:rFonts w:ascii="宋体" w:hAnsi="宋体" w:cs="宋体" w:eastAsia="宋体"/>
                      <w:sz w:val="18"/>
                    </w:rPr>
                    <w:t>2）配置≥2颗X86架构处理器，主频≥2.1GHZ，单处理器≥24物理核；</w:t>
                  </w:r>
                  <w:r>
                    <w:br/>
                  </w:r>
                  <w:r>
                    <w:rPr>
                      <w:rFonts w:ascii="宋体" w:hAnsi="宋体" w:cs="宋体" w:eastAsia="宋体"/>
                      <w:sz w:val="18"/>
                    </w:rPr>
                    <w:t>3）配置≥16*32GB 3200MHz RDIMM DDR4 内存；</w:t>
                  </w:r>
                  <w:r>
                    <w:br/>
                  </w:r>
                  <w:r>
                    <w:rPr>
                      <w:rFonts w:ascii="宋体" w:hAnsi="宋体" w:cs="宋体" w:eastAsia="宋体"/>
                      <w:sz w:val="18"/>
                    </w:rPr>
                    <w:t>4）配置≥2*960GB SSD硬盘；</w:t>
                  </w:r>
                  <w:r>
                    <w:br/>
                  </w:r>
                  <w:r>
                    <w:rPr>
                      <w:rFonts w:ascii="宋体" w:hAnsi="宋体" w:cs="宋体" w:eastAsia="宋体"/>
                      <w:sz w:val="18"/>
                    </w:rPr>
                    <w:t>5）配置≥4个千兆电口，≥4个25GE光口（含10GE光模块）；≥2个16G FC口；</w:t>
                  </w:r>
                  <w:r>
                    <w:br/>
                  </w:r>
                  <w:r>
                    <w:rPr>
                      <w:rFonts w:ascii="宋体" w:hAnsi="宋体" w:cs="宋体" w:eastAsia="宋体"/>
                      <w:sz w:val="18"/>
                    </w:rPr>
                    <w:t>6）配置≥1块独立阵列卡，≥2GB缓存，支持RAID 0,1,10，5等；</w:t>
                  </w:r>
                  <w:r>
                    <w:br/>
                  </w:r>
                  <w:r>
                    <w:rPr>
                      <w:rFonts w:ascii="宋体" w:hAnsi="宋体" w:cs="宋体" w:eastAsia="宋体"/>
                      <w:sz w:val="18"/>
                    </w:rPr>
                    <w:t>7）配置≥2*900W冗余交流电源；</w:t>
                  </w:r>
                  <w:r>
                    <w:br/>
                  </w:r>
                  <w:r>
                    <w:rPr>
                      <w:rFonts w:ascii="宋体" w:hAnsi="宋体" w:cs="宋体" w:eastAsia="宋体"/>
                      <w:sz w:val="18"/>
                    </w:rPr>
                    <w:t>8）配置独立的远程管理控制端口，支持远程监控图形界面, 可实现与操作系统无关的远程对设备的完全控制，包括远程的开机、关机、重启、虚拟软驱、虚拟光驱等操作；</w:t>
                  </w:r>
                  <w:r>
                    <w:br/>
                  </w:r>
                  <w:r>
                    <w:rPr>
                      <w:rFonts w:ascii="宋体" w:hAnsi="宋体" w:cs="宋体" w:eastAsia="宋体"/>
                      <w:sz w:val="18"/>
                    </w:rPr>
                    <w:t>9）提供三年原厂维保服务。</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光纤交换集群</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shd w:fill="FFFFFF" w:val="clear"/>
                    </w:rPr>
                    <w:t>大数据应用创新平台建设项目</w:t>
                  </w:r>
                  <w:r>
                    <w:rPr>
                      <w:rFonts w:ascii="宋体" w:hAnsi="宋体" w:cs="宋体" w:eastAsia="宋体"/>
                      <w:sz w:val="18"/>
                    </w:rPr>
                    <w:t>（第二包</w:t>
                  </w:r>
                  <w:r>
                    <w:rPr>
                      <w:rFonts w:ascii="宋体" w:hAnsi="宋体" w:cs="宋体" w:eastAsia="宋体"/>
                      <w:sz w:val="18"/>
                    </w:rPr>
                    <w:t>:大数据综合治理应用创新平台）</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光纤交换模块</w:t>
                  </w:r>
                  <w:r>
                    <w:rPr>
                      <w:rFonts w:ascii="宋体" w:hAnsi="宋体" w:cs="宋体" w:eastAsia="宋体"/>
                      <w:sz w:val="18"/>
                    </w:rPr>
                    <w:t>5台</w:t>
                  </w:r>
                  <w:r>
                    <w:br/>
                  </w:r>
                  <w:r>
                    <w:rPr>
                      <w:rFonts w:ascii="宋体" w:hAnsi="宋体" w:cs="宋体" w:eastAsia="宋体"/>
                      <w:sz w:val="18"/>
                    </w:rPr>
                    <w:t>1）配置32Gb FC交换机64个端口，激活端口≥24个,配置24个多模SFP+模块。冗余电源；</w:t>
                  </w:r>
                  <w:r>
                    <w:br/>
                  </w:r>
                  <w:r>
                    <w:rPr>
                      <w:rFonts w:ascii="宋体" w:hAnsi="宋体" w:cs="宋体" w:eastAsia="宋体"/>
                      <w:sz w:val="18"/>
                    </w:rPr>
                    <w:t>2）配置光模块速率≥16Gb/s；</w:t>
                  </w:r>
                  <w:r>
                    <w:br/>
                  </w:r>
                  <w:r>
                    <w:rPr>
                      <w:rFonts w:ascii="宋体" w:hAnsi="宋体" w:cs="宋体" w:eastAsia="宋体"/>
                      <w:sz w:val="18"/>
                    </w:rPr>
                    <w:t>3）支持硬件和软件分区功能，支持WWN级的硬件强制分区，保证设备的连接安全；</w:t>
                  </w:r>
                  <w:r>
                    <w:br/>
                  </w:r>
                  <w:r>
                    <w:rPr>
                      <w:rFonts w:ascii="宋体" w:hAnsi="宋体" w:cs="宋体" w:eastAsia="宋体"/>
                      <w:sz w:val="18"/>
                    </w:rPr>
                    <w:t>4）支持FC-SW（光纤通道交换机）、FC-AL（光纤通道仲裁环）、NVMe oF等协议。</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科研创新平台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shd w:fill="FFFFFF" w:val="clear"/>
                    </w:rPr>
                    <w:t>大数据应用创新平台建设项目</w:t>
                  </w:r>
                  <w:r>
                    <w:rPr>
                      <w:rFonts w:ascii="宋体" w:hAnsi="宋体" w:cs="宋体" w:eastAsia="宋体"/>
                      <w:sz w:val="18"/>
                    </w:rPr>
                    <w:t>（第二包</w:t>
                  </w:r>
                  <w:r>
                    <w:rPr>
                      <w:rFonts w:ascii="宋体" w:hAnsi="宋体" w:cs="宋体" w:eastAsia="宋体"/>
                      <w:sz w:val="18"/>
                    </w:rPr>
                    <w:t>:大数据综合治理应用创新平台）</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1）配置≥2颗国产高性能处理器，国产处理器通过中国信息安全测评中心发布的安全可靠测评，单颗处理器基础主频≥2.6GHZ，单处理器≥48物理核；</w:t>
                  </w:r>
                  <w:r>
                    <w:br/>
                  </w:r>
                  <w:r>
                    <w:rPr>
                      <w:rFonts w:ascii="宋体" w:hAnsi="宋体" w:cs="宋体" w:eastAsia="宋体"/>
                      <w:sz w:val="18"/>
                    </w:rPr>
                    <w:t>2）配置≥16*32GB 3200MHz RDIMM DDR4 内存；</w:t>
                  </w:r>
                  <w:r>
                    <w:br/>
                  </w:r>
                  <w:r>
                    <w:rPr>
                      <w:rFonts w:ascii="宋体" w:hAnsi="宋体" w:cs="宋体" w:eastAsia="宋体"/>
                      <w:sz w:val="18"/>
                    </w:rPr>
                    <w:t>3）配置≥2*960GB SSD硬盘；</w:t>
                  </w:r>
                  <w:r>
                    <w:br/>
                  </w:r>
                  <w:r>
                    <w:rPr>
                      <w:rFonts w:ascii="宋体" w:hAnsi="宋体" w:cs="宋体" w:eastAsia="宋体"/>
                      <w:sz w:val="18"/>
                    </w:rPr>
                    <w:t>4）配置≥4个千兆电口，≥4个25GE光口（含10GE光模块）；</w:t>
                  </w:r>
                  <w:r>
                    <w:br/>
                  </w:r>
                  <w:r>
                    <w:rPr>
                      <w:rFonts w:ascii="宋体" w:hAnsi="宋体" w:cs="宋体" w:eastAsia="宋体"/>
                      <w:sz w:val="18"/>
                    </w:rPr>
                    <w:t>5）配置≥1块独立阵列卡，≥2GB缓存，支持RAID 0,1,10，5等；</w:t>
                  </w:r>
                  <w:r>
                    <w:br/>
                  </w:r>
                  <w:r>
                    <w:rPr>
                      <w:rFonts w:ascii="宋体" w:hAnsi="宋体" w:cs="宋体" w:eastAsia="宋体"/>
                      <w:sz w:val="18"/>
                    </w:rPr>
                    <w:t>6）配置≥2*900W冗余交流电源；</w:t>
                  </w:r>
                  <w:r>
                    <w:br/>
                  </w:r>
                  <w:r>
                    <w:rPr>
                      <w:rFonts w:ascii="宋体" w:hAnsi="宋体" w:cs="宋体" w:eastAsia="宋体"/>
                      <w:sz w:val="18"/>
                    </w:rPr>
                    <w:t>7）配置独立的远程管理控制端口，支持远程监控图形界面, 可实现与操作系统无关的远程对设备的完全控制，包括远程的开机、关机、重启、虚拟软驱、虚拟光驱等操作；</w:t>
                  </w:r>
                  <w:r>
                    <w:br/>
                  </w:r>
                  <w:r>
                    <w:rPr>
                      <w:rFonts w:ascii="宋体" w:hAnsi="宋体" w:cs="宋体" w:eastAsia="宋体"/>
                      <w:sz w:val="18"/>
                    </w:rPr>
                    <w:t>8）管理系统配置国产管理芯片，提供相关证明材料，包括但不限于官网链接、彩页、第三方检测报告等证明材料。；</w:t>
                  </w:r>
                </w:p>
                <w:p>
                  <w:pPr>
                    <w:pStyle w:val="null3"/>
                    <w:ind w:left="165"/>
                    <w:jc w:val="both"/>
                  </w:pPr>
                  <w:r>
                    <w:rPr>
                      <w:rFonts w:ascii="宋体" w:hAnsi="宋体" w:cs="宋体" w:eastAsia="宋体"/>
                      <w:sz w:val="18"/>
                    </w:rPr>
                    <w:t>9）提供与机房现有同规格超六类非屏蔽跳线，长度≥2米，线径≥24AWG，传输带宽：≥500MHz，符合TIA/EIA-568C.2、ISO11801 2nd、EN50173标准，数量≥1500条。</w:t>
                  </w:r>
                  <w:r>
                    <w:br/>
                  </w:r>
                  <w:r>
                    <w:rPr>
                      <w:rFonts w:ascii="宋体" w:hAnsi="宋体" w:cs="宋体" w:eastAsia="宋体"/>
                      <w:sz w:val="18"/>
                    </w:rPr>
                    <w:t>10）提供三年原厂维保服务</w:t>
                  </w:r>
                  <w:r>
                    <w:br/>
                  </w:r>
                  <w:r>
                    <w:rPr>
                      <w:rFonts w:ascii="宋体" w:hAnsi="宋体" w:cs="宋体" w:eastAsia="宋体"/>
                      <w:sz w:val="18"/>
                    </w:rPr>
                    <w:t>11）教育科研管理全平台授权。</w:t>
                  </w:r>
                </w:p>
                <w:p>
                  <w:pPr>
                    <w:pStyle w:val="null3"/>
                    <w:ind w:left="165"/>
                    <w:jc w:val="both"/>
                  </w:pPr>
                  <w:r>
                    <w:rPr>
                      <w:rFonts w:ascii="宋体" w:hAnsi="宋体" w:cs="宋体" w:eastAsia="宋体"/>
                      <w:sz w:val="18"/>
                    </w:rPr>
                    <w:t>12）满足全国职业院校数字基座对接要求。</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人工智能平台</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shd w:fill="FFFFFF" w:val="clear"/>
                    </w:rPr>
                    <w:t>大数据应用创新平台建设项目</w:t>
                  </w:r>
                  <w:r>
                    <w:rPr>
                      <w:rFonts w:ascii="宋体" w:hAnsi="宋体" w:cs="宋体" w:eastAsia="宋体"/>
                      <w:sz w:val="18"/>
                    </w:rPr>
                    <w:t>（第二包</w:t>
                  </w:r>
                  <w:r>
                    <w:rPr>
                      <w:rFonts w:ascii="宋体" w:hAnsi="宋体" w:cs="宋体" w:eastAsia="宋体"/>
                      <w:sz w:val="18"/>
                    </w:rPr>
                    <w:t>:大数据综合治理应用创新平台）</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1、基础配置</w:t>
                  </w:r>
                </w:p>
                <w:p>
                  <w:pPr>
                    <w:pStyle w:val="null3"/>
                    <w:ind w:left="165"/>
                    <w:jc w:val="both"/>
                  </w:pPr>
                  <w:r>
                    <w:rPr>
                      <w:rFonts w:ascii="宋体" w:hAnsi="宋体" w:cs="宋体" w:eastAsia="宋体"/>
                      <w:sz w:val="18"/>
                    </w:rPr>
                    <w:t>1）配置≥2颗处理器，主频≥2.1GHZ，单处理器≥24物理核；</w:t>
                  </w:r>
                  <w:r>
                    <w:br/>
                  </w:r>
                  <w:r>
                    <w:rPr>
                      <w:rFonts w:ascii="宋体" w:hAnsi="宋体" w:cs="宋体" w:eastAsia="宋体"/>
                      <w:sz w:val="18"/>
                    </w:rPr>
                    <w:t>2）配置≥4*32GB 3200MHz RDIMM DDR4 内存；</w:t>
                  </w:r>
                  <w:r>
                    <w:br/>
                  </w:r>
                  <w:r>
                    <w:rPr>
                      <w:rFonts w:ascii="宋体" w:hAnsi="宋体" w:cs="宋体" w:eastAsia="宋体"/>
                      <w:sz w:val="18"/>
                    </w:rPr>
                    <w:t>3）配置≥2*480GB SSD硬盘，≥8*1.92TB SSD硬盘；</w:t>
                  </w:r>
                  <w:r>
                    <w:br/>
                  </w:r>
                  <w:r>
                    <w:rPr>
                      <w:rFonts w:ascii="宋体" w:hAnsi="宋体" w:cs="宋体" w:eastAsia="宋体"/>
                      <w:sz w:val="18"/>
                    </w:rPr>
                    <w:t>4）配置≥2块AI处理器，单处理器显存≥80GB、FP32≥51TFLOPS</w:t>
                  </w:r>
                  <w:r>
                    <w:br/>
                  </w:r>
                  <w:r>
                    <w:rPr>
                      <w:rFonts w:ascii="宋体" w:hAnsi="宋体" w:cs="宋体" w:eastAsia="宋体"/>
                      <w:sz w:val="18"/>
                    </w:rPr>
                    <w:t>5）配置≥4个千兆电口，≥4个25GE光口（含10GE光模块）；≥2个16G FC口；</w:t>
                  </w:r>
                  <w:r>
                    <w:br/>
                  </w:r>
                  <w:r>
                    <w:rPr>
                      <w:rFonts w:ascii="宋体" w:hAnsi="宋体" w:cs="宋体" w:eastAsia="宋体"/>
                      <w:sz w:val="18"/>
                    </w:rPr>
                    <w:t>6）配置≥1块独立阵列卡，≥2GB缓存，支持RAID 0,1,10，5等；</w:t>
                  </w:r>
                  <w:r>
                    <w:br/>
                  </w:r>
                  <w:r>
                    <w:rPr>
                      <w:rFonts w:ascii="宋体" w:hAnsi="宋体" w:cs="宋体" w:eastAsia="宋体"/>
                      <w:sz w:val="18"/>
                    </w:rPr>
                    <w:t>7）配置≥2*2000W冗余交流电源；</w:t>
                  </w:r>
                  <w:r>
                    <w:br/>
                  </w:r>
                  <w:r>
                    <w:rPr>
                      <w:rFonts w:ascii="宋体" w:hAnsi="宋体" w:cs="宋体" w:eastAsia="宋体"/>
                      <w:sz w:val="18"/>
                    </w:rPr>
                    <w:t>8）配置独立的远程管理控制端口，支持远程监控图形界面, 可实现与操作系统无关的远程对设备的完全控制，包括远程的开机、关机、重启、虚拟软驱、虚拟光驱等操作；</w:t>
                  </w:r>
                </w:p>
                <w:p>
                  <w:pPr>
                    <w:pStyle w:val="null3"/>
                    <w:ind w:left="165"/>
                    <w:jc w:val="both"/>
                  </w:pPr>
                  <w:r>
                    <w:rPr>
                      <w:rFonts w:ascii="宋体" w:hAnsi="宋体" w:cs="宋体" w:eastAsia="宋体"/>
                      <w:sz w:val="18"/>
                    </w:rPr>
                    <w:t>9）提供三年原厂维保服务</w:t>
                  </w:r>
                  <w:r>
                    <w:br/>
                  </w:r>
                  <w:r>
                    <w:rPr>
                      <w:rFonts w:ascii="宋体" w:hAnsi="宋体" w:cs="宋体" w:eastAsia="宋体"/>
                      <w:sz w:val="18"/>
                    </w:rPr>
                    <w:t>2、人工智能平台</w:t>
                  </w:r>
                </w:p>
                <w:p>
                  <w:pPr>
                    <w:pStyle w:val="null3"/>
                    <w:ind w:left="165"/>
                    <w:jc w:val="both"/>
                  </w:pPr>
                  <w:r>
                    <w:rPr>
                      <w:rFonts w:ascii="宋体" w:hAnsi="宋体" w:cs="宋体" w:eastAsia="宋体"/>
                      <w:sz w:val="18"/>
                    </w:rPr>
                    <w:t>1）平台能根据用户不同的数据查询需求提供更便捷、更准确、更高效的数据查询服务。能够基于信息标准数据集，以自然语言的方式为用户提供便捷高效的数据查询服务；能实现双模式问答体系——智能盲问与高级问答，以满足不同场景下的精准需求；能基于数据治理梳理完成的BI指标，通过自然语言进行任意维度的组合自助查询，比如询问校园内的各项统计分析数据（如日人流量、教室使用情况），教职工不同维度统计数据等；</w:t>
                  </w:r>
                  <w:r>
                    <w:br/>
                  </w:r>
                  <w:r>
                    <w:rPr>
                      <w:rFonts w:ascii="宋体" w:hAnsi="宋体" w:cs="宋体" w:eastAsia="宋体"/>
                      <w:sz w:val="18"/>
                    </w:rPr>
                    <w:t>2）能根据高频问题进行元数据补齐优化（注释、外键、非空、数据格式等）</w:t>
                  </w:r>
                </w:p>
                <w:p>
                  <w:pPr>
                    <w:pStyle w:val="null3"/>
                  </w:pPr>
                  <w:r>
                    <w:rPr>
                      <w:rFonts w:ascii="宋体" w:hAnsi="宋体" w:cs="宋体" w:eastAsia="宋体"/>
                      <w:sz w:val="18"/>
                    </w:rPr>
                    <w:t>3）智能模式（盲问），平台基于</w:t>
                  </w:r>
                  <w:r>
                    <w:rPr>
                      <w:rFonts w:ascii="宋体" w:hAnsi="宋体" w:cs="宋体" w:eastAsia="宋体"/>
                      <w:sz w:val="18"/>
                    </w:rPr>
                    <w:t>信息标准的数据集，用户只需简单地输入问题，平台便能自动提取用户问题中的关键信息，并通过向量数据库的标签相似度匹配计算，识别出问题涉及的关键字、相关表结构、对应的</w:t>
                  </w:r>
                  <w:r>
                    <w:rPr>
                      <w:rFonts w:ascii="宋体" w:hAnsi="宋体" w:cs="宋体" w:eastAsia="宋体"/>
                      <w:sz w:val="18"/>
                    </w:rPr>
                    <w:t>SQL语句，最终呈现出精准的数据查询（统计）结果，并支持导出、下载、收藏数据查询结果，支持敏感数据加密，支持数据权限过滤。（须提供所投产品的截图予以证明并加盖公章）</w:t>
                  </w:r>
                </w:p>
                <w:p>
                  <w:pPr>
                    <w:pStyle w:val="null3"/>
                  </w:pPr>
                  <w:r>
                    <w:rPr>
                      <w:rFonts w:ascii="宋体" w:hAnsi="宋体" w:cs="宋体" w:eastAsia="宋体"/>
                      <w:sz w:val="18"/>
                    </w:rPr>
                    <w:t>4）高级模式（选表），基于信息标准的数据集基础上，用户可以自由选择多个数据表并提出问题，平台的大模型会根据用户问题涉及的表结构进行精简计算，并返回简化后的表结构和查询（统计）结果，并支持导出、下载、收藏数据查询结果，支持敏感数据加密，支持数据权限过滤。（须提供所投产品的截图予以证明并加盖公章）</w:t>
                  </w:r>
                </w:p>
                <w:p>
                  <w:pPr>
                    <w:pStyle w:val="null3"/>
                  </w:pPr>
                  <w:r>
                    <w:rPr>
                      <w:rFonts w:ascii="宋体" w:hAnsi="宋体" w:cs="宋体" w:eastAsia="宋体"/>
                      <w:sz w:val="18"/>
                    </w:rPr>
                    <w:t>5）表数据查询：支持查询表数据提供示例数据参考。示例数据默认对代码字段进行中文转义，并对敏感字段进行加密处理，支持联动查询引用的代码表数据。（须提供所投产品的截图予以证明并加盖公章）</w:t>
                  </w:r>
                </w:p>
                <w:p>
                  <w:pPr>
                    <w:pStyle w:val="null3"/>
                  </w:pPr>
                  <w:r>
                    <w:rPr>
                      <w:rFonts w:ascii="宋体" w:hAnsi="宋体" w:cs="宋体" w:eastAsia="宋体"/>
                      <w:sz w:val="18"/>
                    </w:rPr>
                    <w:t>6）要求支持为数据表添加标签，有助于平台向量数据库进行标签相似度匹配计算，优化智能模式回答问题时涉及的表结构优先级，提升检索效率和准确性。（须提供所投产品的截图予以证明并加盖公章）</w:t>
                  </w:r>
                </w:p>
                <w:p>
                  <w:pPr>
                    <w:pStyle w:val="null3"/>
                    <w:jc w:val="both"/>
                  </w:pPr>
                  <w:r>
                    <w:rPr>
                      <w:rFonts w:ascii="宋体" w:hAnsi="宋体" w:cs="宋体" w:eastAsia="宋体"/>
                      <w:sz w:val="18"/>
                    </w:rPr>
                    <w:t>7）要求支持用户查询历史问答记录，支持关注的特定会话，支持新会话创建与删除操作。</w:t>
                  </w:r>
                </w:p>
                <w:p>
                  <w:pPr>
                    <w:pStyle w:val="null3"/>
                  </w:pPr>
                  <w:r>
                    <w:rPr>
                      <w:rFonts w:ascii="宋体" w:hAnsi="宋体" w:cs="宋体" w:eastAsia="宋体"/>
                      <w:sz w:val="18"/>
                    </w:rPr>
                    <w:t>8）要求充分利用学校现有数据中台，利用现有平台实现元数据的采集与管理，基于信息标准数据集创建AI数据物理库，支持批量创建实体表，支持查看表创建的SQL语句。</w:t>
                  </w:r>
                </w:p>
                <w:p>
                  <w:pPr>
                    <w:pStyle w:val="null3"/>
                    <w:jc w:val="both"/>
                  </w:pPr>
                  <w:r>
                    <w:rPr>
                      <w:rFonts w:ascii="宋体" w:hAnsi="宋体" w:cs="宋体" w:eastAsia="宋体"/>
                      <w:sz w:val="18"/>
                    </w:rPr>
                    <w:t>3、</w:t>
                  </w:r>
                  <w:r>
                    <w:rPr>
                      <w:rFonts w:ascii="宋体" w:hAnsi="宋体" w:cs="宋体" w:eastAsia="宋体"/>
                      <w:sz w:val="18"/>
                    </w:rPr>
                    <w:t>与全国职业教育智慧大脑院校中台对接</w:t>
                  </w:r>
                </w:p>
                <w:p>
                  <w:pPr>
                    <w:pStyle w:val="null3"/>
                  </w:pPr>
                  <w:r>
                    <w:rPr>
                      <w:rFonts w:ascii="宋体" w:hAnsi="宋体" w:cs="宋体" w:eastAsia="宋体"/>
                      <w:sz w:val="18"/>
                    </w:rPr>
                    <w:t>1）数据管理，要求提供数据导入功能，一键批量导入excel格式的数据；提供一键下载所有数据集的模板的功能；提供数据集模型的配置功能，系统已内置好教育部文件中所规定的数据集与数据标准；提供代码集模型的配置功能，系统已内置好教育部文件中所规定的代码。</w:t>
                  </w:r>
                </w:p>
                <w:p>
                  <w:pPr>
                    <w:pStyle w:val="null3"/>
                  </w:pPr>
                  <w:r>
                    <w:rPr>
                      <w:rFonts w:ascii="宋体" w:hAnsi="宋体" w:cs="宋体" w:eastAsia="宋体"/>
                      <w:sz w:val="18"/>
                    </w:rPr>
                    <w:t>2）数据质量，支持以SQL语句的方式编辑和维护质量检验规则，通过设置核验规则，检查数据集格式的完整性与准确性，生成核验报告，并自动给各来源部门下发针对异常数据的补录任务；支持基础核验和质量核验，核验完毕后出具核验报告，并支持查看与导出异常数据明细；支持查看数据核验后的整体预警信息、每一张数据表的详细核验报告及核验报告的字段详情，支持查看核验历史，可选择时间区间查询核验历史记录。</w:t>
                  </w:r>
                </w:p>
                <w:p>
                  <w:pPr>
                    <w:pStyle w:val="null3"/>
                  </w:pPr>
                  <w:r>
                    <w:rPr>
                      <w:rFonts w:ascii="宋体" w:hAnsi="宋体" w:cs="宋体" w:eastAsia="宋体"/>
                      <w:sz w:val="18"/>
                    </w:rPr>
                    <w:t>3）数据采集，从数据预警核验后的数据流入数据采集模块进行处理，系统会自动将核验的异常数据（标记为红色色块），自动下发给该数据表的负责部门与负责人进行修改补录操作；每张数据表中经过质量核验后会用红点进行异常信息提示，并置顶表格中所有异常记录，标红所有的异常数据字段；要求实时查看补录进度，可在线和批量导入导出数据，支持在每条记录上增加数据来源标记，可根据数据来源、数据状态对表内数据进行筛选和排序，支持查看提交记录与已提交数据的后续数据状态信息。</w:t>
                  </w:r>
                </w:p>
                <w:p>
                  <w:pPr>
                    <w:pStyle w:val="null3"/>
                  </w:pPr>
                  <w:r>
                    <w:rPr>
                      <w:rFonts w:ascii="宋体" w:hAnsi="宋体" w:cs="宋体" w:eastAsia="宋体"/>
                      <w:sz w:val="18"/>
                    </w:rPr>
                    <w:t>4）数据审核，支持部门审核人审核数据，勾选数据选择通过或退回，通过就将数据流转到下一个环节，若有被学校审核退回的数据，支持查看审核意见，支持新增、修改、删除单条数据，支持查看审核记录。</w:t>
                  </w:r>
                </w:p>
                <w:p>
                  <w:pPr>
                    <w:pStyle w:val="null3"/>
                  </w:pPr>
                  <w:r>
                    <w:rPr>
                      <w:rFonts w:ascii="宋体" w:hAnsi="宋体" w:cs="宋体" w:eastAsia="宋体"/>
                      <w:sz w:val="18"/>
                    </w:rPr>
                    <w:t>5）数据复核，支持学校复核人员复核数据，勾选数据选择通过或退回，通过就将数据流转到下一个环节；支持切换到采集数据tab页，查看数据采集模块采集的所有数据。</w:t>
                  </w:r>
                </w:p>
                <w:p>
                  <w:pPr>
                    <w:pStyle w:val="null3"/>
                  </w:pPr>
                  <w:r>
                    <w:rPr>
                      <w:rFonts w:ascii="宋体" w:hAnsi="宋体" w:cs="宋体" w:eastAsia="宋体"/>
                      <w:sz w:val="18"/>
                    </w:rPr>
                    <w:t>6）上报管理，将上报表封装成数据接口，提供需要上报的高职98个数据集，显示数据表的上报情况，支持上报单个数据表或批量上报，支持对已上报数据进行统计分析，帮助学校直观地查看当前的数据上报情况。</w:t>
                  </w:r>
                </w:p>
                <w:p>
                  <w:pPr>
                    <w:pStyle w:val="null3"/>
                  </w:pPr>
                  <w:r>
                    <w:rPr>
                      <w:rFonts w:ascii="宋体" w:hAnsi="宋体" w:cs="宋体" w:eastAsia="宋体"/>
                      <w:sz w:val="18"/>
                    </w:rPr>
                    <w:t>7）工作进度，支持查看支持查看总体的上报情况，支持查看当前数据中心建设情况，数据中心数据可支撑生成职教大脑数据上报平台上报表单的数量和数据中心无法支撑到的表单数量，要求与学校现有数据中心无缝对接并提供证明材料。</w:t>
                  </w:r>
                </w:p>
                <w:p>
                  <w:pPr>
                    <w:pStyle w:val="null3"/>
                  </w:pPr>
                  <w:r>
                    <w:rPr>
                      <w:rFonts w:ascii="宋体" w:hAnsi="宋体" w:cs="宋体" w:eastAsia="宋体"/>
                      <w:sz w:val="18"/>
                    </w:rPr>
                    <w:t>8）指标监测大屏，提供总览、师生发展、教育教学、管理服务、信息化支撑与网络安全五张指标大屏。</w:t>
                  </w:r>
                </w:p>
                <w:p>
                  <w:pPr>
                    <w:pStyle w:val="null3"/>
                  </w:pPr>
                  <w:r>
                    <w:rPr>
                      <w:rFonts w:ascii="宋体" w:hAnsi="宋体" w:cs="宋体" w:eastAsia="宋体"/>
                      <w:sz w:val="18"/>
                    </w:rPr>
                    <w:t>9）要求提供智慧大脑数据上报平台相关功能的著作权登记证书。</w:t>
                  </w:r>
                </w:p>
                <w:p>
                  <w:pPr>
                    <w:pStyle w:val="null3"/>
                  </w:pPr>
                  <w:r>
                    <w:rPr>
                      <w:rFonts w:ascii="宋体" w:hAnsi="宋体" w:cs="宋体" w:eastAsia="宋体"/>
                      <w:sz w:val="18"/>
                    </w:rPr>
                    <w:t>10</w:t>
                  </w:r>
                  <w:r>
                    <w:rPr>
                      <w:rFonts w:ascii="宋体" w:hAnsi="宋体" w:cs="宋体" w:eastAsia="宋体"/>
                      <w:sz w:val="18"/>
                    </w:rPr>
                    <w:t>）要求上报系统运行稳定，在软件功能抽查测试过程中未发现数据丢失、系统紊乱和致命死机现象，并可以连续无故障运行</w:t>
                  </w:r>
                  <w:r>
                    <w:rPr>
                      <w:rFonts w:ascii="宋体" w:hAnsi="宋体" w:cs="宋体" w:eastAsia="宋体"/>
                      <w:sz w:val="18"/>
                    </w:rPr>
                    <w:t>2小时以上。提供第三方检测机构出具的测评报告中关键页复印件并加盖公章证明以上要求的真实性。</w:t>
                  </w:r>
                </w:p>
                <w:p>
                  <w:pPr>
                    <w:pStyle w:val="null3"/>
                    <w:jc w:val="both"/>
                  </w:pPr>
                  <w:r>
                    <w:rPr>
                      <w:rFonts w:ascii="宋体" w:hAnsi="宋体" w:cs="宋体" w:eastAsia="宋体"/>
                      <w:sz w:val="18"/>
                    </w:rPr>
                    <w:t>1</w:t>
                  </w:r>
                  <w:r>
                    <w:rPr>
                      <w:rFonts w:ascii="宋体" w:hAnsi="宋体" w:cs="宋体" w:eastAsia="宋体"/>
                      <w:sz w:val="18"/>
                    </w:rPr>
                    <w:t>1</w:t>
                  </w:r>
                  <w:r>
                    <w:rPr>
                      <w:rFonts w:ascii="宋体" w:hAnsi="宋体" w:cs="宋体" w:eastAsia="宋体"/>
                      <w:sz w:val="18"/>
                    </w:rPr>
                    <w:t>）为保障项目顺利实施，实施该项目的技术团队应具有以下资质：数据库系统工程师证书、软件设计师证书、网络工程师证书、系统集成项目管理工程师证书、高级软件工程师证书、注册信息安全专业人员</w:t>
                  </w:r>
                  <w:r>
                    <w:rPr>
                      <w:rFonts w:ascii="宋体" w:hAnsi="宋体" w:cs="宋体" w:eastAsia="宋体"/>
                      <w:sz w:val="18"/>
                    </w:rPr>
                    <w:t>(CISO)，需提供证书原件扫描件或复印件并加盖公章。</w:t>
                  </w:r>
                </w:p>
                <w:p>
                  <w:pPr>
                    <w:pStyle w:val="null3"/>
                    <w:jc w:val="both"/>
                  </w:pPr>
                  <w:r>
                    <w:rPr>
                      <w:rFonts w:ascii="宋体" w:hAnsi="宋体" w:cs="宋体" w:eastAsia="宋体"/>
                      <w:sz w:val="18"/>
                    </w:rPr>
                    <w:t>1</w:t>
                  </w:r>
                  <w:r>
                    <w:rPr>
                      <w:rFonts w:ascii="宋体" w:hAnsi="宋体" w:cs="宋体" w:eastAsia="宋体"/>
                      <w:sz w:val="18"/>
                    </w:rPr>
                    <w:t>2</w:t>
                  </w:r>
                  <w:r>
                    <w:rPr>
                      <w:rFonts w:ascii="宋体" w:hAnsi="宋体" w:cs="宋体" w:eastAsia="宋体"/>
                      <w:sz w:val="18"/>
                    </w:rPr>
                    <w:t>）投标人应承诺本次建设人工智能平台原厂商提供</w:t>
                  </w:r>
                  <w:r>
                    <w:rPr>
                      <w:rFonts w:ascii="宋体" w:hAnsi="宋体" w:cs="宋体" w:eastAsia="宋体"/>
                      <w:sz w:val="18"/>
                    </w:rPr>
                    <w:t>≥2名工程师驻场不低于2年，确保完成相关内容。</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r>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分布式存储</w:t>
                  </w:r>
                </w:p>
              </w:tc>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套</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shd w:fill="FFFFFF" w:val="clear"/>
                    </w:rPr>
                    <w:t>大数据应用创新平台建设项目</w:t>
                  </w:r>
                  <w:r>
                    <w:rPr>
                      <w:rFonts w:ascii="宋体" w:hAnsi="宋体" w:cs="宋体" w:eastAsia="宋体"/>
                      <w:sz w:val="18"/>
                    </w:rPr>
                    <w:t>（第二包</w:t>
                  </w:r>
                  <w:r>
                    <w:rPr>
                      <w:rFonts w:ascii="宋体" w:hAnsi="宋体" w:cs="宋体" w:eastAsia="宋体"/>
                      <w:sz w:val="18"/>
                    </w:rPr>
                    <w:t>:大数据综合治理应用创新平台）</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1）配置：本次配置≥4个存储节点，共提供不少于150TB可得存储容量，单节点配置要求如下：</w:t>
                  </w:r>
                  <w:r>
                    <w:br/>
                  </w:r>
                  <w:r>
                    <w:rPr>
                      <w:rFonts w:ascii="宋体" w:hAnsi="宋体" w:cs="宋体" w:eastAsia="宋体"/>
                      <w:sz w:val="18"/>
                    </w:rPr>
                    <w:t>处理器：</w:t>
                  </w:r>
                  <w:r>
                    <w:rPr>
                      <w:rFonts w:ascii="宋体" w:hAnsi="宋体" w:cs="宋体" w:eastAsia="宋体"/>
                      <w:sz w:val="18"/>
                    </w:rPr>
                    <w:t>≥2颗，单颗处理器基础主频≥2.6GHz，处理器总物理核心数≥96core；</w:t>
                  </w:r>
                  <w:r>
                    <w:br/>
                  </w:r>
                  <w:r>
                    <w:rPr>
                      <w:rFonts w:ascii="宋体" w:hAnsi="宋体" w:cs="宋体" w:eastAsia="宋体"/>
                      <w:sz w:val="18"/>
                    </w:rPr>
                    <w:t>内存：</w:t>
                  </w:r>
                  <w:r>
                    <w:rPr>
                      <w:rFonts w:ascii="宋体" w:hAnsi="宋体" w:cs="宋体" w:eastAsia="宋体"/>
                      <w:sz w:val="18"/>
                    </w:rPr>
                    <w:t>≥256GB DDR4 3200MHz；</w:t>
                  </w:r>
                  <w:r>
                    <w:br/>
                  </w:r>
                  <w:r>
                    <w:rPr>
                      <w:rFonts w:ascii="宋体" w:hAnsi="宋体" w:cs="宋体" w:eastAsia="宋体"/>
                      <w:sz w:val="18"/>
                    </w:rPr>
                    <w:t>系统盘：</w:t>
                  </w:r>
                  <w:r>
                    <w:rPr>
                      <w:rFonts w:ascii="宋体" w:hAnsi="宋体" w:cs="宋体" w:eastAsia="宋体"/>
                      <w:sz w:val="18"/>
                    </w:rPr>
                    <w:t>≥2块480GB SSD；</w:t>
                  </w:r>
                  <w:r>
                    <w:br/>
                  </w:r>
                  <w:r>
                    <w:rPr>
                      <w:rFonts w:ascii="宋体" w:hAnsi="宋体" w:cs="宋体" w:eastAsia="宋体"/>
                      <w:sz w:val="18"/>
                    </w:rPr>
                    <w:t>数据盘：</w:t>
                  </w:r>
                  <w:r>
                    <w:rPr>
                      <w:rFonts w:ascii="宋体" w:hAnsi="宋体" w:cs="宋体" w:eastAsia="宋体"/>
                      <w:sz w:val="18"/>
                    </w:rPr>
                    <w:t>≥12块3.84TB SAS SSD固态盘；</w:t>
                  </w:r>
                  <w:r>
                    <w:br/>
                  </w:r>
                  <w:r>
                    <w:rPr>
                      <w:rFonts w:ascii="宋体" w:hAnsi="宋体" w:cs="宋体" w:eastAsia="宋体"/>
                      <w:sz w:val="18"/>
                    </w:rPr>
                    <w:t>网络接口：</w:t>
                  </w:r>
                  <w:r>
                    <w:rPr>
                      <w:rFonts w:ascii="宋体" w:hAnsi="宋体" w:cs="宋体" w:eastAsia="宋体"/>
                      <w:sz w:val="18"/>
                    </w:rPr>
                    <w:t>≥4*GE接口，≥4*10GE万兆光口（含光模块）；</w:t>
                  </w:r>
                  <w:r>
                    <w:br/>
                  </w:r>
                  <w:r>
                    <w:rPr>
                      <w:rFonts w:ascii="宋体" w:hAnsi="宋体" w:cs="宋体" w:eastAsia="宋体"/>
                      <w:sz w:val="18"/>
                    </w:rPr>
                    <w:t>电源：</w:t>
                  </w:r>
                  <w:r>
                    <w:rPr>
                      <w:rFonts w:ascii="宋体" w:hAnsi="宋体" w:cs="宋体" w:eastAsia="宋体"/>
                      <w:sz w:val="18"/>
                    </w:rPr>
                    <w:t>≥900W冗余双电源；</w:t>
                  </w:r>
                </w:p>
                <w:p>
                  <w:pPr>
                    <w:pStyle w:val="null3"/>
                    <w:ind w:left="165"/>
                    <w:jc w:val="both"/>
                  </w:pPr>
                  <w:r>
                    <w:rPr>
                      <w:rFonts w:ascii="宋体" w:hAnsi="宋体" w:cs="宋体" w:eastAsia="宋体"/>
                      <w:sz w:val="18"/>
                    </w:rPr>
                    <w:t>提供与机房现有同规格超六类非屏蔽跳线，长度</w:t>
                  </w:r>
                  <w:r>
                    <w:rPr>
                      <w:rFonts w:ascii="宋体" w:hAnsi="宋体" w:cs="宋体" w:eastAsia="宋体"/>
                      <w:sz w:val="18"/>
                    </w:rPr>
                    <w:t>≥1米，线径≥24AWG，传输带宽：≥500MHz，符合TIA/EIA-568C.2、ISO11801 2nd、EN50173标准，数量≥1500条。</w:t>
                  </w:r>
                  <w:r>
                    <w:br/>
                  </w:r>
                  <w:r>
                    <w:rPr>
                      <w:rFonts w:ascii="宋体" w:hAnsi="宋体" w:cs="宋体" w:eastAsia="宋体"/>
                      <w:sz w:val="18"/>
                    </w:rPr>
                    <w:t>2）系统架构：全对称分布式架构，无独立元数据节点，性能、容量随节点数增加而线性增加，新增性能不低于单节点性能基线80%*新增节点个数，扩容过程中对业务无影响，提供相关证明材料，包括但不限于官网链接、彩页、第三方检测报告等证明材料。；</w:t>
                  </w:r>
                  <w:r>
                    <w:br/>
                  </w:r>
                  <w:r>
                    <w:rPr>
                      <w:rFonts w:ascii="宋体" w:hAnsi="宋体" w:cs="宋体" w:eastAsia="宋体"/>
                      <w:sz w:val="18"/>
                    </w:rPr>
                    <w:t>3）数据冗余保护：支持数据高冗余模式，最多可容忍任意4个节点同时失效而不丢失数据。支持动态EC，当节点故障时，自动调整EC配比，确保新数据可靠性不降级，提供相关证明材料，包括但不限于官网链接、彩页、第三方检测报告等证明材料。；</w:t>
                  </w:r>
                  <w:r>
                    <w:br/>
                  </w:r>
                  <w:r>
                    <w:rPr>
                      <w:rFonts w:ascii="宋体" w:hAnsi="宋体" w:cs="宋体" w:eastAsia="宋体"/>
                      <w:sz w:val="18"/>
                    </w:rPr>
                    <w:t>4）空间利用率：1、支持EC（纠删码）数据保护模式，且支持+2/+3/+4灵活EC配比；2、支持大比例EC，支持22+2 EC配比，利用率高于90%；</w:t>
                  </w:r>
                  <w:r>
                    <w:br/>
                  </w:r>
                  <w:r>
                    <w:rPr>
                      <w:rFonts w:ascii="宋体" w:hAnsi="宋体" w:cs="宋体" w:eastAsia="宋体"/>
                      <w:sz w:val="18"/>
                    </w:rPr>
                    <w:t>5）数据重构：当磁盘或存储节点故障时，系统能自动进行数据重建，在无人工干预条件下，数据重建速度需能满足：每TB≤30分钟；</w:t>
                  </w:r>
                  <w:r>
                    <w:br/>
                  </w:r>
                  <w:r>
                    <w:rPr>
                      <w:rFonts w:ascii="宋体" w:hAnsi="宋体" w:cs="宋体" w:eastAsia="宋体"/>
                      <w:sz w:val="18"/>
                    </w:rPr>
                    <w:t>6）存储节点采用基于 RISC 精简指令集的CPU。</w:t>
                  </w:r>
                  <w:r>
                    <w:br/>
                  </w:r>
                  <w:r>
                    <w:rPr>
                      <w:rFonts w:ascii="宋体" w:hAnsi="宋体" w:cs="宋体" w:eastAsia="宋体"/>
                      <w:sz w:val="18"/>
                    </w:rPr>
                    <w:t>7）负载均衡：支持业务负载均衡，支持轮询、CPU使用率、节点连接数、节点吞吐量多种负载均衡策略，提供相关证明材料，包括但不限于官网链接、彩页、第三方检测报告等证明材料。</w:t>
                  </w:r>
                  <w:r>
                    <w:br/>
                  </w:r>
                  <w:r>
                    <w:rPr>
                      <w:rFonts w:ascii="宋体" w:hAnsi="宋体" w:cs="宋体" w:eastAsia="宋体"/>
                      <w:sz w:val="18"/>
                    </w:rPr>
                    <w:t>8）快照：支持基于命名空间和子命名空间粒度的快照；快照占用的空间可在配额中统计，提供相关证明材料，包括但不限于官网链接、彩页、第三方检测报告等证明材料。</w:t>
                  </w:r>
                  <w:r>
                    <w:br/>
                  </w:r>
                  <w:r>
                    <w:rPr>
                      <w:rFonts w:ascii="宋体" w:hAnsi="宋体" w:cs="宋体" w:eastAsia="宋体"/>
                      <w:sz w:val="18"/>
                    </w:rPr>
                    <w:t>9）多租户：支持多租户能力，可基于租户设置域控、协议类型、Qos，以租户为粒度进行元数据检索和审计日志查询；</w:t>
                  </w:r>
                  <w:r>
                    <w:br/>
                  </w:r>
                  <w:r>
                    <w:rPr>
                      <w:rFonts w:ascii="宋体" w:hAnsi="宋体" w:cs="宋体" w:eastAsia="宋体"/>
                      <w:sz w:val="18"/>
                    </w:rPr>
                    <w:t>10）QoS：支持文件系统级Qos，QoS策略支持按性能密度和按上限两种模式，可限定基础带宽、最大带宽、带宽密度、OPS上限等指标。</w:t>
                  </w:r>
                  <w:r>
                    <w:br/>
                  </w:r>
                  <w:r>
                    <w:rPr>
                      <w:rFonts w:ascii="宋体" w:hAnsi="宋体" w:cs="宋体" w:eastAsia="宋体"/>
                      <w:sz w:val="18"/>
                    </w:rPr>
                    <w:t>11）回收站：支持回收站功能，回收站内文件的保留时长和扫描周期可配置；</w:t>
                  </w:r>
                  <w:r>
                    <w:br/>
                  </w:r>
                  <w:r>
                    <w:rPr>
                      <w:rFonts w:ascii="宋体" w:hAnsi="宋体" w:cs="宋体" w:eastAsia="宋体"/>
                      <w:sz w:val="18"/>
                    </w:rPr>
                    <w:t>12）端到端DIF：支持端到端数据完整性校验（DIF），解决静默数据错误问题，提升数据可靠性，提供相关证明材料，包括但不限于官网链接、彩页、第三方检测报告等证明材料。；</w:t>
                  </w:r>
                  <w:r>
                    <w:br/>
                  </w:r>
                  <w:r>
                    <w:rPr>
                      <w:rFonts w:ascii="宋体" w:hAnsi="宋体" w:cs="宋体" w:eastAsia="宋体"/>
                      <w:sz w:val="18"/>
                    </w:rPr>
                    <w:t>13）扩容升级：支持在线添加节点，添加节点后，集群容量和性能近线性增长。扩容过程中对业务无影响；支持存储软件在线升级，扩容和升级操作均不影响前端业务的连续性，提供相关证明材料，包括但不限于官网链接、彩页、第三方检测报告等证明材料。</w:t>
                  </w:r>
                </w:p>
                <w:p>
                  <w:pPr>
                    <w:pStyle w:val="null3"/>
                    <w:ind w:left="165"/>
                    <w:jc w:val="both"/>
                  </w:pPr>
                  <w:r>
                    <w:rPr>
                      <w:rFonts w:ascii="宋体" w:hAnsi="宋体" w:cs="宋体" w:eastAsia="宋体"/>
                      <w:sz w:val="18"/>
                    </w:rPr>
                    <w:t>14）本次分布式存储在现有集群上进行扩容，加入现网集群，在统一管理界面统一管理，进行资源分发，满足整体集群可用性要求。</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5"/>
                    <w:jc w:val="both"/>
                  </w:pPr>
                  <w:r>
                    <w:rPr>
                      <w:rFonts w:ascii="宋体" w:hAnsi="宋体" w:cs="宋体" w:eastAsia="宋体"/>
                      <w:sz w:val="18"/>
                    </w:rPr>
                    <w:t>1</w:t>
                  </w:r>
                </w:p>
              </w:tc>
            </w:tr>
          </w:tbl>
          <w:p/>
        </w:tc>
      </w:tr>
      <w:tr>
        <w:tc>
          <w:tcPr>
            <w:tcW w:type="dxa" w:w="2769"/>
          </w:tcPr>
          <w:p/>
        </w:tc>
        <w:tc>
          <w:tcPr>
            <w:tcW w:type="dxa" w:w="2769"/>
          </w:tcPr>
          <w:p>
            <w:pPr>
              <w:pStyle w:val="null3"/>
            </w:pPr>
            <w:r>
              <w:rPr/>
              <w:t>2</w:t>
            </w:r>
          </w:p>
        </w:tc>
        <w:tc>
          <w:tcPr>
            <w:tcW w:type="dxa" w:w="2769"/>
          </w:tcPr>
          <w:p>
            <w:pPr>
              <w:pStyle w:val="null3"/>
              <w:jc w:val="both"/>
            </w:pPr>
            <w:r>
              <w:rPr>
                <w:rFonts w:ascii="宋体" w:hAnsi="宋体" w:cs="宋体" w:eastAsia="宋体"/>
                <w:sz w:val="18"/>
              </w:rPr>
              <w:t>核心产</w:t>
            </w:r>
            <w:r>
              <w:rPr>
                <w:rFonts w:ascii="宋体" w:hAnsi="宋体" w:cs="宋体" w:eastAsia="宋体"/>
                <w:sz w:val="18"/>
              </w:rPr>
              <w:t>品：虚拟化资源平台</w:t>
            </w:r>
          </w:p>
        </w:tc>
      </w:tr>
      <w:tr>
        <w:tc>
          <w:tcPr>
            <w:tcW w:type="dxa" w:w="2769"/>
          </w:tcPr>
          <w:p/>
        </w:tc>
        <w:tc>
          <w:tcPr>
            <w:tcW w:type="dxa" w:w="2769"/>
          </w:tcPr>
          <w:p>
            <w:pPr>
              <w:pStyle w:val="null3"/>
            </w:pPr>
            <w:r>
              <w:rPr/>
              <w:t>3</w:t>
            </w:r>
          </w:p>
        </w:tc>
        <w:tc>
          <w:tcPr>
            <w:tcW w:type="dxa" w:w="2769"/>
          </w:tcPr>
          <w:p>
            <w:pPr>
              <w:pStyle w:val="null3"/>
              <w:jc w:val="both"/>
            </w:pPr>
            <w:r>
              <w:rPr>
                <w:rFonts w:ascii="宋体" w:hAnsi="宋体" w:cs="宋体" w:eastAsia="宋体"/>
                <w:sz w:val="18"/>
              </w:rPr>
              <w:t>交货时间：</w:t>
            </w:r>
            <w:r>
              <w:rPr>
                <w:rFonts w:ascii="&quot;times new roman&quot;" w:hAnsi="&quot;times new roman&quot;" w:cs="&quot;times new roman&quot;" w:eastAsia="&quot;times new roman&quot;"/>
                <w:sz w:val="21"/>
              </w:rPr>
              <w:t>1.交货期：合同签订之日起60个日历日内；</w:t>
            </w:r>
            <w:r>
              <w:rPr>
                <w:rFonts w:ascii="&quot;times new roman&quot;" w:hAnsi="&quot;times new roman&quot;" w:cs="&quot;times new roman&quot;" w:eastAsia="&quot;times new roman&quot;"/>
                <w:sz w:val="21"/>
              </w:rPr>
              <w:t>2.安装调试期：到货之日起45个日历日内。</w:t>
            </w:r>
          </w:p>
          <w:p>
            <w:pPr>
              <w:pStyle w:val="null3"/>
              <w:jc w:val="both"/>
            </w:pPr>
          </w:p>
        </w:tc>
      </w:tr>
      <w:tr>
        <w:tc>
          <w:tcPr>
            <w:tcW w:type="dxa" w:w="2769"/>
          </w:tcPr>
          <w:p/>
        </w:tc>
        <w:tc>
          <w:tcPr>
            <w:tcW w:type="dxa" w:w="2769"/>
          </w:tcPr>
          <w:p>
            <w:pPr>
              <w:pStyle w:val="null3"/>
            </w:pPr>
            <w:r>
              <w:rPr/>
              <w:t>4</w:t>
            </w:r>
          </w:p>
        </w:tc>
        <w:tc>
          <w:tcPr>
            <w:tcW w:type="dxa" w:w="2769"/>
          </w:tcPr>
          <w:p>
            <w:pPr>
              <w:pStyle w:val="null3"/>
              <w:jc w:val="both"/>
            </w:pPr>
            <w:r>
              <w:rPr>
                <w:rFonts w:ascii="宋体" w:hAnsi="宋体" w:cs="宋体" w:eastAsia="宋体"/>
                <w:sz w:val="21"/>
              </w:rPr>
              <w:t>质保期：三年</w:t>
            </w:r>
          </w:p>
        </w:tc>
      </w:tr>
      <w:tr>
        <w:tc>
          <w:tcPr>
            <w:tcW w:type="dxa" w:w="2769"/>
          </w:tcPr>
          <w:p>
            <w:pPr>
              <w:pStyle w:val="null3"/>
            </w:pPr>
            <w:r>
              <w:rPr/>
              <w:t>★</w:t>
            </w:r>
          </w:p>
        </w:tc>
        <w:tc>
          <w:tcPr>
            <w:tcW w:type="dxa" w:w="2769"/>
          </w:tcPr>
          <w:p>
            <w:pPr>
              <w:pStyle w:val="null3"/>
            </w:pPr>
            <w:r>
              <w:rPr/>
              <w:t>5</w:t>
            </w:r>
          </w:p>
        </w:tc>
        <w:tc>
          <w:tcPr>
            <w:tcW w:type="dxa" w:w="2769"/>
          </w:tcPr>
          <w:p>
            <w:pPr>
              <w:pStyle w:val="null3"/>
              <w:jc w:val="both"/>
            </w:pPr>
            <w:r>
              <w:rPr>
                <w:rFonts w:ascii="宋体" w:hAnsi="宋体" w:cs="宋体" w:eastAsia="宋体"/>
                <w:sz w:val="21"/>
              </w:rPr>
              <w:t>合同款支付全部通过银行转账至双方约定开设的项目专用账户，乙方应及时与甲方沟通专用账户开通事宜并在中标</w:t>
            </w:r>
            <w:r>
              <w:rPr>
                <w:rFonts w:ascii="&quot;&quot;times new roman&quot;&quot;" w:hAnsi="&quot;&quot;times new roman&quot;&quot;" w:cs="&quot;&quot;times new roman&quot;&quot;" w:eastAsia="&quot;&quot;times new roman&quot;&quot;"/>
                <w:sz w:val="21"/>
              </w:rPr>
              <w:t>/</w:t>
            </w:r>
            <w:r>
              <w:rPr>
                <w:rFonts w:ascii="宋体" w:hAnsi="宋体" w:cs="宋体" w:eastAsia="宋体"/>
                <w:sz w:val="21"/>
              </w:rPr>
              <w:t>成交通知书发出之日起</w:t>
            </w:r>
            <w:r>
              <w:rPr>
                <w:rFonts w:ascii="&quot;&quot;times new roman&quot;&quot;" w:hAnsi="&quot;&quot;times new roman&quot;&quot;" w:cs="&quot;&quot;times new roman&quot;&quot;" w:eastAsia="&quot;&quot;times new roman&quot;&quot;"/>
                <w:sz w:val="21"/>
                <w:u w:val="single"/>
              </w:rPr>
              <w:t xml:space="preserve"> 2 </w:t>
            </w:r>
            <w:r>
              <w:rPr>
                <w:rFonts w:ascii="宋体" w:hAnsi="宋体" w:cs="宋体" w:eastAsia="宋体"/>
                <w:sz w:val="21"/>
              </w:rPr>
              <w:t>个工作日内开通专用账户</w:t>
            </w:r>
            <w:r>
              <w:rPr>
                <w:rFonts w:ascii="&quot;&quot;times new roman&quot;&quot;" w:hAnsi="&quot;&quot;times new roman&quot;&quot;" w:cs="&quot;&quot;times new roman&quot;&quot;" w:eastAsia="&quot;&quot;times new roman&quot;&quot;"/>
                <w:sz w:val="21"/>
              </w:rPr>
              <w:t>,</w:t>
            </w:r>
            <w:r>
              <w:rPr>
                <w:rFonts w:ascii="宋体" w:hAnsi="宋体" w:cs="宋体" w:eastAsia="宋体"/>
                <w:sz w:val="21"/>
              </w:rPr>
              <w:t>确保项目资金专款专用。乙方确认其所提供的账户符合甲方要求且正确无误，因乙方账户错误或者其他任何原因导致乙方无法收取款项的，责任由乙方自行承担。甲方支付款项到达乙方提供账户之日即视为甲方已按照本协议约定妥善履行付款义务。</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1.交货期：合同签订之日起60个日历日内；2.安装调试期：到货之日起45个日历日内。</w:t>
      </w:r>
    </w:p>
    <w:p>
      <w:pPr>
        <w:pStyle w:val="null3"/>
      </w:pPr>
      <w:r>
        <w:rPr/>
        <w:t>采购包2：</w:t>
      </w:r>
    </w:p>
    <w:p>
      <w:pPr>
        <w:pStyle w:val="null3"/>
      </w:pPr>
      <w:r>
        <w:rPr/>
        <w:t>1.交货期：合同签订之日起60个日历日内；2.安装调试期：到货之日起45个日历日内。</w:t>
      </w:r>
    </w:p>
    <w:p>
      <w:pPr>
        <w:pStyle w:val="null3"/>
        <w:outlineLvl w:val="3"/>
      </w:pPr>
      <w:r>
        <w:rPr>
          <w:sz w:val="24"/>
          <w:b/>
        </w:rPr>
        <w:t>3.4.2交货地点</w:t>
      </w:r>
    </w:p>
    <w:p>
      <w:pPr>
        <w:pStyle w:val="null3"/>
      </w:pPr>
      <w:r>
        <w:rPr/>
        <w:t>采购包1：</w:t>
      </w:r>
    </w:p>
    <w:p>
      <w:pPr>
        <w:pStyle w:val="null3"/>
      </w:pPr>
      <w:r>
        <w:rPr/>
        <w:t>陕西工业职业技术学院</w:t>
      </w:r>
    </w:p>
    <w:p>
      <w:pPr>
        <w:pStyle w:val="null3"/>
      </w:pPr>
      <w:r>
        <w:rPr/>
        <w:t>采购包2：</w:t>
      </w:r>
    </w:p>
    <w:p>
      <w:pPr>
        <w:pStyle w:val="null3"/>
      </w:pPr>
      <w:r>
        <w:rPr/>
        <w:t>陕西工业职业技术学院</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采购包1：</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采购包1：</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pPr>
      <w:r>
        <w:rPr/>
        <w:t>采购包2：</w:t>
      </w:r>
      <w:r>
        <w:rPr/>
        <w:t xml:space="preserve"> 付款条件说明： </w:t>
      </w:r>
      <w:r>
        <w:rPr/>
        <w:t>合同签订后10日内，乙方提供收款收据</w:t>
      </w:r>
      <w:r>
        <w:rPr/>
        <w:t xml:space="preserve"> ，达到付款条件起 </w:t>
      </w:r>
      <w:r>
        <w:rPr/>
        <w:t>10</w:t>
      </w:r>
      <w:r>
        <w:rPr/>
        <w:t xml:space="preserve"> 日内，支付合同总金额的 </w:t>
      </w:r>
      <w:r>
        <w:rPr/>
        <w:t>50.00</w:t>
      </w:r>
      <w:r>
        <w:rPr/>
        <w:t>%。</w:t>
      </w:r>
    </w:p>
    <w:p>
      <w:pPr>
        <w:pStyle w:val="null3"/>
      </w:pPr>
      <w:r>
        <w:rPr/>
        <w:t>采购包2：</w:t>
      </w:r>
      <w:r>
        <w:rPr/>
        <w:t xml:space="preserve"> 付款条件说明： </w:t>
      </w:r>
      <w:r>
        <w:rPr/>
        <w:t>乙方将所本合同项下所有货物运送到甲方指定地点后，甲方进行到货开箱验收，书面验收合格后，乙方开具合法且符合甲方要求的合同款项全额增值税专用发票，甲方收到乙方全额发票后</w:t>
      </w:r>
      <w:r>
        <w:rPr/>
        <w:t xml:space="preserve"> ，达到付款条件起 </w:t>
      </w:r>
      <w:r>
        <w:rPr/>
        <w:t>30</w:t>
      </w:r>
      <w:r>
        <w:rPr/>
        <w:t xml:space="preserve"> 日内，支付合同总金额的 </w:t>
      </w:r>
      <w:r>
        <w:rPr/>
        <w:t>10.00</w:t>
      </w:r>
      <w:r>
        <w:rPr/>
        <w:t>%。</w:t>
      </w:r>
    </w:p>
    <w:p>
      <w:pPr>
        <w:pStyle w:val="null3"/>
      </w:pPr>
      <w:r>
        <w:rPr/>
        <w:t>采购包2：</w:t>
      </w:r>
      <w:r>
        <w:rPr/>
        <w:t xml:space="preserve"> 付款条件说明： </w:t>
      </w:r>
      <w:r>
        <w:rPr/>
        <w:t>乙方负责完成货物安装调试，试运行 10 日，且达到平稳运行条件后向甲方申请验收，在30日内甲方进行最终验收，书面验收合格且无索赔争议后</w:t>
      </w:r>
      <w:r>
        <w:rPr/>
        <w:t xml:space="preserve"> ，达到付款条件起 </w:t>
      </w:r>
      <w:r>
        <w:rPr/>
        <w:t>30</w:t>
      </w:r>
      <w:r>
        <w:rPr/>
        <w:t xml:space="preserve"> 日内，支付合同总金额的 </w:t>
      </w:r>
      <w:r>
        <w:rPr/>
        <w:t>40.00</w:t>
      </w:r>
      <w:r>
        <w:rPr/>
        <w:t>%。</w:t>
      </w:r>
    </w:p>
    <w:p>
      <w:pPr>
        <w:pStyle w:val="null3"/>
        <w:outlineLvl w:val="3"/>
      </w:pPr>
      <w:r>
        <w:rPr>
          <w:sz w:val="24"/>
          <w:b/>
        </w:rPr>
        <w:t>3.4.5验收标准和方法</w:t>
      </w:r>
    </w:p>
    <w:p>
      <w:pPr>
        <w:pStyle w:val="null3"/>
      </w:pPr>
      <w:r>
        <w:rPr/>
        <w:t>采购包1：</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t>采购包2：</w:t>
      </w:r>
    </w:p>
    <w:p>
      <w:pPr>
        <w:pStyle w:val="null3"/>
      </w:pPr>
      <w:r>
        <w:rPr/>
        <w:t>验收分到货开箱验收和甲方最终验收两个阶段，以最终验收为准。 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三年</w:t>
      </w:r>
    </w:p>
    <w:p>
      <w:pPr>
        <w:pStyle w:val="null3"/>
      </w:pPr>
      <w:r>
        <w:rPr/>
        <w:t>采购包2：</w:t>
      </w:r>
    </w:p>
    <w:p>
      <w:pPr>
        <w:pStyle w:val="null3"/>
      </w:pPr>
      <w:r>
        <w:rPr/>
        <w:t>三年</w:t>
      </w:r>
    </w:p>
    <w:p>
      <w:pPr>
        <w:pStyle w:val="null3"/>
        <w:outlineLvl w:val="3"/>
      </w:pPr>
      <w:r>
        <w:rPr>
          <w:sz w:val="24"/>
          <w:b/>
        </w:rPr>
        <w:t>3.4.8违约责任与解决争议的方法</w:t>
      </w:r>
    </w:p>
    <w:p>
      <w:pPr>
        <w:pStyle w:val="null3"/>
      </w:pPr>
      <w:r>
        <w:rPr/>
        <w:t>采购包1：</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pPr>
      <w:r>
        <w:rPr/>
        <w:t>采购包2：</w:t>
      </w:r>
    </w:p>
    <w:p>
      <w:pPr>
        <w:pStyle w:val="null3"/>
      </w:pPr>
      <w:r>
        <w:rPr/>
        <w:t>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 2.如乙方产品质量不符合国家标准或未达到本企业内控标准，甲方有权退货，并且乙方应承担甲方合同总价款的10％的违约金并赔偿其他损失。 3.在合同规定的供货期内乙方未如数交货，除应如数补齐外，还应承担合同总款的10％违约金。 4.质量保证期内因产品质量问题，乙方未按合同规定及时进行维修、更换，甲方可自行组织人员进行维修、更换，因此造成的相关责任、费用由乙方承担，同时质量保证期重新起算。 5.乙方对材料不按招标文件要求，擅自更换，除恢复原招标产品外，应承担更换部分价款10%的违约金。 6.乙方如对材料以次充好，除全部按要求恢复外，应承担此部分价款10%的违约金。 7.如由于产品质量原因，不能通过验收，乙方除按规定无偿更换外，应承担所涉及产品总价款的10％违约金。 8.乙方供应产品存在知识产权瑕疵或所有权瑕疵，导致第三方向甲方索赔的，因此产生的赔偿款、行政罚款、处理纠纷发生的律师费、诉讼费、保全费等各项费用由乙方承担。 9.本合同签订后，乙方不得将本合同项下义务转交或委托任何第三方完成，一经发现，甲方有权解除合同。乙方应当按照合同总价款两倍向甲方支付违约金。 10.如因天气原因或甲方安排等原因需要调整供货时间、地点的，乙方应当无条件配合甲方，合同期限相应顺延且甲方不承担任何责任。</w:t>
      </w:r>
    </w:p>
    <w:p>
      <w:pPr>
        <w:pStyle w:val="null3"/>
        <w:jc w:val="left"/>
        <w:outlineLvl w:val="2"/>
      </w:pPr>
      <w:r>
        <w:rPr>
          <w:sz w:val="28"/>
          <w:b/>
        </w:rPr>
        <w:t>3.5其他要求</w:t>
      </w:r>
    </w:p>
    <w:p>
      <w:pPr>
        <w:pStyle w:val="null3"/>
      </w:pPr>
      <w:r>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为顺利推进政府采购电子化交易平台试点应用工作，供应商需要在线提交所有通过电子化交易平台实施的政府采购项目的投标文件，同时，线下提交纸质投标文件正本一份、副本一份，电子版本一份（以U盘形式提供，文件格式包含.doc/.docx格式及正本盖章后扫描的.pdf格式），递交截止时间同在线递交电子投标文件截止时间一致。若电子投标文件与纸质投标文件不一致的，以纸质投标文件为准；若正本和副本不符，以正本为准。投标文件正、副本分别各自装订成册密封，在封口处加盖供应商公章。3、需 要落实的政府采购政策：1）《国务院办公厅关于建立政府强制采购节能产品制度的通知》（国办发〔2007〕51号）；2） 《财政部 司法部关于政府采购支持监狱企业发展有关问题的通知》（财库〔2014〕68号）；3）《三部门联合发布关于促进 残疾人就业政府采购政策的通知》（财库〔2017〕141号）；4）《财政部 发展改革委生态环境部 市场监管总局关于调整优 化节能产品、环境标志产品政府采购执行机制的通知》（财库〔2019〕9号）；5）《关于运用政府采购政策支持乡村产业振兴的通知》（财库〔2021〕19号）；6）《政府采购促进中小企业发展管理办法》 （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资格审查证明文件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1.财务状况报告：提供具有财务审计资质单位出具的2023年度财务报告（成立时间至开标时间不足一年的可提供成立后任意时段的资产负债表）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成立时间至开标时间不足一年的可提供成立后任意时段的资产负债表）或开标前六个月内其基本账户银行出具的资信证明或政府采购信用担保机构出具的担保函； 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资格审查证明文件 承诺 投标文件封面</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资格审查证明文件 承诺 投标文件封面</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法人或者其他组织的营业执照等证明文件，自然人的身份证明</w:t>
            </w:r>
          </w:p>
        </w:tc>
        <w:tc>
          <w:tcPr>
            <w:tcW w:type="dxa" w:w="3322"/>
          </w:tcPr>
          <w:p>
            <w:pPr>
              <w:pStyle w:val="null3"/>
            </w:pPr>
            <w:r>
              <w:rPr/>
              <w:t>供应商应是独立承担民事责任能力的法人、其他组织或自然人，法人、其他组织须提供合法有效的营业执照（或事业单位法人证书）等证明资料， 自然人须提供身份证明。注：供应商需在项目电子化交易系统中按要求上传相应证明文件并进行电子签章。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2</w:t>
            </w:r>
          </w:p>
        </w:tc>
        <w:tc>
          <w:tcPr>
            <w:tcW w:type="dxa" w:w="2492"/>
          </w:tcPr>
          <w:p>
            <w:pPr>
              <w:pStyle w:val="null3"/>
            </w:pPr>
            <w:r>
              <w:rPr/>
              <w:t>企业信用</w:t>
            </w:r>
          </w:p>
        </w:tc>
        <w:tc>
          <w:tcPr>
            <w:tcW w:type="dxa" w:w="3322"/>
          </w:tcPr>
          <w:p>
            <w:pPr>
              <w:pStyle w:val="null3"/>
            </w:pPr>
            <w:r>
              <w:rPr/>
              <w:t>供应商不得为列入“信用中国”(www.creditchina.gov.cn)记录失信被执行人、重大税收违法失信主体、中国政府采购网(www.ccgp.gov.cn)的政府采购严重违法失信行为记录名单，如相关失信记录已失效，需提供相关证明资料。采购代理机构于投标截止日当天在网站的查询结果为准（截图留存），注：供应商需在项目电子化交易系统中按要求上传相应证明文件并进行电子签章。</w:t>
            </w:r>
          </w:p>
        </w:tc>
        <w:tc>
          <w:tcPr>
            <w:tcW w:type="dxa" w:w="1661"/>
          </w:tcPr>
          <w:p>
            <w:pPr>
              <w:pStyle w:val="null3"/>
            </w:pPr>
            <w:r>
              <w:rPr/>
              <w:t>投标函 资格审查证明文件 投标文件封面</w:t>
            </w:r>
          </w:p>
        </w:tc>
      </w:tr>
      <w:tr>
        <w:tc>
          <w:tcPr>
            <w:tcW w:type="dxa" w:w="831"/>
          </w:tcPr>
          <w:p>
            <w:pPr>
              <w:pStyle w:val="null3"/>
            </w:pPr>
            <w:r>
              <w:rPr/>
              <w:t>3</w:t>
            </w:r>
          </w:p>
        </w:tc>
        <w:tc>
          <w:tcPr>
            <w:tcW w:type="dxa" w:w="2492"/>
          </w:tcPr>
          <w:p>
            <w:pPr>
              <w:pStyle w:val="null3"/>
            </w:pPr>
            <w:r>
              <w:rPr/>
              <w:t>控股关系</w:t>
            </w:r>
          </w:p>
        </w:tc>
        <w:tc>
          <w:tcPr>
            <w:tcW w:type="dxa" w:w="332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t>投标函 资格审查证明文件 承诺 投标文件封面</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报价明细表 标的清单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供应商的报价明显低于其他通过符合性审查供应商的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评标委员会要求的时间内通过项目电子化交易系统进行提交，否则提交的相关证明材料无效。供应商不能证明其报价合理性的，评标委员会应当将其响应文件作为无效处理。</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2</w:t>
            </w:r>
          </w:p>
        </w:tc>
        <w:tc>
          <w:tcPr>
            <w:tcW w:type="dxa" w:w="2492"/>
          </w:tcPr>
          <w:p>
            <w:pPr>
              <w:pStyle w:val="null3"/>
            </w:pPr>
            <w:r>
              <w:rPr/>
              <w:t>投标文件签字、盖章</w:t>
            </w:r>
          </w:p>
        </w:tc>
        <w:tc>
          <w:tcPr>
            <w:tcW w:type="dxa" w:w="3322"/>
          </w:tcPr>
          <w:p>
            <w:pPr>
              <w:pStyle w:val="null3"/>
            </w:pPr>
            <w:r>
              <w:rPr/>
              <w:t>投标文件签署、盖章均按招标文件要求签字、盖章。</w:t>
            </w:r>
          </w:p>
        </w:tc>
        <w:tc>
          <w:tcPr>
            <w:tcW w:type="dxa" w:w="1661"/>
          </w:tcPr>
          <w:p>
            <w:pPr>
              <w:pStyle w:val="null3"/>
            </w:pPr>
            <w:r>
              <w:rPr/>
              <w:t>选配件报价表（如果有） 开标一览表 技术响应 中小企业声明函 报价表 法定代表人（或负责人）授权书 法定代表人（或负责人）身份证明 投标函 残疾人福利性单位声明函 报价明细表 资格审查证明文件 备品备件清单（如果有） 承诺 近年业绩及相关证明材料 标的清单 商务响应及相关证明 投标文件封面 监狱企业的证明文件</w:t>
            </w:r>
          </w:p>
        </w:tc>
      </w:tr>
      <w:tr>
        <w:tc>
          <w:tcPr>
            <w:tcW w:type="dxa" w:w="831"/>
          </w:tcPr>
          <w:p>
            <w:pPr>
              <w:pStyle w:val="null3"/>
            </w:pPr>
            <w:r>
              <w:rPr/>
              <w:t>3</w:t>
            </w:r>
          </w:p>
        </w:tc>
        <w:tc>
          <w:tcPr>
            <w:tcW w:type="dxa" w:w="2492"/>
          </w:tcPr>
          <w:p>
            <w:pPr>
              <w:pStyle w:val="null3"/>
            </w:pPr>
            <w:r>
              <w:rPr/>
              <w:t>投标报价</w:t>
            </w:r>
          </w:p>
        </w:tc>
        <w:tc>
          <w:tcPr>
            <w:tcW w:type="dxa" w:w="3322"/>
          </w:tcPr>
          <w:p>
            <w:pPr>
              <w:pStyle w:val="null3"/>
            </w:pPr>
            <w:r>
              <w:rPr/>
              <w:t>唯一报价，并未超出采购预算。</w:t>
            </w:r>
          </w:p>
        </w:tc>
        <w:tc>
          <w:tcPr>
            <w:tcW w:type="dxa" w:w="1661"/>
          </w:tcPr>
          <w:p>
            <w:pPr>
              <w:pStyle w:val="null3"/>
            </w:pPr>
            <w:r>
              <w:rPr/>
              <w:t>开标一览表 报价明细表 标的清单 投标文件封面 报价表</w:t>
            </w:r>
          </w:p>
        </w:tc>
      </w:tr>
      <w:tr>
        <w:tc>
          <w:tcPr>
            <w:tcW w:type="dxa" w:w="831"/>
          </w:tcPr>
          <w:p>
            <w:pPr>
              <w:pStyle w:val="null3"/>
            </w:pPr>
            <w:r>
              <w:rPr/>
              <w:t>4</w:t>
            </w:r>
          </w:p>
        </w:tc>
        <w:tc>
          <w:tcPr>
            <w:tcW w:type="dxa" w:w="2492"/>
          </w:tcPr>
          <w:p>
            <w:pPr>
              <w:pStyle w:val="null3"/>
            </w:pPr>
            <w:r>
              <w:rPr/>
              <w:t>投标文件有效期</w:t>
            </w:r>
          </w:p>
        </w:tc>
        <w:tc>
          <w:tcPr>
            <w:tcW w:type="dxa" w:w="3322"/>
          </w:tcPr>
          <w:p>
            <w:pPr>
              <w:pStyle w:val="null3"/>
            </w:pPr>
            <w:r>
              <w:rPr/>
              <w:t>符合招标文件要求。</w:t>
            </w:r>
          </w:p>
        </w:tc>
        <w:tc>
          <w:tcPr>
            <w:tcW w:type="dxa" w:w="1661"/>
          </w:tcPr>
          <w:p>
            <w:pPr>
              <w:pStyle w:val="null3"/>
            </w:pPr>
            <w:r>
              <w:rPr/>
              <w:t>投标函 投标文件封面</w:t>
            </w:r>
          </w:p>
        </w:tc>
      </w:tr>
      <w:tr>
        <w:tc>
          <w:tcPr>
            <w:tcW w:type="dxa" w:w="831"/>
          </w:tcPr>
          <w:p>
            <w:pPr>
              <w:pStyle w:val="null3"/>
            </w:pPr>
            <w:r>
              <w:rPr/>
              <w:t>5</w:t>
            </w:r>
          </w:p>
        </w:tc>
        <w:tc>
          <w:tcPr>
            <w:tcW w:type="dxa" w:w="2492"/>
          </w:tcPr>
          <w:p>
            <w:pPr>
              <w:pStyle w:val="null3"/>
            </w:pPr>
            <w:r>
              <w:rPr/>
              <w:t>对合同权利和义务的响应</w:t>
            </w:r>
          </w:p>
        </w:tc>
        <w:tc>
          <w:tcPr>
            <w:tcW w:type="dxa" w:w="3322"/>
          </w:tcPr>
          <w:p>
            <w:pPr>
              <w:pStyle w:val="null3"/>
            </w:pPr>
            <w:r>
              <w:rPr/>
              <w:t>响应服务期限及合同中规定的双方的权利和义务。</w:t>
            </w:r>
          </w:p>
        </w:tc>
        <w:tc>
          <w:tcPr>
            <w:tcW w:type="dxa" w:w="1661"/>
          </w:tcPr>
          <w:p>
            <w:pPr>
              <w:pStyle w:val="null3"/>
            </w:pPr>
            <w:r>
              <w:rPr/>
              <w:t>商务响应及相关证明 投标文件封面</w:t>
            </w:r>
          </w:p>
        </w:tc>
      </w:tr>
      <w:tr>
        <w:tc>
          <w:tcPr>
            <w:tcW w:type="dxa" w:w="831"/>
          </w:tcPr>
          <w:p>
            <w:pPr>
              <w:pStyle w:val="null3"/>
            </w:pPr>
            <w:r>
              <w:rPr/>
              <w:t>6</w:t>
            </w:r>
          </w:p>
        </w:tc>
        <w:tc>
          <w:tcPr>
            <w:tcW w:type="dxa" w:w="2492"/>
          </w:tcPr>
          <w:p>
            <w:pPr>
              <w:pStyle w:val="null3"/>
            </w:pPr>
            <w:r>
              <w:rPr/>
              <w:t>授权委托书</w:t>
            </w:r>
          </w:p>
        </w:tc>
        <w:tc>
          <w:tcPr>
            <w:tcW w:type="dxa" w:w="3322"/>
          </w:tcPr>
          <w:p>
            <w:pPr>
              <w:pStyle w:val="null3"/>
            </w:pPr>
            <w:r>
              <w:rPr/>
              <w:t>提供有效的授权委托书及被授权人身份证（法定代表人、单位负责人或自然人直接投标的只须提交其身份证）。</w:t>
            </w:r>
          </w:p>
        </w:tc>
        <w:tc>
          <w:tcPr>
            <w:tcW w:type="dxa" w:w="1661"/>
          </w:tcPr>
          <w:p>
            <w:pPr>
              <w:pStyle w:val="null3"/>
            </w:pPr>
            <w:r>
              <w:rPr/>
              <w:t>投标文件封面 法定代表人（或负责人）授权书 法定代表人（或负责人）身份证明</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承诺</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资格审查证明文件</w:t>
            </w:r>
          </w:p>
          <w:p>
            <w:pPr>
              <w:pStyle w:val="null3"/>
            </w:pPr>
            <w:r>
              <w:rPr/>
              <w:t>技术响应</w:t>
            </w:r>
          </w:p>
          <w:p>
            <w:pPr>
              <w:pStyle w:val="null3"/>
            </w:pPr>
            <w:r>
              <w:rPr/>
              <w:t>商务响应及相关证明</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售后服务措施：每完全满足一个评审标准得1分，满分3分；②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技术指标</w:t>
            </w:r>
          </w:p>
        </w:tc>
        <w:tc>
          <w:tcPr>
            <w:tcW w:type="dxa" w:w="2492"/>
          </w:tcPr>
          <w:p>
            <w:pPr>
              <w:pStyle w:val="null3"/>
            </w:pPr>
            <w:r>
              <w:rPr/>
              <w:t>投标产品技术指标完全满足招标文件要求，满足或正偏离得17分，有1项负偏离扣1分，扣完为止。说明：供应商须提供相关技术指标证明材料予以佐证。证明材料不限于产品的检测报告、试验报告、彩页、厂家出具的技术证明文件、实物照片、官网和功能截图等。供应商自行承担因材料提供不全导致的技术参数评审风险。</w:t>
            </w:r>
          </w:p>
        </w:tc>
        <w:tc>
          <w:tcPr>
            <w:tcW w:type="dxa" w:w="831"/>
          </w:tcPr>
          <w:p>
            <w:pPr>
              <w:pStyle w:val="null3"/>
              <w:jc w:val="right"/>
            </w:pPr>
            <w:r>
              <w:rPr/>
              <w:t>17.0000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产品功能</w:t>
            </w:r>
          </w:p>
        </w:tc>
        <w:tc>
          <w:tcPr>
            <w:tcW w:type="dxa" w:w="2492"/>
          </w:tcPr>
          <w:p>
            <w:pPr>
              <w:pStyle w:val="null3"/>
            </w:pPr>
            <w:r>
              <w:rPr/>
              <w:t>一、评审内容①产品配置；②技术规格;③技术工艺。二、评审标准：1、完整性：内容全面，对评审内容中的各项要求有详细描述；2、可行性：切合本项目实际情况，提出步骤清晰的方案； 3、针对性：紧扣项目实际情况需求，内容切实合理。三、赋分标准：①产品配置：每完全满足一个评审标准得1分，满分3分；②技术规格：每完全满足一个评审标准得1分，满分3分；③技术工艺：每完全满足一个评审标准得1分，满分3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产品可靠性</w:t>
            </w:r>
          </w:p>
        </w:tc>
        <w:tc>
          <w:tcPr>
            <w:tcW w:type="dxa" w:w="2492"/>
          </w:tcPr>
          <w:p>
            <w:pPr>
              <w:pStyle w:val="null3"/>
            </w:pPr>
            <w:r>
              <w:rPr/>
              <w:t>提供投标产品货源渠道合法的证明文件（包括但不限于销售协议、代理协议、原厂授权等），产品符合国家、行业标准及有关规定，确保产品性能稳定，无产权纠纷，得4分。其他得0分。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供货方案</w:t>
            </w:r>
          </w:p>
        </w:tc>
        <w:tc>
          <w:tcPr>
            <w:tcW w:type="dxa" w:w="2492"/>
          </w:tcPr>
          <w:p>
            <w:pPr>
              <w:pStyle w:val="null3"/>
            </w:pPr>
            <w:r>
              <w:rPr/>
              <w:t>供货方案，包含但不限于产品备货、配送、安装调试、补（换）货等内容。方案详细、具体，内容齐全，针对性强，可行性强，满足项目需求，得3分；方案内容较齐全，较有针对性，较有可行性，得2分；方案内容基本齐全，基本可行，得1分。未提供得0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售后服务</w:t>
            </w:r>
          </w:p>
        </w:tc>
        <w:tc>
          <w:tcPr>
            <w:tcW w:type="dxa" w:w="2492"/>
          </w:tcPr>
          <w:p>
            <w:pPr>
              <w:pStyle w:val="null3"/>
            </w:pPr>
            <w:r>
              <w:rPr/>
              <w:t>一、评审内容①售后服务措施；②售后服务承诺。二、评审标准：1、完整性：内容全面，对评审内容中的各项要求有详细描述；2、可行性：切合本项目实际情况，提出步骤清晰的方案；3、针对性：紧扣项目实际情况需求，内容切实合理。三、赋分标准：①后服务措施：每完全满足一个评审标准得1分，满分3分；②发售后服务承诺：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培训计划</w:t>
            </w:r>
          </w:p>
        </w:tc>
        <w:tc>
          <w:tcPr>
            <w:tcW w:type="dxa" w:w="2492"/>
          </w:tcPr>
          <w:p>
            <w:pPr>
              <w:pStyle w:val="null3"/>
            </w:pPr>
            <w:r>
              <w:rPr/>
              <w:t>一、评审内容①培训时间；②培训内容及培训方式。二、评审标准：1、完整性：内容全面，对评审内容中的各项要求有详细描述；2、可行性：切合本项目实际情况，提出步骤清晰的方案； 3、针对性：紧扣项目实际情况需求，内容切实合理。三、赋分标准：①培训时间：每完全满足一个评审标准得1分，满分3分；②培训内容及培训方式：每完全满足一个评审标准得1分，满分3分。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服务方案</w:t>
            </w:r>
          </w:p>
        </w:tc>
        <w:tc>
          <w:tcPr>
            <w:tcW w:type="dxa" w:w="2492"/>
          </w:tcPr>
          <w:p>
            <w:pPr>
              <w:pStyle w:val="null3"/>
            </w:pPr>
            <w:r>
              <w:rPr/>
              <w:t>一、评审内容①实施计划；②人员安排;③进度安排；④质量保证措施；⑤验收配合措施。二、评审标准：1、完整性：内容全面，对评审内容中的各项要求有详细描述；2、可行性：切合本项目实际情况，提出步骤清晰的方案； 3、针对性：紧扣项目实际情况需求，内容切实合理。三、赋分标准：①实施计划：每完全满足一个评审标准得1分，满分3分；②人员安排：每完全满足一个评审标准得1分，满分3分；③进度安排：每完全满足一个评审标准得1分，满分3分；④质量保证措施：每完全满足一个评审标准得1分，满分3分；⑤验收配合措施：每完全满足一个评审标准得1分，满分3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交货期</w:t>
            </w:r>
          </w:p>
        </w:tc>
        <w:tc>
          <w:tcPr>
            <w:tcW w:type="dxa" w:w="2492"/>
          </w:tcPr>
          <w:p>
            <w:pPr>
              <w:pStyle w:val="null3"/>
            </w:pPr>
            <w:r>
              <w:rPr/>
              <w:t>优于招标文件交货期要求的，每提前5天交付得1分，此项最高得3分。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质保期</w:t>
            </w:r>
          </w:p>
        </w:tc>
        <w:tc>
          <w:tcPr>
            <w:tcW w:type="dxa" w:w="2492"/>
          </w:tcPr>
          <w:p>
            <w:pPr>
              <w:pStyle w:val="null3"/>
            </w:pPr>
            <w:r>
              <w:rPr/>
              <w:t>质保期必须满足招标要求，在此基础上每增加1年质保得1分，最多得2分。</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vMerge/>
          </w:tcPr>
          <w:p/>
        </w:tc>
        <w:tc>
          <w:tcPr>
            <w:tcW w:type="dxa" w:w="1661"/>
          </w:tcPr>
          <w:p>
            <w:pPr>
              <w:pStyle w:val="null3"/>
            </w:pPr>
            <w:r>
              <w:rPr/>
              <w:t>业绩</w:t>
            </w:r>
          </w:p>
        </w:tc>
        <w:tc>
          <w:tcPr>
            <w:tcW w:type="dxa" w:w="2492"/>
          </w:tcPr>
          <w:p>
            <w:pPr>
              <w:pStyle w:val="null3"/>
            </w:pPr>
            <w:r>
              <w:rPr/>
              <w:t>提供投标供应商自2021年1月1日起至投标截止日止实施过的类似项目业绩，提供合同的复印件并加盖单位公章，以合同的签订日期为准。每提供1份得1分，最多得5分，未提供或提供的合同内容模糊无法辨认得0分。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技术响应</w:t>
            </w:r>
          </w:p>
          <w:p>
            <w:pPr>
              <w:pStyle w:val="null3"/>
            </w:pPr>
            <w:r>
              <w:rPr/>
              <w:t>商务响应及相关证明</w:t>
            </w:r>
          </w:p>
          <w:p>
            <w:pPr>
              <w:pStyle w:val="null3"/>
            </w:pPr>
            <w:r>
              <w:rPr/>
              <w:t>近年业绩及相关证明材料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各有效供应商的评审价中，取最低的供应商的价格作为基准价。每各有效供应商的价格评分统一按照下列公式计算： 价格评分＝（基准价/评审价）×30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详见附件：报价表</w:t>
      </w:r>
    </w:p>
    <w:p>
      <w:pPr>
        <w:pStyle w:val="null3"/>
        <w:ind w:firstLine="960"/>
      </w:pPr>
      <w:r>
        <w:rPr/>
        <w:t>详见附件：报价明细表</w:t>
      </w:r>
    </w:p>
    <w:p>
      <w:pPr>
        <w:pStyle w:val="null3"/>
        <w:ind w:firstLine="960"/>
      </w:pPr>
      <w:r>
        <w:rPr/>
        <w:t>详见附件：法定代表人（或负责人）身份证明</w:t>
      </w:r>
    </w:p>
    <w:p>
      <w:pPr>
        <w:pStyle w:val="null3"/>
        <w:ind w:firstLine="960"/>
      </w:pPr>
      <w:r>
        <w:rPr/>
        <w:t>详见附件：法定代表人（或负责人）授权书</w:t>
      </w:r>
    </w:p>
    <w:p>
      <w:pPr>
        <w:pStyle w:val="null3"/>
        <w:ind w:firstLine="960"/>
      </w:pPr>
      <w:r>
        <w:rPr/>
        <w:t>详见附件：资格审查证明文件</w:t>
      </w:r>
    </w:p>
    <w:p>
      <w:pPr>
        <w:pStyle w:val="null3"/>
        <w:ind w:firstLine="960"/>
      </w:pPr>
      <w:r>
        <w:rPr/>
        <w:t>详见附件：技术响应</w:t>
      </w:r>
    </w:p>
    <w:p>
      <w:pPr>
        <w:pStyle w:val="null3"/>
        <w:ind w:firstLine="960"/>
      </w:pPr>
      <w:r>
        <w:rPr/>
        <w:t>详见附件：商务响应及相关证明</w:t>
      </w:r>
    </w:p>
    <w:p>
      <w:pPr>
        <w:pStyle w:val="null3"/>
        <w:ind w:firstLine="960"/>
      </w:pPr>
      <w:r>
        <w:rPr/>
        <w:t>详见附件：近年业绩及相关证明材料</w:t>
      </w:r>
    </w:p>
    <w:p>
      <w:pPr>
        <w:pStyle w:val="null3"/>
        <w:ind w:firstLine="960"/>
      </w:pPr>
      <w:r>
        <w:rPr/>
        <w:t>详见附件：承诺</w:t>
      </w:r>
    </w:p>
    <w:p>
      <w:pPr>
        <w:pStyle w:val="null3"/>
        <w:ind w:firstLine="960"/>
      </w:pPr>
      <w:r>
        <w:rPr/>
        <w:t>详见附件：备品备件清单（如果有）</w:t>
      </w:r>
    </w:p>
    <w:p>
      <w:pPr>
        <w:pStyle w:val="null3"/>
        <w:ind w:firstLine="960"/>
      </w:pPr>
      <w:r>
        <w:rPr/>
        <w:t>详见附件：选配件报价表（如果有）</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详见附件：模板-货物采购类合同-设备更新12.11（上传版）.docx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