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7D354">
      <w:pPr>
        <w:pStyle w:val="10"/>
        <w:jc w:val="center"/>
        <w:outlineLvl w:val="1"/>
        <w:rPr>
          <w:rFonts w:hint="default"/>
          <w:color w:val="auto"/>
          <w:highlight w:val="none"/>
        </w:rPr>
      </w:pPr>
      <w:r>
        <w:rPr>
          <w:b/>
          <w:color w:val="auto"/>
          <w:sz w:val="36"/>
          <w:highlight w:val="none"/>
        </w:rPr>
        <w:t>拟签订合同文本（范本仅供参考）</w:t>
      </w:r>
    </w:p>
    <w:p w14:paraId="3552DDAA">
      <w:pPr>
        <w:pStyle w:val="11"/>
        <w:widowControl w:val="0"/>
        <w:ind w:firstLine="0" w:firstLineChars="0"/>
        <w:jc w:val="center"/>
        <w:rPr>
          <w:rFonts w:hint="eastAsia" w:hAnsi="宋体" w:cs="宋体"/>
          <w:b/>
          <w:color w:val="auto"/>
          <w:szCs w:val="24"/>
          <w:highlight w:val="none"/>
        </w:rPr>
      </w:pPr>
    </w:p>
    <w:p w14:paraId="7FF37DC7">
      <w:pPr>
        <w:pStyle w:val="11"/>
        <w:widowControl w:val="0"/>
        <w:ind w:firstLine="0" w:firstLineChars="0"/>
        <w:jc w:val="center"/>
        <w:rPr>
          <w:rFonts w:hAnsi="宋体" w:cs="宋体"/>
          <w:b/>
          <w:color w:val="auto"/>
          <w:szCs w:val="24"/>
          <w:highlight w:val="none"/>
        </w:rPr>
      </w:pPr>
      <w:r>
        <w:rPr>
          <w:rFonts w:hint="eastAsia" w:hAnsi="宋体" w:cs="宋体"/>
          <w:b/>
          <w:color w:val="auto"/>
          <w:szCs w:val="24"/>
          <w:highlight w:val="none"/>
        </w:rPr>
        <w:t>咸阳师范学院咸阳师范学院化工院实验教学及学生科研创新平台建设项目合同</w:t>
      </w:r>
    </w:p>
    <w:p w14:paraId="49D1C654">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合同编号：</w:t>
      </w:r>
    </w:p>
    <w:p w14:paraId="274F5115">
      <w:pPr>
        <w:pStyle w:val="5"/>
        <w:tabs>
          <w:tab w:val="left" w:pos="1440"/>
        </w:tabs>
        <w:spacing w:line="360" w:lineRule="auto"/>
        <w:ind w:firstLine="48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甲方：</w:t>
      </w:r>
      <w:r>
        <w:rPr>
          <w:rFonts w:hint="eastAsia" w:ascii="宋体" w:hAnsi="宋体" w:eastAsia="宋体" w:cs="宋体"/>
          <w:bCs/>
          <w:color w:val="auto"/>
          <w:sz w:val="24"/>
          <w:highlight w:val="none"/>
          <w:u w:val="single"/>
        </w:rPr>
        <w:t xml:space="preserve">  咸阳师范学院  </w:t>
      </w:r>
    </w:p>
    <w:p w14:paraId="47931507">
      <w:pPr>
        <w:pStyle w:val="5"/>
        <w:tabs>
          <w:tab w:val="left" w:pos="1440"/>
        </w:tabs>
        <w:spacing w:line="360" w:lineRule="auto"/>
        <w:ind w:firstLine="48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乙方：</w:t>
      </w:r>
      <w:r>
        <w:rPr>
          <w:rFonts w:hint="eastAsia" w:ascii="宋体" w:hAnsi="宋体" w:eastAsia="宋体" w:cs="宋体"/>
          <w:bCs/>
          <w:color w:val="auto"/>
          <w:sz w:val="24"/>
          <w:highlight w:val="none"/>
          <w:u w:val="single"/>
        </w:rPr>
        <w:t xml:space="preserve">                </w:t>
      </w:r>
    </w:p>
    <w:p w14:paraId="61278C18">
      <w:pPr>
        <w:pStyle w:val="5"/>
        <w:tabs>
          <w:tab w:val="left" w:pos="1440"/>
        </w:tabs>
        <w:spacing w:line="360" w:lineRule="auto"/>
        <w:ind w:firstLine="480"/>
        <w:rPr>
          <w:rFonts w:ascii="宋体" w:hAnsi="宋体" w:eastAsia="宋体" w:cs="宋体"/>
          <w:bCs/>
          <w:color w:val="auto"/>
          <w:sz w:val="24"/>
          <w:highlight w:val="none"/>
        </w:rPr>
      </w:pPr>
      <w:r>
        <w:rPr>
          <w:rFonts w:hint="eastAsia" w:ascii="宋体" w:hAnsi="宋体" w:eastAsia="宋体" w:cs="宋体"/>
          <w:bCs/>
          <w:color w:val="auto"/>
          <w:sz w:val="24"/>
          <w:highlight w:val="none"/>
        </w:rPr>
        <w:t>鉴证方：</w:t>
      </w:r>
      <w:r>
        <w:rPr>
          <w:rFonts w:hint="eastAsia" w:ascii="宋体" w:hAnsi="宋体" w:eastAsia="宋体" w:cs="宋体"/>
          <w:bCs/>
          <w:color w:val="auto"/>
          <w:sz w:val="24"/>
          <w:highlight w:val="none"/>
          <w:u w:val="single"/>
        </w:rPr>
        <w:t xml:space="preserve">              </w:t>
      </w:r>
    </w:p>
    <w:p w14:paraId="0432977D">
      <w:pPr>
        <w:pStyle w:val="5"/>
        <w:tabs>
          <w:tab w:val="left" w:pos="1440"/>
        </w:tabs>
        <w:spacing w:line="360" w:lineRule="auto"/>
        <w:ind w:firstLine="480"/>
        <w:rPr>
          <w:rFonts w:ascii="宋体" w:hAnsi="宋体" w:eastAsia="宋体" w:cs="宋体"/>
          <w:color w:val="auto"/>
          <w:sz w:val="24"/>
          <w:highlight w:val="none"/>
        </w:rPr>
      </w:pPr>
      <w:r>
        <w:rPr>
          <w:rFonts w:hint="eastAsia" w:ascii="宋体" w:hAnsi="宋体" w:eastAsia="宋体" w:cs="宋体"/>
          <w:color w:val="auto"/>
          <w:sz w:val="24"/>
          <w:highlight w:val="none"/>
        </w:rPr>
        <w:t>根据《中华人民共和国民法典》等有关法律法规规定，结合甲方“</w:t>
      </w:r>
      <w:r>
        <w:rPr>
          <w:rFonts w:hint="eastAsia" w:ascii="宋体" w:hAnsi="宋体" w:eastAsia="宋体" w:cs="宋体"/>
          <w:color w:val="auto"/>
          <w:sz w:val="24"/>
          <w:highlight w:val="none"/>
          <w:u w:val="single"/>
        </w:rPr>
        <w:t>咸阳师范学院咸阳师范学院化工院实验教学及学生科研创新平台建设项目</w:t>
      </w:r>
      <w:r>
        <w:rPr>
          <w:rFonts w:hint="eastAsia" w:ascii="宋体" w:hAnsi="宋体" w:eastAsia="宋体" w:cs="宋体"/>
          <w:color w:val="auto"/>
          <w:sz w:val="24"/>
          <w:highlight w:val="none"/>
        </w:rPr>
        <w:t>”中标结果，遵循平等自愿、公平和诚实信用的原则，甲方与乙方经友好协商达成如下合同条款。</w:t>
      </w:r>
    </w:p>
    <w:p w14:paraId="505CE3FB">
      <w:pPr>
        <w:pStyle w:val="11"/>
        <w:widowControl w:val="0"/>
        <w:numPr>
          <w:ilvl w:val="0"/>
          <w:numId w:val="1"/>
        </w:numPr>
        <w:ind w:firstLineChars="0"/>
        <w:rPr>
          <w:rFonts w:hAnsi="宋体" w:cs="宋体"/>
          <w:b/>
          <w:color w:val="auto"/>
          <w:szCs w:val="24"/>
          <w:highlight w:val="none"/>
        </w:rPr>
      </w:pPr>
      <w:r>
        <w:rPr>
          <w:rFonts w:hint="eastAsia" w:hAnsi="宋体" w:cs="宋体"/>
          <w:b/>
          <w:color w:val="auto"/>
          <w:szCs w:val="24"/>
          <w:highlight w:val="none"/>
        </w:rPr>
        <w:t>项目购置内容</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200"/>
        <w:gridCol w:w="808"/>
        <w:gridCol w:w="1488"/>
        <w:gridCol w:w="798"/>
        <w:gridCol w:w="806"/>
        <w:gridCol w:w="1346"/>
        <w:gridCol w:w="1207"/>
      </w:tblGrid>
      <w:tr w14:paraId="097B2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vAlign w:val="center"/>
          </w:tcPr>
          <w:p w14:paraId="79029C6B">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704" w:type="pct"/>
            <w:vAlign w:val="center"/>
          </w:tcPr>
          <w:p w14:paraId="0FF8F382">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设备名称</w:t>
            </w:r>
          </w:p>
        </w:tc>
        <w:tc>
          <w:tcPr>
            <w:tcW w:w="474" w:type="pct"/>
            <w:vAlign w:val="center"/>
          </w:tcPr>
          <w:p w14:paraId="77C5806D">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品牌</w:t>
            </w:r>
          </w:p>
        </w:tc>
        <w:tc>
          <w:tcPr>
            <w:tcW w:w="873" w:type="pct"/>
            <w:vAlign w:val="center"/>
          </w:tcPr>
          <w:p w14:paraId="01F87845">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型号/规格</w:t>
            </w:r>
          </w:p>
        </w:tc>
        <w:tc>
          <w:tcPr>
            <w:tcW w:w="468" w:type="pct"/>
            <w:vAlign w:val="center"/>
          </w:tcPr>
          <w:p w14:paraId="026C2D7D">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数量</w:t>
            </w:r>
          </w:p>
        </w:tc>
        <w:tc>
          <w:tcPr>
            <w:tcW w:w="473" w:type="pct"/>
            <w:vAlign w:val="center"/>
          </w:tcPr>
          <w:p w14:paraId="682104A2">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单位</w:t>
            </w:r>
          </w:p>
        </w:tc>
        <w:tc>
          <w:tcPr>
            <w:tcW w:w="790" w:type="pct"/>
            <w:vAlign w:val="center"/>
          </w:tcPr>
          <w:p w14:paraId="49445759">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单价</w:t>
            </w:r>
            <w:r>
              <w:rPr>
                <w:rFonts w:hint="eastAsia" w:ascii="宋体" w:hAnsi="宋体" w:eastAsia="宋体" w:cs="宋体"/>
                <w:bCs/>
                <w:color w:val="auto"/>
                <w:sz w:val="24"/>
                <w:highlight w:val="none"/>
              </w:rPr>
              <w:t>（元）</w:t>
            </w:r>
          </w:p>
        </w:tc>
        <w:tc>
          <w:tcPr>
            <w:tcW w:w="708" w:type="pct"/>
            <w:vAlign w:val="center"/>
          </w:tcPr>
          <w:p w14:paraId="3FBDA226">
            <w:pPr>
              <w:spacing w:line="360" w:lineRule="auto"/>
              <w:jc w:val="center"/>
              <w:rPr>
                <w:rFonts w:ascii="宋体" w:hAnsi="宋体" w:eastAsia="宋体" w:cs="宋体"/>
                <w:bCs/>
                <w:color w:val="auto"/>
                <w:sz w:val="24"/>
                <w:highlight w:val="none"/>
              </w:rPr>
            </w:pPr>
            <w:r>
              <w:rPr>
                <w:rFonts w:hint="eastAsia" w:ascii="宋体" w:hAnsi="宋体" w:eastAsia="宋体" w:cs="宋体"/>
                <w:b/>
                <w:bCs/>
                <w:color w:val="auto"/>
                <w:sz w:val="24"/>
                <w:highlight w:val="none"/>
              </w:rPr>
              <w:t>小计</w:t>
            </w:r>
            <w:r>
              <w:rPr>
                <w:rFonts w:hint="eastAsia" w:ascii="宋体" w:hAnsi="宋体" w:eastAsia="宋体" w:cs="宋体"/>
                <w:bCs/>
                <w:color w:val="auto"/>
                <w:sz w:val="24"/>
                <w:highlight w:val="none"/>
              </w:rPr>
              <w:t>（元）</w:t>
            </w:r>
          </w:p>
        </w:tc>
      </w:tr>
      <w:tr w14:paraId="1C90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43CAF498">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1</w:t>
            </w:r>
          </w:p>
        </w:tc>
        <w:tc>
          <w:tcPr>
            <w:tcW w:w="704" w:type="pct"/>
            <w:vAlign w:val="center"/>
          </w:tcPr>
          <w:p w14:paraId="25EBCE5D">
            <w:pPr>
              <w:spacing w:line="360" w:lineRule="auto"/>
              <w:jc w:val="center"/>
              <w:rPr>
                <w:rFonts w:ascii="宋体" w:hAnsi="宋体" w:eastAsia="宋体" w:cs="宋体"/>
                <w:color w:val="auto"/>
                <w:sz w:val="24"/>
                <w:highlight w:val="none"/>
              </w:rPr>
            </w:pPr>
          </w:p>
        </w:tc>
        <w:tc>
          <w:tcPr>
            <w:tcW w:w="474" w:type="pct"/>
            <w:vAlign w:val="center"/>
          </w:tcPr>
          <w:p w14:paraId="45BE75CE">
            <w:pPr>
              <w:spacing w:line="360" w:lineRule="auto"/>
              <w:jc w:val="center"/>
              <w:rPr>
                <w:rFonts w:ascii="宋体" w:hAnsi="宋体" w:eastAsia="宋体" w:cs="宋体"/>
                <w:color w:val="auto"/>
                <w:sz w:val="24"/>
                <w:highlight w:val="none"/>
              </w:rPr>
            </w:pPr>
          </w:p>
        </w:tc>
        <w:tc>
          <w:tcPr>
            <w:tcW w:w="873" w:type="pct"/>
            <w:vAlign w:val="center"/>
          </w:tcPr>
          <w:p w14:paraId="4C24C7C8">
            <w:pPr>
              <w:spacing w:line="360" w:lineRule="auto"/>
              <w:jc w:val="center"/>
              <w:rPr>
                <w:rFonts w:ascii="宋体" w:hAnsi="宋体" w:eastAsia="宋体" w:cs="宋体"/>
                <w:color w:val="auto"/>
                <w:sz w:val="24"/>
                <w:highlight w:val="none"/>
              </w:rPr>
            </w:pPr>
          </w:p>
        </w:tc>
        <w:tc>
          <w:tcPr>
            <w:tcW w:w="468" w:type="pct"/>
            <w:vAlign w:val="center"/>
          </w:tcPr>
          <w:p w14:paraId="72DF5606">
            <w:pPr>
              <w:spacing w:line="360" w:lineRule="auto"/>
              <w:jc w:val="center"/>
              <w:rPr>
                <w:rFonts w:ascii="宋体" w:hAnsi="宋体" w:eastAsia="宋体" w:cs="宋体"/>
                <w:color w:val="auto"/>
                <w:sz w:val="24"/>
                <w:highlight w:val="none"/>
              </w:rPr>
            </w:pPr>
          </w:p>
        </w:tc>
        <w:tc>
          <w:tcPr>
            <w:tcW w:w="473" w:type="pct"/>
            <w:vAlign w:val="center"/>
          </w:tcPr>
          <w:p w14:paraId="69405647">
            <w:pPr>
              <w:spacing w:line="360" w:lineRule="auto"/>
              <w:jc w:val="center"/>
              <w:rPr>
                <w:rFonts w:ascii="宋体" w:hAnsi="宋体" w:eastAsia="宋体" w:cs="宋体"/>
                <w:color w:val="auto"/>
                <w:sz w:val="24"/>
                <w:highlight w:val="none"/>
              </w:rPr>
            </w:pPr>
          </w:p>
        </w:tc>
        <w:tc>
          <w:tcPr>
            <w:tcW w:w="790" w:type="pct"/>
            <w:vAlign w:val="center"/>
          </w:tcPr>
          <w:p w14:paraId="593DFD5E">
            <w:pPr>
              <w:spacing w:line="360" w:lineRule="auto"/>
              <w:jc w:val="center"/>
              <w:rPr>
                <w:rFonts w:ascii="宋体" w:hAnsi="宋体" w:eastAsia="宋体" w:cs="宋体"/>
                <w:color w:val="auto"/>
                <w:sz w:val="24"/>
                <w:highlight w:val="none"/>
              </w:rPr>
            </w:pPr>
          </w:p>
        </w:tc>
        <w:tc>
          <w:tcPr>
            <w:tcW w:w="708" w:type="pct"/>
            <w:vAlign w:val="center"/>
          </w:tcPr>
          <w:p w14:paraId="6A13C1AD">
            <w:pPr>
              <w:spacing w:line="360" w:lineRule="auto"/>
              <w:jc w:val="center"/>
              <w:rPr>
                <w:rFonts w:ascii="宋体" w:hAnsi="宋体" w:eastAsia="宋体" w:cs="宋体"/>
                <w:color w:val="auto"/>
                <w:sz w:val="24"/>
                <w:highlight w:val="none"/>
              </w:rPr>
            </w:pPr>
          </w:p>
        </w:tc>
      </w:tr>
      <w:tr w14:paraId="6A44E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311186B2">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2</w:t>
            </w:r>
          </w:p>
        </w:tc>
        <w:tc>
          <w:tcPr>
            <w:tcW w:w="704" w:type="pct"/>
            <w:vAlign w:val="center"/>
          </w:tcPr>
          <w:p w14:paraId="75C52B74">
            <w:pPr>
              <w:spacing w:line="360" w:lineRule="auto"/>
              <w:jc w:val="center"/>
              <w:rPr>
                <w:rFonts w:ascii="宋体" w:hAnsi="宋体" w:eastAsia="宋体" w:cs="宋体"/>
                <w:color w:val="auto"/>
                <w:sz w:val="24"/>
                <w:highlight w:val="none"/>
              </w:rPr>
            </w:pPr>
          </w:p>
        </w:tc>
        <w:tc>
          <w:tcPr>
            <w:tcW w:w="474" w:type="pct"/>
            <w:vAlign w:val="center"/>
          </w:tcPr>
          <w:p w14:paraId="2FE38280">
            <w:pPr>
              <w:spacing w:line="360" w:lineRule="auto"/>
              <w:jc w:val="center"/>
              <w:rPr>
                <w:rFonts w:ascii="宋体" w:hAnsi="宋体" w:eastAsia="宋体" w:cs="宋体"/>
                <w:color w:val="auto"/>
                <w:sz w:val="24"/>
                <w:highlight w:val="none"/>
              </w:rPr>
            </w:pPr>
          </w:p>
        </w:tc>
        <w:tc>
          <w:tcPr>
            <w:tcW w:w="873" w:type="pct"/>
            <w:vAlign w:val="center"/>
          </w:tcPr>
          <w:p w14:paraId="0501D6A2">
            <w:pPr>
              <w:spacing w:line="360" w:lineRule="auto"/>
              <w:jc w:val="center"/>
              <w:rPr>
                <w:rFonts w:ascii="宋体" w:hAnsi="宋体" w:eastAsia="宋体" w:cs="宋体"/>
                <w:color w:val="auto"/>
                <w:sz w:val="24"/>
                <w:highlight w:val="none"/>
              </w:rPr>
            </w:pPr>
          </w:p>
        </w:tc>
        <w:tc>
          <w:tcPr>
            <w:tcW w:w="468" w:type="pct"/>
            <w:vAlign w:val="center"/>
          </w:tcPr>
          <w:p w14:paraId="291A0543">
            <w:pPr>
              <w:spacing w:line="360" w:lineRule="auto"/>
              <w:jc w:val="center"/>
              <w:rPr>
                <w:rFonts w:ascii="宋体" w:hAnsi="宋体" w:eastAsia="宋体" w:cs="宋体"/>
                <w:color w:val="auto"/>
                <w:sz w:val="24"/>
                <w:highlight w:val="none"/>
              </w:rPr>
            </w:pPr>
          </w:p>
        </w:tc>
        <w:tc>
          <w:tcPr>
            <w:tcW w:w="473" w:type="pct"/>
            <w:vAlign w:val="center"/>
          </w:tcPr>
          <w:p w14:paraId="71A9DFD4">
            <w:pPr>
              <w:spacing w:line="360" w:lineRule="auto"/>
              <w:jc w:val="center"/>
              <w:rPr>
                <w:rFonts w:ascii="宋体" w:hAnsi="宋体" w:eastAsia="宋体" w:cs="宋体"/>
                <w:color w:val="auto"/>
                <w:sz w:val="24"/>
                <w:highlight w:val="none"/>
              </w:rPr>
            </w:pPr>
          </w:p>
        </w:tc>
        <w:tc>
          <w:tcPr>
            <w:tcW w:w="790" w:type="pct"/>
            <w:vAlign w:val="center"/>
          </w:tcPr>
          <w:p w14:paraId="16778E2C">
            <w:pPr>
              <w:spacing w:line="360" w:lineRule="auto"/>
              <w:jc w:val="center"/>
              <w:rPr>
                <w:rFonts w:ascii="宋体" w:hAnsi="宋体" w:eastAsia="宋体" w:cs="宋体"/>
                <w:color w:val="auto"/>
                <w:sz w:val="24"/>
                <w:highlight w:val="none"/>
              </w:rPr>
            </w:pPr>
          </w:p>
        </w:tc>
        <w:tc>
          <w:tcPr>
            <w:tcW w:w="708" w:type="pct"/>
            <w:vAlign w:val="center"/>
          </w:tcPr>
          <w:p w14:paraId="383DCB3B">
            <w:pPr>
              <w:spacing w:line="360" w:lineRule="auto"/>
              <w:jc w:val="center"/>
              <w:rPr>
                <w:rFonts w:ascii="宋体" w:hAnsi="宋体" w:eastAsia="宋体" w:cs="宋体"/>
                <w:color w:val="auto"/>
                <w:sz w:val="24"/>
                <w:highlight w:val="none"/>
              </w:rPr>
            </w:pPr>
          </w:p>
        </w:tc>
      </w:tr>
      <w:tr w14:paraId="1F011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vAlign w:val="center"/>
          </w:tcPr>
          <w:p w14:paraId="0D1AAFB5">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合计（含税）</w:t>
            </w:r>
          </w:p>
        </w:tc>
        <w:tc>
          <w:tcPr>
            <w:tcW w:w="3078" w:type="pct"/>
            <w:gridSpan w:val="5"/>
            <w:vAlign w:val="center"/>
          </w:tcPr>
          <w:p w14:paraId="41CED265">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大写：</w:t>
            </w:r>
          </w:p>
        </w:tc>
        <w:tc>
          <w:tcPr>
            <w:tcW w:w="708" w:type="pct"/>
            <w:vAlign w:val="center"/>
          </w:tcPr>
          <w:p w14:paraId="28AB0710">
            <w:pPr>
              <w:spacing w:line="360" w:lineRule="auto"/>
              <w:jc w:val="center"/>
              <w:textAlignment w:val="center"/>
              <w:rPr>
                <w:rFonts w:ascii="宋体" w:hAnsi="宋体" w:eastAsia="宋体" w:cs="宋体"/>
                <w:color w:val="auto"/>
                <w:sz w:val="24"/>
                <w:highlight w:val="none"/>
              </w:rPr>
            </w:pPr>
          </w:p>
        </w:tc>
      </w:tr>
      <w:tr w14:paraId="3BB1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vAlign w:val="center"/>
          </w:tcPr>
          <w:p w14:paraId="7AD04982">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备注：技术参数详见附件。</w:t>
            </w:r>
          </w:p>
        </w:tc>
      </w:tr>
    </w:tbl>
    <w:p w14:paraId="17D353B2">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二、合同金额及结算方式</w:t>
      </w:r>
    </w:p>
    <w:p w14:paraId="332C052A">
      <w:pPr>
        <w:spacing w:line="360" w:lineRule="auto"/>
        <w:ind w:firstLine="470" w:firstLineChars="196"/>
        <w:rPr>
          <w:rFonts w:ascii="宋体" w:hAnsi="宋体" w:eastAsia="宋体" w:cs="宋体"/>
          <w:color w:val="auto"/>
          <w:sz w:val="24"/>
          <w:highlight w:val="none"/>
        </w:rPr>
      </w:pPr>
      <w:r>
        <w:rPr>
          <w:rFonts w:hint="eastAsia" w:ascii="宋体" w:hAnsi="宋体" w:eastAsia="宋体" w:cs="宋体"/>
          <w:color w:val="auto"/>
          <w:sz w:val="24"/>
          <w:highlight w:val="none"/>
        </w:rPr>
        <w:t>1、合同总金额（含税）为人民币（大写）：</w:t>
      </w:r>
      <w:r>
        <w:rPr>
          <w:rFonts w:hint="eastAsia" w:ascii="宋体" w:hAnsi="宋体" w:eastAsia="宋体" w:cs="宋体"/>
          <w:b/>
          <w:color w:val="auto"/>
          <w:sz w:val="24"/>
          <w:highlight w:val="none"/>
        </w:rPr>
        <w:t xml:space="preserve">  元整（￥： 元）</w:t>
      </w:r>
      <w:r>
        <w:rPr>
          <w:rFonts w:hint="eastAsia" w:ascii="宋体" w:hAnsi="宋体" w:eastAsia="宋体" w:cs="宋体"/>
          <w:color w:val="auto"/>
          <w:sz w:val="24"/>
          <w:highlight w:val="none"/>
        </w:rPr>
        <w:t>。项目验收合格</w:t>
      </w:r>
      <w:r>
        <w:rPr>
          <w:rFonts w:hint="eastAsia" w:ascii="宋体" w:hAnsi="宋体" w:eastAsia="宋体" w:cs="宋体"/>
          <w:color w:val="auto"/>
          <w:sz w:val="24"/>
          <w:highlight w:val="none"/>
          <w:lang w:val="en-US" w:eastAsia="zh-CN"/>
        </w:rPr>
        <w:t>且</w:t>
      </w:r>
      <w:r>
        <w:rPr>
          <w:rFonts w:hint="eastAsia" w:ascii="宋体" w:hAnsi="宋体" w:eastAsia="宋体" w:cs="宋体"/>
          <w:color w:val="auto"/>
          <w:sz w:val="24"/>
          <w:highlight w:val="none"/>
        </w:rPr>
        <w:t>中标人向采购人开具、交付与合同总金额等值的增值税专用发票后，达到付款条件起 30 日内，支付合同总金额的100.00%。，即人民币（大写）：</w:t>
      </w:r>
      <w:r>
        <w:rPr>
          <w:rFonts w:hint="eastAsia" w:ascii="宋体" w:hAnsi="宋体" w:eastAsia="宋体" w:cs="宋体"/>
          <w:b/>
          <w:color w:val="auto"/>
          <w:sz w:val="24"/>
          <w:highlight w:val="none"/>
        </w:rPr>
        <w:t xml:space="preserve">  元整（￥： 元）</w:t>
      </w:r>
      <w:r>
        <w:rPr>
          <w:rFonts w:hint="eastAsia" w:ascii="宋体" w:hAnsi="宋体" w:eastAsia="宋体" w:cs="宋体"/>
          <w:color w:val="auto"/>
          <w:sz w:val="24"/>
          <w:highlight w:val="none"/>
        </w:rPr>
        <w:t xml:space="preserve">； </w:t>
      </w:r>
    </w:p>
    <w:p w14:paraId="011B263D">
      <w:pPr>
        <w:spacing w:line="360" w:lineRule="auto"/>
        <w:ind w:firstLine="470" w:firstLineChars="196"/>
        <w:rPr>
          <w:rFonts w:ascii="宋体" w:hAnsi="宋体" w:eastAsia="宋体" w:cs="宋体"/>
          <w:color w:val="auto"/>
          <w:sz w:val="24"/>
          <w:highlight w:val="none"/>
        </w:rPr>
      </w:pPr>
      <w:r>
        <w:rPr>
          <w:rFonts w:hint="eastAsia" w:ascii="宋体" w:hAnsi="宋体" w:eastAsia="宋体" w:cs="宋体"/>
          <w:color w:val="auto"/>
          <w:sz w:val="24"/>
          <w:highlight w:val="none"/>
        </w:rPr>
        <w:t>2、合同总金额为一次性总价，包括所供产品、运输费、安装调试费、质保期服务费、各项税费等一切费用，不受市场价格变化的影响，并为结算的唯一依据。</w:t>
      </w:r>
    </w:p>
    <w:p w14:paraId="53F76E56">
      <w:pPr>
        <w:spacing w:line="360" w:lineRule="auto"/>
        <w:ind w:firstLine="470" w:firstLineChars="196"/>
        <w:rPr>
          <w:rFonts w:ascii="宋体" w:hAnsi="宋体" w:eastAsia="宋体" w:cs="宋体"/>
          <w:color w:val="auto"/>
          <w:sz w:val="24"/>
          <w:highlight w:val="none"/>
        </w:rPr>
      </w:pPr>
      <w:r>
        <w:rPr>
          <w:rFonts w:hint="eastAsia" w:ascii="宋体" w:hAnsi="宋体" w:eastAsia="宋体" w:cs="宋体"/>
          <w:color w:val="auto"/>
          <w:sz w:val="24"/>
          <w:highlight w:val="none"/>
        </w:rPr>
        <w:t>3、本合同正式签订前，乙方须向甲方支付合同总金额的5%作为项目履约保证金，即人民币（大写）：</w:t>
      </w:r>
      <w:r>
        <w:rPr>
          <w:rFonts w:hint="eastAsia" w:ascii="宋体" w:hAnsi="宋体" w:eastAsia="宋体" w:cs="宋体"/>
          <w:b/>
          <w:color w:val="auto"/>
          <w:sz w:val="24"/>
          <w:highlight w:val="none"/>
        </w:rPr>
        <w:t xml:space="preserve">  元整（￥： 元）</w:t>
      </w:r>
      <w:r>
        <w:rPr>
          <w:rFonts w:hint="eastAsia" w:ascii="宋体" w:hAnsi="宋体" w:eastAsia="宋体" w:cs="宋体"/>
          <w:color w:val="auto"/>
          <w:sz w:val="24"/>
          <w:highlight w:val="none"/>
        </w:rPr>
        <w:t>。项目验收合格后，甲方一次性无息返还。</w:t>
      </w:r>
    </w:p>
    <w:p w14:paraId="784F3217">
      <w:pPr>
        <w:pStyle w:val="10"/>
        <w:spacing w:line="360" w:lineRule="auto"/>
        <w:ind w:firstLine="480" w:firstLineChars="200"/>
        <w:rPr>
          <w:rFonts w:hint="default" w:ascii="宋体" w:hAnsi="宋体" w:eastAsia="宋体" w:cs="宋体"/>
          <w:color w:val="auto"/>
          <w:kern w:val="2"/>
          <w:sz w:val="24"/>
          <w:szCs w:val="24"/>
          <w:highlight w:val="none"/>
          <w:lang w:eastAsia="zh-CN"/>
        </w:rPr>
      </w:pPr>
      <w:r>
        <w:rPr>
          <w:rFonts w:ascii="宋体" w:hAnsi="宋体" w:eastAsia="宋体" w:cs="宋体"/>
          <w:color w:val="auto"/>
          <w:kern w:val="2"/>
          <w:sz w:val="24"/>
          <w:szCs w:val="24"/>
          <w:highlight w:val="none"/>
          <w:lang w:eastAsia="zh-CN"/>
        </w:rPr>
        <w:t>供应商可以采用以下几种非现金形式缴纳履约保证金：</w:t>
      </w:r>
    </w:p>
    <w:p w14:paraId="1141851C">
      <w:pPr>
        <w:pStyle w:val="10"/>
        <w:spacing w:line="360" w:lineRule="auto"/>
        <w:rPr>
          <w:rFonts w:hint="default" w:ascii="宋体" w:hAnsi="宋体" w:eastAsia="宋体" w:cs="宋体"/>
          <w:color w:val="auto"/>
          <w:kern w:val="2"/>
          <w:sz w:val="24"/>
          <w:szCs w:val="24"/>
          <w:highlight w:val="none"/>
          <w:lang w:eastAsia="zh-CN"/>
        </w:rPr>
      </w:pPr>
      <w:r>
        <w:rPr>
          <w:rFonts w:ascii="宋体" w:hAnsi="宋体" w:eastAsia="宋体" w:cs="宋体"/>
          <w:color w:val="auto"/>
          <w:kern w:val="2"/>
          <w:sz w:val="24"/>
          <w:szCs w:val="24"/>
          <w:highlight w:val="none"/>
          <w:lang w:eastAsia="zh-CN"/>
        </w:rPr>
        <w:t>转账、支票、汇票、本票、金融机构出具的保函、担保机构出具的保函等形式缴纳；</w:t>
      </w:r>
    </w:p>
    <w:p w14:paraId="256394C6">
      <w:pPr>
        <w:pStyle w:val="2"/>
        <w:tabs>
          <w:tab w:val="left" w:pos="567"/>
        </w:tabs>
        <w:spacing w:line="360" w:lineRule="auto"/>
        <w:rPr>
          <w:rFonts w:eastAsia="宋体" w:cs="宋体"/>
          <w:color w:val="auto"/>
          <w:highlight w:val="none"/>
          <w:lang w:val="en-US"/>
        </w:rPr>
      </w:pPr>
      <w:r>
        <w:rPr>
          <w:rFonts w:eastAsia="宋体" w:cs="宋体"/>
          <w:color w:val="auto"/>
          <w:highlight w:val="none"/>
          <w:lang w:val="en-US"/>
        </w:rPr>
        <w:t>如遇下列情况之一者，合同履约保证金不予退还，作为对采购人的赔偿：（1）合同签订后不能按合同时限要求供货或安装调试；（2）所供货物不合格、与合同不符；（3）不能按合同履约；（4）货物验收不合格。</w:t>
      </w:r>
    </w:p>
    <w:p w14:paraId="5B2DD98B">
      <w:pPr>
        <w:spacing w:line="360" w:lineRule="auto"/>
        <w:ind w:firstLine="472" w:firstLineChars="196"/>
        <w:rPr>
          <w:rFonts w:ascii="宋体" w:hAnsi="宋体" w:eastAsia="宋体" w:cs="宋体"/>
          <w:b/>
          <w:color w:val="auto"/>
          <w:sz w:val="24"/>
          <w:highlight w:val="none"/>
        </w:rPr>
      </w:pPr>
      <w:r>
        <w:rPr>
          <w:rFonts w:hint="eastAsia" w:ascii="宋体" w:hAnsi="宋体" w:eastAsia="宋体" w:cs="宋体"/>
          <w:b/>
          <w:color w:val="auto"/>
          <w:sz w:val="24"/>
          <w:highlight w:val="none"/>
        </w:rPr>
        <w:t>三、合同产品的供货期及质量要求</w:t>
      </w:r>
    </w:p>
    <w:p w14:paraId="6AFB5E3C">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1、合同签订后</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 w:val="24"/>
          <w:highlight w:val="none"/>
          <w:lang w:bidi="ar"/>
        </w:rPr>
        <w:t>个日历日内乙方完成项目产品供货、安装调试。</w:t>
      </w:r>
    </w:p>
    <w:p w14:paraId="2B60B96E">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向乙方退货，或者要求乙方进行更换，期间一切费用由乙方负责。</w:t>
      </w:r>
    </w:p>
    <w:p w14:paraId="70FAE0F0">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3、乙方应配合采购人的时限要求，负责在现场对产品进行安装、调试和试运行，直至验收合格。乙方应提供全部安装、调试过程中所需的材料、设施设备、人工等。</w:t>
      </w:r>
    </w:p>
    <w:p w14:paraId="5FC1BBEA">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4、乙方应指派专人将合同产品运至甲方指定地点；验收前，产品的安全及风险由乙方负责承担。</w:t>
      </w:r>
    </w:p>
    <w:p w14:paraId="29746EEB">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5、乙方专业技术人员将所供合同产品拆封时，应及时通知甲方到场查验，共同对产品数量及型号规格进行核对，经核对无误后，乙方方可进行安装调试。</w:t>
      </w:r>
    </w:p>
    <w:p w14:paraId="3C95D749">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6、乙方须按照国家法规制度、相关政府部门规定，提前自行办理施工审批手续。如因乙方原因造成损失的，由乙方承担全部费用，任何责任与甲方无关。</w:t>
      </w:r>
    </w:p>
    <w:p w14:paraId="2D4CA5EC">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7、甲方应配合乙方供货并提供符合产品安装要求的外部条件。</w:t>
      </w:r>
    </w:p>
    <w:p w14:paraId="38D69F39">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四、技术培训</w:t>
      </w:r>
    </w:p>
    <w:p w14:paraId="72D9F5FD">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1、乙方完成项目产品安装调试后，免费为甲方技术及管理人员进行不少于3次，每次1个工作日的技术培训，直至确认甲方人员可以完成设备的日常使用及维护。培训时间及地点根据甲方要求执行。</w:t>
      </w:r>
    </w:p>
    <w:p w14:paraId="64229672">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2、乙方完成项目培训计划，甲方工作人员可独立运行、管理，双方可对项目正式验收。</w:t>
      </w:r>
    </w:p>
    <w:p w14:paraId="03423A0C">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五、合同产品的验收</w:t>
      </w:r>
    </w:p>
    <w:p w14:paraId="681BF231">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1.乙方按照合同要求完成项目所有内容及使用培训，经甲方建设单位同意后，乙方方可书面提出验收申请。甲方组织产品验收时，乙方应派人现场予以配合并提供所需的验收材料。</w:t>
      </w:r>
    </w:p>
    <w:p w14:paraId="370975A8">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w:t>
      </w:r>
    </w:p>
    <w:p w14:paraId="23563FA6">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14:paraId="26707C2E">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六、质保期及售后服务要求</w:t>
      </w:r>
    </w:p>
    <w:p w14:paraId="5962054F">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1.</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bidi="ar"/>
        </w:rPr>
        <w:t>本合同产品质保期为验收合格后</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 w:val="24"/>
          <w:highlight w:val="none"/>
          <w:lang w:bidi="ar"/>
        </w:rPr>
        <w:t>年，质保期内，除人为因素损坏外，乙方对所供产品实行免费更换或免费维修，免费提供所有设备正常使用所需的备品备件，且成交商维修所更换的配件和备品备件均为原设备厂家生产。</w:t>
      </w:r>
    </w:p>
    <w:p w14:paraId="003D13A7">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2.质保期内，乙方对所售设备免费提供7*24小时技术支持、 不少于2次/年上门巡检等服务。</w:t>
      </w:r>
    </w:p>
    <w:p w14:paraId="762766D6">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2.质保期内，乙方接到甲方维修通知，应在工作日2小时内(非工作日4小时内）或与甲方约定时间内，派人现场处理，并于4小时内完成修复；如经检测，无法在12小时内完成修复的，乙方应免费提供同档次或更高档次的备件，保证设备正常使用直至故障排除。乙方未在规定或约定时间进行维修，造成甲方人身、财产损害时，甲方有权要求乙方赔偿甲方的损失；如乙方不能及时到场，甲方可安排其他公司技术人员进行维修，期间产生的维修费用，均由乙方承担，由乙方支付给甲方；接到甲方维修通知后，乙方累计超过3次（不含3次）未在约定保修时间内进行维修时，乙方应向甲方支付金额为未按约定维修涉及费用2倍的违约金。</w:t>
      </w:r>
    </w:p>
    <w:p w14:paraId="2EAA4F26">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3.质保期内，出现产品非人为因素损坏而造成短期停用时，则质保期相应顺延，如停用时间累计超过20天，则质保期自产品修复之日起重新计算。</w:t>
      </w:r>
    </w:p>
    <w:p w14:paraId="668F2256">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6.质保到期的前一个月，乙方免费对所供设备进行一次全面维护保养服务。</w:t>
      </w:r>
    </w:p>
    <w:p w14:paraId="5828B67E">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七、违约责任</w:t>
      </w:r>
    </w:p>
    <w:p w14:paraId="73573AA3">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1、乙方未按合同要求交付合同产品，或合同生效后明确表示或以自己的行为表明</w:t>
      </w:r>
      <w:r>
        <w:rPr>
          <w:rFonts w:hint="eastAsia" w:ascii="宋体" w:hAnsi="宋体" w:eastAsia="宋体" w:cs="宋体"/>
          <w:color w:val="auto"/>
          <w:kern w:val="0"/>
          <w:sz w:val="24"/>
          <w:highlight w:val="none"/>
          <w:lang w:bidi="ar"/>
        </w:rPr>
        <w:t>不履行合同义务时</w:t>
      </w:r>
      <w:r>
        <w:rPr>
          <w:rFonts w:hint="eastAsia" w:ascii="宋体" w:hAnsi="宋体" w:eastAsia="宋体" w:cs="宋体"/>
          <w:color w:val="auto"/>
          <w:sz w:val="24"/>
          <w:highlight w:val="none"/>
          <w:lang w:bidi="ar"/>
        </w:rPr>
        <w:t>，</w:t>
      </w:r>
      <w:r>
        <w:rPr>
          <w:rFonts w:hint="eastAsia" w:ascii="宋体" w:hAnsi="宋体" w:eastAsia="宋体" w:cs="宋体"/>
          <w:color w:val="auto"/>
          <w:sz w:val="24"/>
          <w:highlight w:val="none"/>
        </w:rPr>
        <w:t>甲方有权会同招标组织机构终止合同并</w:t>
      </w:r>
      <w:r>
        <w:rPr>
          <w:rFonts w:hint="eastAsia" w:ascii="宋体" w:hAnsi="宋体" w:eastAsia="宋体" w:cs="宋体"/>
          <w:color w:val="auto"/>
          <w:sz w:val="24"/>
          <w:highlight w:val="none"/>
          <w:lang w:bidi="ar"/>
        </w:rPr>
        <w:t>不予返还乙方交纳的合同履约保证金,即人民币（大写）：</w:t>
      </w:r>
      <w:r>
        <w:rPr>
          <w:rFonts w:hint="eastAsia" w:ascii="宋体" w:hAnsi="宋体" w:eastAsia="宋体" w:cs="宋体"/>
          <w:b/>
          <w:color w:val="auto"/>
          <w:sz w:val="24"/>
          <w:highlight w:val="none"/>
          <w:lang w:bidi="ar"/>
        </w:rPr>
        <w:t xml:space="preserve">  元（￥： 元）</w:t>
      </w:r>
      <w:r>
        <w:rPr>
          <w:rFonts w:hint="eastAsia" w:ascii="宋体" w:hAnsi="宋体" w:eastAsia="宋体" w:cs="宋体"/>
          <w:color w:val="auto"/>
          <w:sz w:val="24"/>
          <w:highlight w:val="none"/>
          <w:lang w:bidi="ar"/>
        </w:rPr>
        <w:t>。</w:t>
      </w:r>
    </w:p>
    <w:p w14:paraId="13506ADD">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w:t>
      </w:r>
    </w:p>
    <w:p w14:paraId="1D1FE900">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w:t>
      </w:r>
    </w:p>
    <w:p w14:paraId="0674578A">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4.如因乙方违约，甲方依本合同约定单方解除合同的，乙方应退还甲方已支付的全部费用，并承担因此给甲方造成的全部损失（包括但不限于甲方因主张权利所产生的诉讼费、鉴定费、申请费、律师费等）。</w:t>
      </w:r>
    </w:p>
    <w:p w14:paraId="2E8C2A55">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5.甲方未经乙方同意延迟支付乙方合同款项，甲方须向乙方支付违约金，违约金数额由双方协商确定。</w:t>
      </w:r>
    </w:p>
    <w:p w14:paraId="5CF62365">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6.乙方应当确保提供的产品及其内容来源正当合法，不存在侵犯第三人知识产权等权利的行为。否则，乙方应承担合同总金额10%的违约金，同时因侵犯第三人权益而造成甲方损失或产生费用的，甲方有权向乙方追偿。</w:t>
      </w:r>
    </w:p>
    <w:p w14:paraId="45D4C4D0">
      <w:pPr>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7.如乙方存在任何违约行为，甲方均有权拒绝付款。</w:t>
      </w:r>
    </w:p>
    <w:p w14:paraId="0DD4AF10">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八、发生不可抗力时合同运行方式</w:t>
      </w:r>
    </w:p>
    <w:p w14:paraId="28722337">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3E03CE89">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九、争议解决方式</w:t>
      </w:r>
    </w:p>
    <w:p w14:paraId="147FECC9">
      <w:pPr>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748F6A8C">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2、在法院审理期间，除提交法院审理的事项外，合同其他事项和条款仍应继续履行。</w:t>
      </w:r>
    </w:p>
    <w:p w14:paraId="2FE1C939">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十、合同生效</w:t>
      </w:r>
    </w:p>
    <w:p w14:paraId="70572CFD">
      <w:pPr>
        <w:pStyle w:val="12"/>
        <w:tabs>
          <w:tab w:val="left" w:pos="540"/>
        </w:tabs>
        <w:spacing w:before="0" w:beforeAutospacing="0" w:after="0" w:afterAutospacing="0" w:line="360" w:lineRule="auto"/>
        <w:ind w:firstLine="480" w:firstLineChars="200"/>
        <w:rPr>
          <w:rFonts w:eastAsia="宋体" w:cs="宋体"/>
          <w:color w:val="auto"/>
          <w:kern w:val="2"/>
          <w:highlight w:val="none"/>
        </w:rPr>
      </w:pPr>
      <w:r>
        <w:rPr>
          <w:rFonts w:hint="eastAsia" w:eastAsia="宋体" w:cs="宋体"/>
          <w:color w:val="auto"/>
          <w:kern w:val="2"/>
          <w:highlight w:val="none"/>
        </w:rPr>
        <w:t>本合同有效期自甲乙双方法定代表人或其授权代理人签字并加盖公章之日起生效。如双方签字、盖章日期不一致时，以最后盖章方的盖章日期为合同的生效日期。</w:t>
      </w:r>
    </w:p>
    <w:p w14:paraId="72668BAE">
      <w:pPr>
        <w:pStyle w:val="12"/>
        <w:widowControl w:val="0"/>
        <w:spacing w:before="0" w:beforeAutospacing="0" w:after="0" w:afterAutospacing="0" w:line="360" w:lineRule="auto"/>
        <w:ind w:firstLine="482" w:firstLineChars="200"/>
        <w:rPr>
          <w:rFonts w:eastAsia="宋体" w:cs="宋体"/>
          <w:b/>
          <w:color w:val="auto"/>
          <w:highlight w:val="none"/>
        </w:rPr>
      </w:pPr>
      <w:r>
        <w:rPr>
          <w:rFonts w:hint="eastAsia" w:eastAsia="宋体" w:cs="宋体"/>
          <w:b/>
          <w:color w:val="auto"/>
          <w:highlight w:val="none"/>
        </w:rPr>
        <w:t>十一、送达地址</w:t>
      </w:r>
    </w:p>
    <w:p w14:paraId="47492683">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双方指定的送达地址为：</w:t>
      </w:r>
    </w:p>
    <w:p w14:paraId="64688B60">
      <w:pPr>
        <w:pStyle w:val="12"/>
        <w:widowControl w:val="0"/>
        <w:spacing w:before="0" w:beforeAutospacing="0" w:after="0" w:afterAutospacing="0" w:line="360" w:lineRule="auto"/>
        <w:ind w:firstLine="482" w:firstLineChars="200"/>
        <w:rPr>
          <w:rFonts w:eastAsia="宋体" w:cs="宋体"/>
          <w:color w:val="auto"/>
          <w:highlight w:val="none"/>
          <w:lang w:bidi="ar"/>
        </w:rPr>
      </w:pPr>
      <w:r>
        <w:rPr>
          <w:rFonts w:hint="eastAsia" w:eastAsia="宋体" w:cs="宋体"/>
          <w:b/>
          <w:color w:val="auto"/>
          <w:highlight w:val="none"/>
        </w:rPr>
        <w:t>甲方：咸阳师范学院</w:t>
      </w:r>
      <w:r>
        <w:rPr>
          <w:rFonts w:hint="eastAsia" w:eastAsia="宋体" w:cs="宋体"/>
          <w:color w:val="auto"/>
          <w:highlight w:val="none"/>
        </w:rPr>
        <w:t xml:space="preserve">                   </w:t>
      </w:r>
      <w:r>
        <w:rPr>
          <w:rFonts w:hint="eastAsia" w:eastAsia="宋体" w:cs="宋体"/>
          <w:b/>
          <w:color w:val="auto"/>
          <w:highlight w:val="none"/>
        </w:rPr>
        <w:t>乙方：</w:t>
      </w:r>
      <w:r>
        <w:rPr>
          <w:rFonts w:hint="eastAsia" w:eastAsia="宋体" w:cs="宋体"/>
          <w:bCs/>
          <w:color w:val="auto"/>
          <w:highlight w:val="none"/>
        </w:rPr>
        <w:t xml:space="preserve"> </w:t>
      </w:r>
    </w:p>
    <w:p w14:paraId="357B69D5">
      <w:pPr>
        <w:tabs>
          <w:tab w:val="left" w:pos="4710"/>
        </w:tabs>
        <w:spacing w:line="360" w:lineRule="auto"/>
        <w:ind w:firstLine="480" w:firstLineChars="20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送达地址：                        </w:t>
      </w:r>
      <w:r>
        <w:rPr>
          <w:rFonts w:hint="eastAsia" w:ascii="宋体" w:hAnsi="宋体" w:eastAsia="宋体" w:cs="宋体"/>
          <w:color w:val="auto"/>
          <w:sz w:val="24"/>
          <w:highlight w:val="none"/>
        </w:rPr>
        <w:t xml:space="preserve">   送达</w:t>
      </w:r>
      <w:r>
        <w:rPr>
          <w:rFonts w:hint="eastAsia" w:ascii="宋体" w:hAnsi="宋体" w:eastAsia="宋体" w:cs="宋体"/>
          <w:color w:val="auto"/>
          <w:sz w:val="24"/>
          <w:highlight w:val="none"/>
          <w:lang w:bidi="ar"/>
        </w:rPr>
        <w:t>地址：</w:t>
      </w:r>
    </w:p>
    <w:p w14:paraId="10ECF9F3">
      <w:pPr>
        <w:pStyle w:val="12"/>
        <w:widowControl w:val="0"/>
        <w:spacing w:before="0" w:beforeAutospacing="0" w:after="0" w:afterAutospacing="0" w:line="360" w:lineRule="auto"/>
        <w:ind w:firstLine="480" w:firstLineChars="200"/>
        <w:rPr>
          <w:rFonts w:eastAsia="宋体" w:cs="宋体"/>
          <w:color w:val="auto"/>
          <w:highlight w:val="none"/>
          <w:lang w:bidi="ar"/>
        </w:rPr>
      </w:pPr>
      <w:r>
        <w:rPr>
          <w:rFonts w:hint="eastAsia" w:eastAsia="宋体" w:cs="宋体"/>
          <w:color w:val="auto"/>
          <w:highlight w:val="none"/>
        </w:rPr>
        <w:t xml:space="preserve">收件人：                             </w:t>
      </w:r>
      <w:r>
        <w:rPr>
          <w:rFonts w:hint="eastAsia" w:eastAsia="宋体" w:cs="宋体"/>
          <w:color w:val="auto"/>
          <w:highlight w:val="none"/>
          <w:lang w:bidi="ar"/>
        </w:rPr>
        <w:t xml:space="preserve">收件人： </w:t>
      </w:r>
    </w:p>
    <w:p w14:paraId="1E996AFB">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 xml:space="preserve">联系电话：                           </w:t>
      </w:r>
      <w:r>
        <w:rPr>
          <w:rFonts w:hint="eastAsia" w:eastAsia="宋体" w:cs="宋体"/>
          <w:color w:val="auto"/>
          <w:highlight w:val="none"/>
          <w:lang w:bidi="ar"/>
        </w:rPr>
        <w:t xml:space="preserve">联系电话： </w:t>
      </w:r>
    </w:p>
    <w:p w14:paraId="3C6B04AD">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任何一方上述通讯信息如发生变更，应在变更之日起三日内书面通知合同对方；如未书面通知，则视为未变更。双方一致确认，任何一方向上述地址送达文件即视为送达成功，无论是否实际收到。</w:t>
      </w:r>
    </w:p>
    <w:p w14:paraId="3A753CC0">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12D67504">
      <w:pPr>
        <w:pStyle w:val="12"/>
        <w:widowControl w:val="0"/>
        <w:spacing w:before="0" w:beforeAutospacing="0" w:after="0" w:afterAutospacing="0" w:line="360" w:lineRule="auto"/>
        <w:ind w:firstLine="480" w:firstLineChars="200"/>
        <w:rPr>
          <w:rFonts w:eastAsia="宋体" w:cs="宋体"/>
          <w:color w:val="auto"/>
          <w:highlight w:val="none"/>
        </w:rPr>
      </w:pPr>
      <w:r>
        <w:rPr>
          <w:rFonts w:hint="eastAsia" w:eastAsia="宋体" w:cs="宋体"/>
          <w:color w:val="auto"/>
          <w:highlight w:val="none"/>
        </w:rPr>
        <w:t>本合同履行过程中发生任何纠纷，则前述地址视为法院邮寄法律文书及各方邮寄律师函等文件的法定送达地址。</w:t>
      </w:r>
    </w:p>
    <w:p w14:paraId="6B077A5D">
      <w:pPr>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十二、其它</w:t>
      </w:r>
    </w:p>
    <w:p w14:paraId="280FF587">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1、甲方招标文件、本合同附件及经双方签署确认的文件（包括乙方投标文件、补充协议），均为本合同不可分割的有效组成部分，与本合同具有同等的法律效力。其生效日为盖章确认之日。</w:t>
      </w:r>
    </w:p>
    <w:p w14:paraId="5285CF41">
      <w:pPr>
        <w:tabs>
          <w:tab w:val="left" w:pos="4710"/>
        </w:tabs>
        <w:spacing w:line="360" w:lineRule="auto"/>
        <w:ind w:left="181" w:leftChars="86"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lang w:bidi="ar"/>
        </w:rPr>
        <w:t>2、</w:t>
      </w:r>
      <w:r>
        <w:rPr>
          <w:rFonts w:hint="eastAsia" w:ascii="宋体" w:hAnsi="宋体" w:eastAsia="宋体" w:cs="宋体"/>
          <w:color w:val="auto"/>
          <w:sz w:val="24"/>
          <w:highlight w:val="none"/>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720C0AA9">
      <w:pPr>
        <w:tabs>
          <w:tab w:val="left" w:pos="4710"/>
        </w:tabs>
        <w:spacing w:line="360" w:lineRule="auto"/>
        <w:ind w:left="181" w:leftChars="86"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3、本合同履行期间，鉴证方应按照甲方、鉴证方双方签</w:t>
      </w:r>
      <w:r>
        <w:rPr>
          <w:rFonts w:hint="eastAsia" w:ascii="宋体" w:hAnsi="宋体" w:eastAsia="宋体" w:cs="宋体"/>
          <w:color w:val="auto"/>
          <w:sz w:val="24"/>
          <w:highlight w:val="none"/>
          <w:lang w:bidi="ar"/>
        </w:rPr>
        <w:t>署确认的</w:t>
      </w:r>
      <w:r>
        <w:rPr>
          <w:rFonts w:hint="eastAsia" w:ascii="宋体" w:hAnsi="宋体" w:eastAsia="宋体" w:cs="宋体"/>
          <w:color w:val="auto"/>
          <w:sz w:val="24"/>
          <w:highlight w:val="none"/>
        </w:rPr>
        <w:t>文件（包括但不限于招标代理委托合同、招标文件）约定，履行相应的责任与义务。</w:t>
      </w:r>
    </w:p>
    <w:p w14:paraId="10DFB866">
      <w:pPr>
        <w:tabs>
          <w:tab w:val="left" w:pos="4710"/>
        </w:tabs>
        <w:spacing w:line="360" w:lineRule="auto"/>
        <w:ind w:left="181" w:leftChars="86" w:firstLine="240" w:firstLineChars="100"/>
        <w:rPr>
          <w:rFonts w:ascii="宋体" w:hAnsi="宋体" w:eastAsia="宋体" w:cs="宋体"/>
          <w:b/>
          <w:color w:val="auto"/>
          <w:sz w:val="24"/>
          <w:highlight w:val="none"/>
        </w:rPr>
      </w:pPr>
      <w:r>
        <w:rPr>
          <w:rFonts w:hint="eastAsia" w:ascii="宋体" w:hAnsi="宋体" w:eastAsia="宋体" w:cs="宋体"/>
          <w:color w:val="auto"/>
          <w:sz w:val="24"/>
          <w:highlight w:val="none"/>
        </w:rPr>
        <w:t>4、本合同一式柒份，甲方执伍份、乙方执壹份、鉴证方执壹份，具有同等法律效力。</w:t>
      </w:r>
    </w:p>
    <w:p w14:paraId="69C46D29">
      <w:pPr>
        <w:tabs>
          <w:tab w:val="left" w:pos="4710"/>
        </w:tabs>
        <w:spacing w:line="360" w:lineRule="auto"/>
        <w:ind w:left="181" w:leftChars="86"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【以下无正文】</w:t>
      </w:r>
    </w:p>
    <w:p w14:paraId="5C408137">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甲方（盖章）：咸阳师范学院            乙方（盖章）： </w:t>
      </w:r>
    </w:p>
    <w:p w14:paraId="5C4826DE">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                                              </w:t>
      </w:r>
    </w:p>
    <w:p w14:paraId="3472AB4B">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法定代表人或授权代理人                法定代表人或授权代理人</w:t>
      </w:r>
    </w:p>
    <w:p w14:paraId="79961519">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（签字）：                            （签字）： </w:t>
      </w:r>
    </w:p>
    <w:p w14:paraId="214D19B0">
      <w:pPr>
        <w:tabs>
          <w:tab w:val="left" w:pos="4710"/>
        </w:tabs>
        <w:spacing w:line="360" w:lineRule="auto"/>
        <w:ind w:firstLine="4665" w:firstLineChars="1944"/>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开户行： </w:t>
      </w:r>
    </w:p>
    <w:p w14:paraId="6A006660">
      <w:pPr>
        <w:tabs>
          <w:tab w:val="left" w:pos="4710"/>
        </w:tabs>
        <w:spacing w:line="360" w:lineRule="auto"/>
        <w:ind w:firstLine="4692" w:firstLineChars="1955"/>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账号：</w:t>
      </w:r>
    </w:p>
    <w:p w14:paraId="1DE35E3C">
      <w:pPr>
        <w:tabs>
          <w:tab w:val="left" w:pos="4710"/>
        </w:tabs>
        <w:spacing w:line="360" w:lineRule="auto"/>
        <w:ind w:firstLine="4692" w:firstLineChars="1955"/>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开户行行号：</w:t>
      </w:r>
    </w:p>
    <w:p w14:paraId="685FDA6B">
      <w:pPr>
        <w:tabs>
          <w:tab w:val="left" w:pos="4710"/>
        </w:tabs>
        <w:spacing w:line="360" w:lineRule="auto"/>
        <w:jc w:val="left"/>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地址：咸阳市渭城区文林路               地址： </w:t>
      </w:r>
    </w:p>
    <w:p w14:paraId="670A0CFF">
      <w:pPr>
        <w:tabs>
          <w:tab w:val="left" w:pos="4710"/>
        </w:tabs>
        <w:spacing w:line="360" w:lineRule="auto"/>
        <w:ind w:firstLine="5640" w:firstLineChars="2350"/>
        <w:jc w:val="left"/>
        <w:rPr>
          <w:rFonts w:ascii="宋体" w:hAnsi="宋体" w:eastAsia="宋体" w:cs="宋体"/>
          <w:color w:val="auto"/>
          <w:sz w:val="24"/>
          <w:highlight w:val="none"/>
          <w:lang w:bidi="ar"/>
        </w:rPr>
      </w:pPr>
    </w:p>
    <w:p w14:paraId="0EB3D675">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lang w:bidi="ar"/>
        </w:rPr>
        <w:t>日期：    年     月     日            日期：    年    月     日</w:t>
      </w:r>
    </w:p>
    <w:p w14:paraId="2F0C7D9D">
      <w:pPr>
        <w:pStyle w:val="11"/>
        <w:widowControl w:val="0"/>
        <w:ind w:firstLine="480"/>
        <w:rPr>
          <w:rFonts w:hAnsi="宋体" w:cs="宋体"/>
          <w:color w:val="auto"/>
          <w:szCs w:val="24"/>
          <w:highlight w:val="none"/>
        </w:rPr>
      </w:pPr>
    </w:p>
    <w:p w14:paraId="3B50FEC1">
      <w:pPr>
        <w:tabs>
          <w:tab w:val="left" w:pos="4710"/>
        </w:tabs>
        <w:spacing w:line="360" w:lineRule="auto"/>
        <w:ind w:firstLine="120" w:firstLineChars="50"/>
        <w:rPr>
          <w:rFonts w:ascii="宋体" w:hAnsi="宋体" w:eastAsia="宋体" w:cs="宋体"/>
          <w:color w:val="auto"/>
          <w:sz w:val="24"/>
          <w:highlight w:val="none"/>
          <w:lang w:bidi="ar"/>
        </w:rPr>
      </w:pPr>
    </w:p>
    <w:p w14:paraId="562A9225">
      <w:pPr>
        <w:tabs>
          <w:tab w:val="left" w:pos="4710"/>
        </w:tabs>
        <w:spacing w:line="360" w:lineRule="auto"/>
        <w:ind w:firstLine="120" w:firstLineChars="50"/>
        <w:rPr>
          <w:rFonts w:ascii="宋体" w:hAnsi="宋体" w:eastAsia="宋体" w:cs="宋体"/>
          <w:color w:val="auto"/>
          <w:sz w:val="24"/>
          <w:highlight w:val="none"/>
          <w:lang w:bidi="ar"/>
        </w:rPr>
      </w:pPr>
    </w:p>
    <w:p w14:paraId="7CF46FC9">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鉴证方（盖章） ：                     </w:t>
      </w:r>
    </w:p>
    <w:p w14:paraId="27C180EA">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法定代表人或授权代理人（签字）：</w:t>
      </w:r>
    </w:p>
    <w:p w14:paraId="7E563ECE">
      <w:pPr>
        <w:tabs>
          <w:tab w:val="left" w:pos="4710"/>
        </w:tabs>
        <w:spacing w:line="360" w:lineRule="auto"/>
        <w:ind w:firstLine="120" w:firstLineChars="50"/>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地址：</w:t>
      </w:r>
    </w:p>
    <w:p w14:paraId="1411875A">
      <w:pPr>
        <w:tabs>
          <w:tab w:val="left" w:pos="4710"/>
        </w:tabs>
        <w:spacing w:line="360" w:lineRule="auto"/>
        <w:ind w:firstLine="120" w:firstLineChars="50"/>
        <w:rPr>
          <w:rFonts w:ascii="宋体" w:hAnsi="宋体" w:eastAsia="宋体" w:cs="宋体"/>
          <w:color w:val="auto"/>
          <w:sz w:val="24"/>
          <w:highlight w:val="none"/>
        </w:rPr>
      </w:pPr>
      <w:r>
        <w:rPr>
          <w:rFonts w:hint="eastAsia" w:ascii="宋体" w:hAnsi="宋体" w:eastAsia="宋体" w:cs="宋体"/>
          <w:color w:val="auto"/>
          <w:sz w:val="24"/>
          <w:highlight w:val="none"/>
          <w:lang w:bidi="ar"/>
        </w:rPr>
        <w:t>日期：    年     月     日</w:t>
      </w:r>
    </w:p>
    <w:p w14:paraId="13A3D37C">
      <w:pPr>
        <w:pStyle w:val="6"/>
        <w:spacing w:line="360" w:lineRule="auto"/>
        <w:rPr>
          <w:rFonts w:hAnsi="宋体" w:eastAsia="宋体" w:cs="宋体"/>
          <w:color w:val="auto"/>
          <w:sz w:val="24"/>
          <w:szCs w:val="24"/>
          <w:highlight w:val="none"/>
          <w:lang w:bidi="ar"/>
        </w:rPr>
      </w:pPr>
    </w:p>
    <w:p w14:paraId="25EB5D5D">
      <w:pPr>
        <w:pStyle w:val="6"/>
        <w:spacing w:line="360" w:lineRule="auto"/>
        <w:rPr>
          <w:rFonts w:hAnsi="宋体" w:eastAsia="宋体" w:cs="宋体"/>
          <w:color w:val="auto"/>
          <w:sz w:val="24"/>
          <w:szCs w:val="24"/>
          <w:highlight w:val="none"/>
          <w:lang w:bidi="ar"/>
        </w:rPr>
      </w:pPr>
    </w:p>
    <w:p w14:paraId="6CBAD7E9">
      <w:pPr>
        <w:pStyle w:val="6"/>
        <w:spacing w:line="360" w:lineRule="auto"/>
        <w:rPr>
          <w:rFonts w:hint="eastAsia" w:hAnsi="宋体" w:eastAsia="宋体" w:cs="宋体"/>
          <w:color w:val="auto"/>
          <w:sz w:val="24"/>
          <w:szCs w:val="24"/>
          <w:highlight w:val="none"/>
          <w:lang w:bidi="ar"/>
        </w:rPr>
      </w:pPr>
    </w:p>
    <w:p w14:paraId="35D27C2C">
      <w:pPr>
        <w:pStyle w:val="6"/>
        <w:spacing w:line="360" w:lineRule="auto"/>
        <w:rPr>
          <w:rFonts w:hint="eastAsia" w:hAnsi="宋体" w:eastAsia="宋体" w:cs="宋体"/>
          <w:color w:val="auto"/>
          <w:sz w:val="24"/>
          <w:szCs w:val="24"/>
          <w:highlight w:val="none"/>
          <w:lang w:bidi="ar"/>
        </w:rPr>
      </w:pPr>
    </w:p>
    <w:p w14:paraId="7C6D4978">
      <w:pPr>
        <w:pStyle w:val="6"/>
        <w:spacing w:line="360" w:lineRule="auto"/>
        <w:rPr>
          <w:rFonts w:hint="eastAsia" w:hAnsi="宋体" w:eastAsia="宋体" w:cs="宋体"/>
          <w:color w:val="auto"/>
          <w:sz w:val="24"/>
          <w:szCs w:val="24"/>
          <w:highlight w:val="none"/>
          <w:lang w:bidi="ar"/>
        </w:rPr>
      </w:pPr>
    </w:p>
    <w:p w14:paraId="4D860821">
      <w:pPr>
        <w:pStyle w:val="6"/>
        <w:spacing w:line="360" w:lineRule="auto"/>
        <w:rPr>
          <w:rFonts w:hint="eastAsia" w:hAnsi="宋体" w:eastAsia="宋体" w:cs="宋体"/>
          <w:color w:val="auto"/>
          <w:sz w:val="24"/>
          <w:szCs w:val="24"/>
          <w:highlight w:val="none"/>
          <w:lang w:bidi="ar"/>
        </w:rPr>
      </w:pPr>
    </w:p>
    <w:p w14:paraId="3DC14580">
      <w:pPr>
        <w:pStyle w:val="6"/>
        <w:spacing w:line="360" w:lineRule="auto"/>
        <w:rPr>
          <w:rFonts w:hAnsi="宋体" w:eastAsia="宋体" w:cs="宋体"/>
          <w:bCs/>
          <w:color w:val="auto"/>
          <w:sz w:val="24"/>
          <w:szCs w:val="24"/>
          <w:highlight w:val="none"/>
        </w:rPr>
      </w:pPr>
      <w:bookmarkStart w:id="0" w:name="_GoBack"/>
      <w:bookmarkEnd w:id="0"/>
      <w:r>
        <w:rPr>
          <w:rFonts w:hint="eastAsia" w:hAnsi="宋体" w:eastAsia="宋体" w:cs="宋体"/>
          <w:color w:val="auto"/>
          <w:sz w:val="24"/>
          <w:szCs w:val="24"/>
          <w:highlight w:val="none"/>
          <w:lang w:bidi="ar"/>
        </w:rPr>
        <w:t>附件：</w:t>
      </w:r>
    </w:p>
    <w:p w14:paraId="3BED540D">
      <w:pPr>
        <w:pStyle w:val="11"/>
        <w:widowControl w:val="0"/>
        <w:ind w:firstLine="480"/>
        <w:jc w:val="center"/>
        <w:rPr>
          <w:rFonts w:hAnsi="宋体" w:cs="宋体"/>
          <w:bCs/>
          <w:color w:val="auto"/>
          <w:szCs w:val="24"/>
          <w:highlight w:val="none"/>
        </w:rPr>
      </w:pPr>
      <w:r>
        <w:rPr>
          <w:rFonts w:hint="eastAsia" w:hAnsi="宋体" w:cs="宋体"/>
          <w:bCs/>
          <w:color w:val="auto"/>
          <w:szCs w:val="24"/>
          <w:highlight w:val="none"/>
        </w:rPr>
        <w:t>合同购置内容及技术要求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3257"/>
        <w:gridCol w:w="2040"/>
      </w:tblGrid>
      <w:tr w14:paraId="04D5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vAlign w:val="center"/>
          </w:tcPr>
          <w:p w14:paraId="64E773E4">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设备名称</w:t>
            </w:r>
          </w:p>
        </w:tc>
        <w:tc>
          <w:tcPr>
            <w:tcW w:w="1911" w:type="pct"/>
            <w:vAlign w:val="center"/>
          </w:tcPr>
          <w:p w14:paraId="1D478C6B">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生产厂家</w:t>
            </w:r>
          </w:p>
        </w:tc>
        <w:tc>
          <w:tcPr>
            <w:tcW w:w="1197" w:type="pct"/>
            <w:vAlign w:val="center"/>
          </w:tcPr>
          <w:p w14:paraId="7CD888D6">
            <w:pPr>
              <w:spacing w:line="360" w:lineRule="auto"/>
              <w:jc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型号/规格</w:t>
            </w:r>
          </w:p>
        </w:tc>
      </w:tr>
      <w:tr w14:paraId="3D1BA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6A4BD972">
            <w:pPr>
              <w:spacing w:line="360" w:lineRule="auto"/>
              <w:jc w:val="center"/>
              <w:rPr>
                <w:rFonts w:ascii="宋体" w:hAnsi="宋体" w:eastAsia="宋体" w:cs="宋体"/>
                <w:b/>
                <w:color w:val="auto"/>
                <w:sz w:val="24"/>
                <w:highlight w:val="none"/>
              </w:rPr>
            </w:pPr>
            <w:r>
              <w:rPr>
                <w:rFonts w:hint="eastAsia" w:ascii="宋体" w:hAnsi="宋体" w:eastAsia="宋体" w:cs="宋体"/>
                <w:b/>
                <w:bCs/>
                <w:color w:val="auto"/>
                <w:sz w:val="24"/>
                <w:highlight w:val="none"/>
              </w:rPr>
              <w:t>1、</w:t>
            </w:r>
          </w:p>
        </w:tc>
        <w:tc>
          <w:tcPr>
            <w:tcW w:w="1911" w:type="pct"/>
            <w:vAlign w:val="center"/>
          </w:tcPr>
          <w:p w14:paraId="31639E2B">
            <w:pPr>
              <w:spacing w:line="360" w:lineRule="auto"/>
              <w:jc w:val="center"/>
              <w:rPr>
                <w:rFonts w:ascii="宋体" w:hAnsi="宋体" w:eastAsia="宋体" w:cs="宋体"/>
                <w:b/>
                <w:bCs/>
                <w:color w:val="auto"/>
                <w:sz w:val="24"/>
                <w:highlight w:val="none"/>
              </w:rPr>
            </w:pPr>
          </w:p>
        </w:tc>
        <w:tc>
          <w:tcPr>
            <w:tcW w:w="1197" w:type="pct"/>
            <w:vAlign w:val="center"/>
          </w:tcPr>
          <w:p w14:paraId="3DF9053C">
            <w:pPr>
              <w:spacing w:line="360" w:lineRule="auto"/>
              <w:jc w:val="center"/>
              <w:rPr>
                <w:rFonts w:ascii="宋体" w:hAnsi="宋体" w:eastAsia="宋体" w:cs="宋体"/>
                <w:b/>
                <w:bCs/>
                <w:color w:val="auto"/>
                <w:sz w:val="24"/>
                <w:highlight w:val="none"/>
              </w:rPr>
            </w:pPr>
          </w:p>
        </w:tc>
      </w:tr>
      <w:tr w14:paraId="4BD4E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vAlign w:val="center"/>
          </w:tcPr>
          <w:p w14:paraId="730B5696">
            <w:pPr>
              <w:spacing w:line="360" w:lineRule="auto"/>
              <w:rPr>
                <w:rFonts w:ascii="宋体" w:hAnsi="宋体" w:eastAsia="宋体" w:cs="宋体"/>
                <w:color w:val="auto"/>
                <w:sz w:val="24"/>
                <w:highlight w:val="none"/>
                <w:lang w:bidi="ar"/>
              </w:rPr>
            </w:pPr>
            <w:r>
              <w:rPr>
                <w:rFonts w:hint="eastAsia" w:ascii="宋体" w:hAnsi="宋体" w:eastAsia="宋体" w:cs="宋体"/>
                <w:color w:val="auto"/>
                <w:sz w:val="24"/>
                <w:highlight w:val="none"/>
                <w:lang w:bidi="ar"/>
              </w:rPr>
              <w:t>技术参数：</w:t>
            </w:r>
          </w:p>
        </w:tc>
      </w:tr>
      <w:tr w14:paraId="452A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0F237758">
            <w:pPr>
              <w:pStyle w:val="6"/>
              <w:spacing w:line="360" w:lineRule="auto"/>
              <w:jc w:val="center"/>
              <w:rPr>
                <w:rFonts w:hAnsi="宋体" w:eastAsia="宋体" w:cs="宋体"/>
                <w:b/>
                <w:color w:val="auto"/>
                <w:sz w:val="24"/>
                <w:szCs w:val="24"/>
                <w:highlight w:val="none"/>
              </w:rPr>
            </w:pPr>
            <w:r>
              <w:rPr>
                <w:rFonts w:hint="eastAsia" w:hAnsi="宋体" w:eastAsia="宋体" w:cs="宋体"/>
                <w:b/>
                <w:color w:val="auto"/>
                <w:sz w:val="24"/>
                <w:szCs w:val="24"/>
                <w:highlight w:val="none"/>
              </w:rPr>
              <w:t>2、</w:t>
            </w:r>
          </w:p>
        </w:tc>
        <w:tc>
          <w:tcPr>
            <w:tcW w:w="1911" w:type="pct"/>
            <w:vAlign w:val="center"/>
          </w:tcPr>
          <w:p w14:paraId="37D7CE06">
            <w:pPr>
              <w:pStyle w:val="6"/>
              <w:spacing w:line="360" w:lineRule="auto"/>
              <w:jc w:val="center"/>
              <w:rPr>
                <w:rFonts w:hAnsi="宋体" w:eastAsia="宋体" w:cs="宋体"/>
                <w:b/>
                <w:color w:val="auto"/>
                <w:sz w:val="24"/>
                <w:szCs w:val="24"/>
                <w:highlight w:val="none"/>
              </w:rPr>
            </w:pPr>
          </w:p>
        </w:tc>
        <w:tc>
          <w:tcPr>
            <w:tcW w:w="1197" w:type="pct"/>
            <w:vAlign w:val="center"/>
          </w:tcPr>
          <w:p w14:paraId="345FE16B">
            <w:pPr>
              <w:pStyle w:val="6"/>
              <w:spacing w:line="360" w:lineRule="auto"/>
              <w:jc w:val="center"/>
              <w:rPr>
                <w:rFonts w:hAnsi="宋体" w:eastAsia="宋体" w:cs="宋体"/>
                <w:b/>
                <w:color w:val="auto"/>
                <w:sz w:val="24"/>
                <w:szCs w:val="24"/>
                <w:highlight w:val="none"/>
              </w:rPr>
            </w:pPr>
          </w:p>
        </w:tc>
      </w:tr>
      <w:tr w14:paraId="44EBA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vAlign w:val="center"/>
          </w:tcPr>
          <w:p w14:paraId="48A9D31B">
            <w:pPr>
              <w:pStyle w:val="6"/>
              <w:spacing w:line="360" w:lineRule="auto"/>
              <w:rPr>
                <w:rFonts w:hAnsi="宋体" w:eastAsia="宋体" w:cs="宋体"/>
                <w:color w:val="auto"/>
                <w:sz w:val="24"/>
                <w:szCs w:val="24"/>
                <w:highlight w:val="none"/>
                <w:lang w:bidi="ar"/>
              </w:rPr>
            </w:pPr>
            <w:r>
              <w:rPr>
                <w:rFonts w:hint="eastAsia" w:hAnsi="宋体" w:eastAsia="宋体" w:cs="宋体"/>
                <w:color w:val="auto"/>
                <w:sz w:val="24"/>
                <w:szCs w:val="24"/>
                <w:highlight w:val="none"/>
                <w:lang w:bidi="ar"/>
              </w:rPr>
              <w:t xml:space="preserve">技术参数： </w:t>
            </w:r>
          </w:p>
        </w:tc>
      </w:tr>
    </w:tbl>
    <w:p w14:paraId="7817CC8A"/>
    <w:p w14:paraId="2B628A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383FE3"/>
    <w:rsid w:val="1FF527C6"/>
    <w:rsid w:val="2E3565BC"/>
    <w:rsid w:val="57A07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32"/>
      <w:szCs w:val="21"/>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Arial"/>
      <w:b/>
      <w:snapToGrid w:val="0"/>
      <w:color w:val="000000"/>
      <w:kern w:val="0"/>
      <w:sz w:val="28"/>
      <w:szCs w:val="21"/>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styleId="5">
    <w:name w:val="Normal Indent"/>
    <w:basedOn w:val="1"/>
    <w:qFormat/>
    <w:uiPriority w:val="0"/>
    <w:pPr>
      <w:autoSpaceDE w:val="0"/>
      <w:autoSpaceDN w:val="0"/>
      <w:adjustRightInd w:val="0"/>
      <w:spacing w:line="640" w:lineRule="exact"/>
      <w:ind w:firstLine="585"/>
    </w:pPr>
    <w:rPr>
      <w:rFonts w:ascii="Times New Roman" w:hAnsi="Times New Roman"/>
    </w:rPr>
  </w:style>
  <w:style w:type="paragraph" w:styleId="6">
    <w:name w:val="Plain Text"/>
    <w:basedOn w:val="1"/>
    <w:qFormat/>
    <w:uiPriority w:val="99"/>
    <w:rPr>
      <w:rFonts w:ascii="宋体" w:hAnsi="Courier New" w:cs="Courier New"/>
      <w:szCs w:val="21"/>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10">
    <w:name w:val="null3"/>
    <w:hidden/>
    <w:qFormat/>
    <w:uiPriority w:val="0"/>
    <w:rPr>
      <w:rFonts w:hint="eastAsia" w:ascii="Calibri" w:hAnsi="Calibri" w:eastAsia="宋体" w:cs="Times New Roman"/>
      <w:lang w:val="en-US" w:eastAsia="zh-Hans" w:bidi="ar-SA"/>
    </w:rPr>
  </w:style>
  <w:style w:type="paragraph" w:customStyle="1" w:styleId="11">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2">
    <w:name w:val="1"/>
    <w:basedOn w:val="1"/>
    <w:next w:val="7"/>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2022-02-24T02:21:00Z</dcterms:created>
  <dc:creator>Administrator</dc:creator>
  <cp:lastModifiedBy>西北空隙</cp:lastModifiedBy>
  <dcterms:modified xsi:type="dcterms:W3CDTF">2024-12-10T09:11:27Z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9E4D9F9A14684E1BA34E22706F197404</vt:lpwstr>
  </property>
</Properties>
</file>