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版本号：241212001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先进制造产业链数据资产服务中心建设项目</w:t>
      </w:r>
    </w:p>
    <w:p>
      <w:pPr>
        <w:pStyle w:val="null3"/>
        <w:jc w:val="center"/>
        <w:outlineLvl w:val="2"/>
      </w:pPr>
      <w:r>
        <w:rPr>
          <w:sz w:val="28"/>
          <w:b/>
        </w:rPr>
        <w:t>采购项目编号：</w:t>
      </w:r>
      <w:r>
        <w:rPr>
          <w:sz w:val="28"/>
          <w:b/>
        </w:rPr>
        <w:t>CT-ZB00-286-2024</w:t>
      </w:r>
      <w:r>
        <w:br/>
      </w:r>
      <w:r>
        <w:br/>
      </w:r>
      <w:r>
        <w:br/>
      </w:r>
    </w:p>
    <w:p>
      <w:pPr>
        <w:pStyle w:val="null3"/>
        <w:jc w:val="center"/>
        <w:outlineLvl w:val="2"/>
      </w:pPr>
      <w:r>
        <w:rPr>
          <w:sz w:val="28"/>
          <w:b/>
        </w:rPr>
        <w:t>陕西工业职业技术学院</w:t>
      </w:r>
    </w:p>
    <w:p>
      <w:pPr>
        <w:pStyle w:val="null3"/>
        <w:jc w:val="center"/>
        <w:outlineLvl w:val="2"/>
      </w:pPr>
      <w:r>
        <w:rPr>
          <w:sz w:val="28"/>
          <w:b/>
        </w:rPr>
        <w:t>中昕国际项目管理有限公司</w:t>
      </w:r>
      <w:r>
        <w:rPr>
          <w:sz w:val="28"/>
          <w:b/>
        </w:rPr>
        <w:t>共同编制</w:t>
      </w:r>
    </w:p>
    <w:p>
      <w:pPr>
        <w:pStyle w:val="null3"/>
        <w:jc w:val="center"/>
        <w:outlineLvl w:val="2"/>
      </w:pPr>
      <w:r>
        <w:rPr>
          <w:sz w:val="28"/>
          <w:b/>
        </w:rPr>
        <w:t>2024年12月12日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中昕国际项目管理有限公司</w:t>
      </w:r>
      <w:r>
        <w:rPr/>
        <w:t>（以下简称“代理机构”）受</w:t>
      </w:r>
      <w:r>
        <w:rPr/>
        <w:t>陕西工业职业技术学院</w:t>
      </w:r>
      <w:r>
        <w:rPr/>
        <w:t>委托，拟对</w:t>
      </w:r>
      <w:r>
        <w:rPr/>
        <w:t>先进制造产业链数据资产服务中心建设项目</w:t>
      </w:r>
      <w:r>
        <w:rPr/>
        <w:t>进行国内公开招标，兹邀请符合本次招标要求的供应商参加投标。</w:t>
      </w:r>
    </w:p>
    <w:p>
      <w:pPr>
        <w:pStyle w:val="null3"/>
        <w:outlineLvl w:val="2"/>
      </w:pPr>
      <w:r>
        <w:rPr>
          <w:sz w:val="28"/>
          <w:b/>
        </w:rPr>
        <w:t>一、采购项目编号：</w:t>
      </w:r>
      <w:r>
        <w:rPr>
          <w:sz w:val="28"/>
          <w:b/>
        </w:rPr>
        <w:t>CT-ZB00-286-2024</w:t>
      </w:r>
    </w:p>
    <w:p>
      <w:pPr>
        <w:pStyle w:val="null3"/>
        <w:outlineLvl w:val="2"/>
      </w:pPr>
      <w:r>
        <w:rPr>
          <w:sz w:val="28"/>
          <w:b/>
        </w:rPr>
        <w:t>二、采购项目名称：</w:t>
      </w:r>
      <w:r>
        <w:rPr>
          <w:sz w:val="28"/>
          <w:b/>
        </w:rPr>
        <w:t>先进制造产业链数据资产服务中心建设项目</w:t>
      </w:r>
    </w:p>
    <w:p>
      <w:pPr>
        <w:pStyle w:val="null3"/>
        <w:outlineLvl w:val="2"/>
      </w:pPr>
      <w:r>
        <w:rPr>
          <w:sz w:val="28"/>
          <w:b/>
        </w:rPr>
        <w:t>三、招标项目简介</w:t>
      </w:r>
    </w:p>
    <w:p>
      <w:pPr>
        <w:pStyle w:val="null3"/>
        <w:ind w:firstLine="480"/>
      </w:pPr>
      <w:r>
        <w:rPr/>
        <w:t>先进制造产业链数据资产服务中心建设以服务先进制造产业链的转型升级和高质量发展为导向，坚持对接前沿、产教一体、经济适用原则，在为先进制造产业提供高效、可靠、安全的数据资产服务的同时，为财经类专业理论实践教学和应用科技研究提供支持。建设目标服务国家两业融合战略和数据资产发展要求，聚焦陕西支柱产业装备制造数字化、智能化 发展方向，围绕先进制造业对数据资产技能型人才的需求，以“数据采集、数据处理、数据建模、数据分析、数据应用”为主线，与行业龙头企业合作，建设具备教学实训、生产实践、社会服务、教师培训、政策咨询等功能于一体，更新不适应实训教学需求的条件和设备，解决财经类专业人才培养宽泛、服务能力偏弱的实际问题，提升专业社会服务能力，培养服务装备制造产业优化升级需要和创新型技术技能财经类人才，同时满足服务国家数据资产建设战略的需要，填补陕西数据资产人才空缺的需要，有效履行职业教育使命任务的需要。新校区建成后，为该项目实施创造了环境条件。在项目实施过程中，由教务处、国有资产管理处、信息化与网络安全处等部门组成联合工作组，与施工监理单位监理人员、系统集成商项目经理成立项目实施管理领导小组，对实施过程中的环保卫生、粉尘噪声、各项变更、质量问题、项目周期进度等进行协调与管理。</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具有独立承担民事责任能力的法人、其他组织或自然人：提供营业执照、组织机构代码证、税务登记证（三证合一只提供营业执照，事业单位提供事业单位法人证书，自然人应提供身份证）合法有效；供应商需在项目电子化交易系统中按要求上传相应证明文件并进行电子签章。</w:t>
      </w:r>
    </w:p>
    <w:p>
      <w:pPr>
        <w:pStyle w:val="null3"/>
      </w:pPr>
      <w:r>
        <w:rPr/>
        <w:t>2、法定代表人参加投标时，提供本人身份证；授权代表参加投标时，提供法定代表人授权书和被授权人身份证；非法人单位参照执行：法定代表人参加投标时，提供本人身份证；授权代表参加投标时，提供法定代表人授权书和被授权人身份证；非法人单位参照执行；供应商需在项目电子化交易系统中按要求上传相应证明文件并进行电子签章。</w:t>
      </w:r>
    </w:p>
    <w:p>
      <w:pPr>
        <w:pStyle w:val="null3"/>
      </w:pPr>
      <w:r>
        <w:rPr/>
        <w:t>3、参加政府采购活动前三年内，在经营活动中没有重大违法记录的书面声明：参加政府采购活动前三年内，在经营活动中没有重大违法记录的书面声明；供应商需在项目电子化交易系统中按要求上传相应证明文件并进行电子签章。</w:t>
      </w:r>
    </w:p>
    <w:p>
      <w:pPr>
        <w:pStyle w:val="null3"/>
      </w:pPr>
      <w:r>
        <w:rPr/>
        <w:t>4、供应商提供具有履行合同所必需的设备和专业技术能力的承诺：供应商提供具有履行合同所必需的设备和专业技术能力的承诺，供应商需在项目电子化交易系统中按要求上传相应证明文件并进行电子签章。</w:t>
      </w:r>
    </w:p>
    <w:p>
      <w:pPr>
        <w:pStyle w:val="null3"/>
      </w:pPr>
      <w:r>
        <w:rPr/>
        <w:t>5、供应商应提供健全的财务会计制度的证明材料：提供2022年度或2023年度经审计的财务报告或开标前三个月内开户银行开具的资信证明及基本存款账户信息；供应商需在项目电子化交易系统中按要求上传相应证明文件并进行电子签章。</w:t>
      </w:r>
    </w:p>
    <w:p>
      <w:pPr>
        <w:pStyle w:val="null3"/>
      </w:pPr>
      <w:r>
        <w:rPr/>
        <w:t>6、税收证明：提供2024年1月1日以来已缴纳任意一个月完税凭证或税务机关开具的完税证明（任意税种）；依法免税的应提供相关文件证明；供应商需在项目电子化交易系统中按要求上传相应证明文件并进行电子签章。</w:t>
      </w:r>
    </w:p>
    <w:p>
      <w:pPr>
        <w:pStyle w:val="null3"/>
      </w:pPr>
      <w:r>
        <w:rPr/>
        <w:t>7、社会保障资金缴纳证明：提供2024年1月1日以来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t>8、单位负责人为同一人或者存在直接控股、管理关系的不同供应商不得参加同一合同项下的政府采购活动； 为本项目提供整体设计、规范编制或者项目管理、监理、检测等服务的供应商，不得再参加该采购项目的其他采购活动：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为本项目提供整体设计、规范编制或者项目管理、监理、检测等服务的供应商，不得再参加该采购项目的其他采购活动。供应商需在项目电子化交易系统中按要求填写《投标函》完成承诺并进行电子签章。</w:t>
      </w:r>
    </w:p>
    <w:p>
      <w:pPr>
        <w:pStyle w:val="null3"/>
      </w:pPr>
      <w:r>
        <w:rPr/>
        <w:t>9、信用查询：供应商不得为“信用中国”网站（www.creditchina.gov.cn）或“中国执信公开网”中被列入失信被执行人、重大税收违法案件当事人名单和中国政府采购网（www.ccgp.gov.cn）被列入政府采购严重违法失信行为记录名单的单位。供应商需在项目电子化交易系统中按要求上传相应证明文件并进行电子签章，开标时将由代理机构进行现场查询。</w:t>
      </w:r>
    </w:p>
    <w:p>
      <w:pPr>
        <w:pStyle w:val="null3"/>
      </w:pPr>
      <w:r>
        <w:rPr/>
        <w:t>10、本项目不接受联合体投标：本项目不接受联合体投标，供应商需在项目电子化交易系统中按要求上传相应承诺并进行电子签章。</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陕西工业职业技术学院</w:t>
      </w:r>
    </w:p>
    <w:p>
      <w:pPr>
        <w:pStyle w:val="null3"/>
      </w:pPr>
      <w:r>
        <w:rPr/>
        <w:t xml:space="preserve"> 地址： </w:t>
      </w:r>
      <w:r>
        <w:rPr/>
        <w:t>陕西省咸阳市渭城区文汇西路12号</w:t>
      </w:r>
    </w:p>
    <w:p>
      <w:pPr>
        <w:pStyle w:val="null3"/>
      </w:pPr>
      <w:r>
        <w:rPr/>
        <w:t xml:space="preserve"> 邮编： </w:t>
      </w:r>
      <w:r>
        <w:rPr/>
        <w:t>712000</w:t>
      </w:r>
    </w:p>
    <w:p>
      <w:pPr>
        <w:pStyle w:val="null3"/>
      </w:pPr>
      <w:r>
        <w:rPr/>
        <w:t xml:space="preserve"> 联系人： </w:t>
      </w:r>
      <w:r>
        <w:rPr/>
        <w:t>王老师</w:t>
      </w:r>
    </w:p>
    <w:p>
      <w:pPr>
        <w:pStyle w:val="null3"/>
      </w:pPr>
      <w:r>
        <w:rPr/>
        <w:t xml:space="preserve"> 联系电话： </w:t>
      </w:r>
      <w:r>
        <w:rPr/>
        <w:t>029-33152066</w:t>
      </w:r>
    </w:p>
    <w:p>
      <w:pPr>
        <w:pStyle w:val="null3"/>
        <w:outlineLvl w:val="2"/>
      </w:pPr>
      <w:r>
        <w:rPr>
          <w:sz w:val="28"/>
          <w:b/>
        </w:rPr>
        <w:t>代理机构：</w:t>
      </w:r>
      <w:r>
        <w:rPr>
          <w:sz w:val="28"/>
          <w:b/>
        </w:rPr>
        <w:t>中昕国际项目管理有限公司</w:t>
      </w:r>
    </w:p>
    <w:p>
      <w:pPr>
        <w:pStyle w:val="null3"/>
      </w:pPr>
      <w:r>
        <w:rPr/>
        <w:t xml:space="preserve"> 地址： </w:t>
      </w:r>
      <w:r>
        <w:rPr/>
        <w:t>陕西省西安市未央区西安经济技术开发区凤城十二路首创禧悦里25幢A座16层</w:t>
      </w:r>
    </w:p>
    <w:p>
      <w:pPr>
        <w:pStyle w:val="null3"/>
      </w:pPr>
      <w:r>
        <w:rPr/>
        <w:t xml:space="preserve"> 邮编： </w:t>
      </w:r>
      <w:r>
        <w:rPr/>
        <w:t>710018</w:t>
      </w:r>
    </w:p>
    <w:p>
      <w:pPr>
        <w:pStyle w:val="null3"/>
      </w:pPr>
      <w:r>
        <w:rPr/>
        <w:t xml:space="preserve"> 联系人： </w:t>
      </w:r>
      <w:r>
        <w:rPr/>
        <w:t>王涛、夏西晶</w:t>
      </w:r>
    </w:p>
    <w:p>
      <w:pPr>
        <w:pStyle w:val="null3"/>
      </w:pPr>
      <w:r>
        <w:rPr/>
        <w:t xml:space="preserve"> 联系电话： </w:t>
      </w:r>
      <w:r>
        <w:rPr/>
        <w:t>18229063298</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采购包1：5,000,000.00元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如有</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如有</w:t>
            </w:r>
            <w:r>
              <w:rPr/>
              <w:t>产品属于节能产品政府采购品目清单中应优先采购的产品范围，本项目采购的</w:t>
            </w:r>
            <w:r>
              <w:rPr/>
              <w:t>如有</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说明：中标/成交通知书发出之日起 5 日内乙方以转账方式向甲方指定账户支付合同款的 5 %作为履约保证金，经甲方最终书面验收合格后，乙方向甲方申请全额无息退还。</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代理服务费收费标准：参照国家计委颁发的《招标代理服务收费管理暂行办法》（计价格[2002 ]1980号）、国家发展和改革委员会办公厅颁发的《关于招标代理服务收费有关问题的通知》（发改办价格[2003]857号）的有关规定执行。</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陕西工业职业技术学院</w:t>
      </w:r>
      <w:r>
        <w:rPr/>
        <w:t>和</w:t>
      </w:r>
      <w:r>
        <w:rPr/>
        <w:t>中昕国际项目管理有限公司</w:t>
      </w:r>
      <w:r>
        <w:rPr/>
        <w:t>享有。对招标文件中供应商参加本次政府采购活动应当具备的条件，招标项目技术、服务、商务及其他要求，评标细则及标准由</w:t>
      </w:r>
      <w:r>
        <w:rPr/>
        <w:t>陕西工业职业技术学院</w:t>
      </w:r>
      <w:r>
        <w:rPr/>
        <w:t>负责解释。除上述招标文件内容，其他内容由</w:t>
      </w:r>
      <w:r>
        <w:rPr/>
        <w:t>中昕国际项目管理有限公司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陕西工业职业技术学院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中昕国际项目管理有限公司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符合采购人需求，符合招标文件要求</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中昕国际项目管理有限公司</w:t>
      </w:r>
      <w:r>
        <w:rPr/>
        <w:t xml:space="preserve"> 负责答复；供应商对除采购需求外的采购文件的询问、质疑由</w:t>
      </w:r>
      <w:r>
        <w:rPr/>
        <w:t>中昕国际项目管理有限公司</w:t>
      </w:r>
      <w:r>
        <w:rPr/>
        <w:t xml:space="preserve"> 负责答复；供应商对采购过程、采购结果的询问、质疑由 </w:t>
      </w:r>
      <w:r>
        <w:rPr/>
        <w:t>中昕国际项目管理有限公司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联系人：王涛、夏西晶</w:t>
      </w:r>
    </w:p>
    <w:p>
      <w:pPr>
        <w:pStyle w:val="null3"/>
      </w:pPr>
      <w:r>
        <w:rPr/>
        <w:t>联系电话：18229063298</w:t>
      </w:r>
    </w:p>
    <w:p>
      <w:pPr>
        <w:pStyle w:val="null3"/>
      </w:pPr>
      <w:r>
        <w:rPr/>
        <w:t>地址： 陕西省西安市未央区西安经济技术开发区凤城十二路首创禧悦里25幢A座16层</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先进制造产业链数据资产服务中心建设以服务先进制造产业链的转型升级和高质量发展为导向，坚持对接前沿、产教一体、经济适用原则，在为先进制造产业提供高效、可靠、安全的数据资产服务的同时，为财经类专业理论实践教学和应用科技研究提供支持。建设目标服务国家两业融合战略和数据资产发展要求，聚焦陕西支柱产业装备制造数字化、智能化发展方向，围绕先进制造业对数据资产技能型人才的需求，以“数据采集、数据处理、数据建模、数据分析、数据应用”为主线，与行业龙头企业合作，建设具备教学实训、生产实践、社会服务、教师培训、政策咨询等功能于一体，更新不适应实训教学需求的条件和设备，解决财经类专业人才培养宽泛、服务能力偏弱的实际问题，提升专业社会服务能力，培养服务装备制造产业优化升级需要和创新型技术技能财经类人才，同时满足服务国家数据资产建设战略的需要，填补陕西数据资产人才空缺的需要，有效履行职业教育使命任务的需要。新校区建成后，为该项目实施创造了环境条件。在项目实施过程中，由教务处、国有资产管理处、信息化与网络安全处等部门组成联合工作组，与施工监理单位监理人员、系统集成商项目经理成立项目实施管理领导小组，对实施过程中的环保卫生、粉尘噪声、各项变更、质量问题、项目周期进度等进行协调与管理。</w:t>
      </w:r>
    </w:p>
    <w:p>
      <w:pPr>
        <w:pStyle w:val="null3"/>
        <w:outlineLvl w:val="2"/>
      </w:pPr>
      <w:r>
        <w:rPr>
          <w:sz w:val="28"/>
          <w:b/>
        </w:rPr>
        <w:t>3.2采购内容</w:t>
      </w:r>
    </w:p>
    <w:p>
      <w:pPr>
        <w:pStyle w:val="null3"/>
      </w:pPr>
      <w:r>
        <w:rPr/>
        <w:t>采购包1：</w:t>
      </w:r>
    </w:p>
    <w:p>
      <w:pPr>
        <w:pStyle w:val="null3"/>
      </w:pPr>
      <w:r>
        <w:rPr/>
        <w:t>采购包预算金额（元）: 5,000,000.00</w:t>
      </w:r>
    </w:p>
    <w:p>
      <w:pPr>
        <w:pStyle w:val="null3"/>
      </w:pPr>
      <w:r>
        <w:rPr/>
        <w:t>采购包最高限价（元）: 5,000,000.00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先进制造产业链数据资产服务中心设备</w:t>
            </w:r>
          </w:p>
        </w:tc>
        <w:tc>
          <w:tcPr>
            <w:tcW w:type="dxa" w:w="831"/>
          </w:tcPr>
          <w:p>
            <w:pPr>
              <w:pStyle w:val="null3"/>
              <w:jc w:val="right"/>
            </w:pPr>
            <w:r>
              <w:rPr/>
              <w:t>1.00</w:t>
            </w:r>
          </w:p>
        </w:tc>
        <w:tc>
          <w:tcPr>
            <w:tcW w:type="dxa" w:w="831"/>
          </w:tcPr>
          <w:p>
            <w:pPr>
              <w:pStyle w:val="null3"/>
              <w:jc w:val="right"/>
            </w:pPr>
            <w:r>
              <w:rPr/>
              <w:t>5,000,000.00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标的名称：先进制造产业链数据资产服务中心设备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参数</w:t>
                  </w:r>
                  <w:r>
                    <w:rPr>
                      <w:rFonts w:ascii="宋体" w:hAnsi="宋体" w:cs="宋体" w:eastAsia="宋体"/>
                      <w:sz w:val="19"/>
                    </w:rPr>
                    <w:t>名称</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9"/>
                    </w:rPr>
                    <w:t xml:space="preserve"> </w:t>
                  </w:r>
                  <w:r>
                    <w:rPr>
                      <w:rFonts w:ascii="宋体" w:hAnsi="宋体" w:cs="宋体" w:eastAsia="宋体"/>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装备制造数据资产管理与应用一体化设备（显示</w:t>
                  </w:r>
                  <w:r>
                    <w:rPr>
                      <w:rFonts w:ascii="宋体" w:hAnsi="宋体" w:cs="宋体" w:eastAsia="宋体"/>
                      <w:sz w:val="20"/>
                    </w:rPr>
                    <w:t>单</w:t>
                  </w:r>
                  <w:r>
                    <w:rPr>
                      <w:rFonts w:ascii="宋体" w:hAnsi="宋体" w:cs="宋体" w:eastAsia="宋体"/>
                      <w:sz w:val="20"/>
                    </w:rPr>
                    <w:t>元）</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calibri" w:hAnsi="calibri" w:cs="calibri" w:eastAsia="calibri"/>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显示尺寸：</w:t>
                  </w:r>
                  <w:r>
                    <w:rPr>
                      <w:rFonts w:ascii="宋体" w:hAnsi="宋体" w:cs="宋体" w:eastAsia="宋体"/>
                      <w:sz w:val="20"/>
                    </w:rPr>
                    <w:t>5.12m~6m×2.88m</w:t>
                  </w:r>
                  <w:r>
                    <w:rPr>
                      <w:rFonts w:ascii="宋体" w:hAnsi="宋体" w:cs="宋体" w:eastAsia="宋体"/>
                      <w:sz w:val="20"/>
                    </w:rPr>
                    <w:t>（</w:t>
                  </w:r>
                  <w:r>
                    <w:rPr>
                      <w:rFonts w:ascii="宋体" w:hAnsi="宋体" w:cs="宋体" w:eastAsia="宋体"/>
                      <w:sz w:val="20"/>
                    </w:rPr>
                    <w:t>根据现场实地勘察确定尺寸</w:t>
                  </w:r>
                  <w:r>
                    <w:rPr>
                      <w:rFonts w:ascii="宋体" w:hAnsi="宋体" w:cs="宋体" w:eastAsia="宋体"/>
                      <w:sz w:val="20"/>
                    </w:rPr>
                    <w:t>）</w:t>
                  </w:r>
                  <w:r>
                    <w:rPr>
                      <w:rFonts w:ascii="宋体" w:hAnsi="宋体" w:cs="宋体" w:eastAsia="宋体"/>
                      <w:sz w:val="20"/>
                    </w:rPr>
                    <w:t>；模组尺寸：</w:t>
                  </w:r>
                  <w:r>
                    <w:rPr>
                      <w:rFonts w:ascii="宋体" w:hAnsi="宋体" w:cs="宋体" w:eastAsia="宋体"/>
                      <w:sz w:val="20"/>
                    </w:rPr>
                    <w:t xml:space="preserve">320mm*160mm </w:t>
                  </w:r>
                  <w:r>
                    <w:br/>
                  </w:r>
                  <w:r>
                    <w:rPr>
                      <w:rFonts w:ascii="宋体" w:hAnsi="宋体" w:cs="宋体" w:eastAsia="宋体"/>
                      <w:sz w:val="20"/>
                    </w:rPr>
                    <w:t>工业整屏分辨率：</w:t>
                  </w:r>
                  <w:r>
                    <w:rPr>
                      <w:rFonts w:ascii="宋体" w:hAnsi="宋体" w:cs="宋体" w:eastAsia="宋体"/>
                      <w:sz w:val="20"/>
                    </w:rPr>
                    <w:t>≥4096点×2304点；</w:t>
                  </w:r>
                </w:p>
                <w:p>
                  <w:pPr>
                    <w:pStyle w:val="null3"/>
                    <w:jc w:val="left"/>
                  </w:pPr>
                  <w:r>
                    <w:rPr>
                      <w:rFonts w:ascii="宋体" w:hAnsi="宋体" w:cs="宋体" w:eastAsia="宋体"/>
                      <w:sz w:val="20"/>
                    </w:rPr>
                    <w:t>点间距：</w:t>
                  </w:r>
                  <w:r>
                    <w:rPr>
                      <w:rFonts w:ascii="宋体" w:hAnsi="宋体" w:cs="宋体" w:eastAsia="宋体"/>
                      <w:sz w:val="20"/>
                    </w:rPr>
                    <w:t>1.25mm；</w:t>
                  </w:r>
                </w:p>
                <w:p>
                  <w:pPr>
                    <w:pStyle w:val="null3"/>
                    <w:jc w:val="left"/>
                  </w:pPr>
                  <w:r>
                    <w:rPr>
                      <w:rFonts w:ascii="宋体" w:hAnsi="宋体" w:cs="宋体" w:eastAsia="宋体"/>
                      <w:sz w:val="20"/>
                    </w:rPr>
                    <w:t>物理像素点：</w:t>
                  </w:r>
                  <w:r>
                    <w:rPr>
                      <w:rFonts w:ascii="宋体" w:hAnsi="宋体" w:cs="宋体" w:eastAsia="宋体"/>
                      <w:sz w:val="20"/>
                    </w:rPr>
                    <w:t>640000点/㎡；</w:t>
                  </w:r>
                  <w:r>
                    <w:br/>
                  </w:r>
                  <w:r>
                    <w:rPr>
                      <w:rFonts w:ascii="宋体" w:hAnsi="宋体" w:cs="宋体" w:eastAsia="宋体"/>
                      <w:sz w:val="20"/>
                    </w:rPr>
                    <w:t>寿命：</w:t>
                  </w:r>
                  <w:r>
                    <w:rPr>
                      <w:rFonts w:ascii="宋体" w:hAnsi="宋体" w:cs="宋体" w:eastAsia="宋体"/>
                      <w:sz w:val="20"/>
                    </w:rPr>
                    <w:t>≥10万小时；</w:t>
                  </w:r>
                </w:p>
                <w:p>
                  <w:pPr>
                    <w:pStyle w:val="null3"/>
                    <w:jc w:val="left"/>
                  </w:pPr>
                  <w:r>
                    <w:rPr>
                      <w:rFonts w:ascii="宋体" w:hAnsi="宋体" w:cs="宋体" w:eastAsia="宋体"/>
                      <w:sz w:val="20"/>
                    </w:rPr>
                    <w:t>色源组成：红色</w:t>
                  </w:r>
                  <w:r>
                    <w:rPr>
                      <w:rFonts w:ascii="宋体" w:hAnsi="宋体" w:cs="宋体" w:eastAsia="宋体"/>
                      <w:sz w:val="20"/>
                    </w:rPr>
                    <w:t>+绿色+蓝色；</w:t>
                  </w:r>
                  <w:r>
                    <w:br/>
                  </w:r>
                  <w:r>
                    <w:rPr>
                      <w:rFonts w:ascii="宋体" w:hAnsi="宋体" w:cs="宋体" w:eastAsia="宋体"/>
                      <w:sz w:val="20"/>
                    </w:rPr>
                    <w:t>CPU:HYGON_7380_C86_2.2GHz_32C_64M_140W* 2（32G*8）256G RDIMM DDR4 内存</w:t>
                  </w:r>
                  <w:r>
                    <w:br/>
                  </w:r>
                  <w:r>
                    <w:rPr>
                      <w:rFonts w:ascii="宋体" w:hAnsi="宋体" w:cs="宋体" w:eastAsia="宋体"/>
                      <w:sz w:val="20"/>
                    </w:rPr>
                    <w:t>硬盘：</w:t>
                  </w:r>
                  <w:r>
                    <w:rPr>
                      <w:rFonts w:ascii="宋体" w:hAnsi="宋体" w:cs="宋体" w:eastAsia="宋体"/>
                      <w:sz w:val="20"/>
                    </w:rPr>
                    <w:t>960G SSD * 2</w:t>
                  </w:r>
                  <w:r>
                    <w:br/>
                  </w:r>
                  <w:r>
                    <w:rPr>
                      <w:rFonts w:ascii="宋体" w:hAnsi="宋体" w:cs="宋体" w:eastAsia="宋体"/>
                      <w:sz w:val="20"/>
                    </w:rPr>
                    <w:t>硬盘：</w:t>
                  </w:r>
                  <w:r>
                    <w:rPr>
                      <w:rFonts w:ascii="宋体" w:hAnsi="宋体" w:cs="宋体" w:eastAsia="宋体"/>
                      <w:sz w:val="20"/>
                    </w:rPr>
                    <w:t>4T SATA * 2</w:t>
                  </w:r>
                  <w:r>
                    <w:br/>
                  </w:r>
                  <w:r>
                    <w:rPr>
                      <w:rFonts w:ascii="宋体" w:hAnsi="宋体" w:cs="宋体" w:eastAsia="宋体"/>
                      <w:sz w:val="20"/>
                    </w:rPr>
                    <w:t>RAID卡 * 1</w:t>
                  </w:r>
                  <w:r>
                    <w:br/>
                  </w:r>
                  <w:r>
                    <w:rPr>
                      <w:rFonts w:ascii="宋体" w:hAnsi="宋体" w:cs="宋体" w:eastAsia="宋体"/>
                      <w:sz w:val="20"/>
                    </w:rPr>
                    <w:t>双口万兆网卡（含模块）</w:t>
                  </w:r>
                  <w:r>
                    <w:rPr>
                      <w:rFonts w:ascii="宋体" w:hAnsi="宋体" w:cs="宋体" w:eastAsia="宋体"/>
                      <w:sz w:val="20"/>
                    </w:rPr>
                    <w:t>*1+双口千兆网卡*1</w:t>
                  </w:r>
                  <w:r>
                    <w:br/>
                  </w:r>
                  <w:r>
                    <w:rPr>
                      <w:rFonts w:ascii="宋体" w:hAnsi="宋体" w:cs="宋体" w:eastAsia="宋体"/>
                      <w:sz w:val="20"/>
                    </w:rPr>
                    <w:t>冗余电源</w:t>
                  </w:r>
                </w:p>
                <w:p>
                  <w:pPr>
                    <w:pStyle w:val="null3"/>
                    <w:jc w:val="left"/>
                  </w:pPr>
                  <w:r>
                    <w:rPr>
                      <w:rFonts w:ascii="宋体" w:hAnsi="宋体" w:cs="宋体" w:eastAsia="宋体"/>
                      <w:sz w:val="20"/>
                    </w:rPr>
                    <w:t>数量</w:t>
                  </w:r>
                  <w:r>
                    <w:rPr>
                      <w:rFonts w:ascii="宋体" w:hAnsi="宋体" w:cs="宋体" w:eastAsia="宋体"/>
                      <w:sz w:val="20"/>
                    </w:rPr>
                    <w:t>1套</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装备制造数据资产管理与应用一体化设备（运算单元）</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calibri" w:hAnsi="calibri" w:cs="calibri" w:eastAsia="calibri"/>
                      <w:sz w:val="19"/>
                    </w:rPr>
                    <w:t>2</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sz w:val="20"/>
                    </w:rPr>
                    <w:t>高配置桌面级服务站</w:t>
                  </w:r>
                </w:p>
                <w:p>
                  <w:pPr>
                    <w:pStyle w:val="null3"/>
                    <w:jc w:val="left"/>
                  </w:pPr>
                  <w:r>
                    <w:rPr>
                      <w:rFonts w:ascii="宋体" w:hAnsi="宋体" w:cs="宋体" w:eastAsia="宋体"/>
                      <w:sz w:val="20"/>
                    </w:rPr>
                    <w:t>工业级电源，通风散热良好，可支撑</w:t>
                  </w:r>
                  <w:r>
                    <w:rPr>
                      <w:rFonts w:ascii="宋体" w:hAnsi="宋体" w:cs="宋体" w:eastAsia="宋体"/>
                      <w:sz w:val="20"/>
                    </w:rPr>
                    <w:t xml:space="preserve">CPU、GPU满负荷稳定输出 </w:t>
                  </w:r>
                  <w:r>
                    <w:br/>
                  </w:r>
                  <w:r>
                    <w:rPr>
                      <w:rFonts w:ascii="宋体" w:hAnsi="宋体" w:cs="宋体" w:eastAsia="宋体"/>
                      <w:sz w:val="20"/>
                    </w:rPr>
                    <w:t>配置要求：</w:t>
                  </w:r>
                  <w:r>
                    <w:rPr>
                      <w:rFonts w:ascii="宋体" w:hAnsi="宋体" w:cs="宋体" w:eastAsia="宋体"/>
                      <w:sz w:val="20"/>
                    </w:rPr>
                    <w:t>CPU:HYGON_7380_C86_2.2GHz_32C_64M_140W* 2；（32G*8）256G RDIMM DDR4 内存；硬盘：960G SSD * 2；硬盘：4T SATA * 2；RAID卡 * 1；双口万兆网卡（含模块）*1+双口千兆网卡*1；冗余电源。</w:t>
                  </w:r>
                  <w:r>
                    <w:br/>
                  </w:r>
                  <w:r>
                    <w:rPr>
                      <w:rFonts w:ascii="宋体" w:hAnsi="宋体" w:cs="宋体" w:eastAsia="宋体"/>
                      <w:sz w:val="20"/>
                    </w:rPr>
                    <w:t>供电电源：</w:t>
                  </w:r>
                  <w:r>
                    <w:br/>
                  </w:r>
                  <w:r>
                    <w:rPr>
                      <w:rFonts w:ascii="宋体" w:hAnsi="宋体" w:cs="宋体" w:eastAsia="宋体"/>
                      <w:sz w:val="20"/>
                    </w:rPr>
                    <w:t xml:space="preserve">(1)风扇 120mm×120mm×38mm； </w:t>
                  </w:r>
                  <w:r>
                    <w:br/>
                  </w:r>
                  <w:r>
                    <w:rPr>
                      <w:rFonts w:ascii="宋体" w:hAnsi="宋体" w:cs="宋体" w:eastAsia="宋体"/>
                      <w:sz w:val="20"/>
                    </w:rPr>
                    <w:t xml:space="preserve">(2)PFC：主动 PFC； </w:t>
                  </w:r>
                  <w:r>
                    <w:br/>
                  </w:r>
                  <w:r>
                    <w:rPr>
                      <w:rFonts w:ascii="宋体" w:hAnsi="宋体" w:cs="宋体" w:eastAsia="宋体"/>
                      <w:sz w:val="20"/>
                    </w:rPr>
                    <w:t xml:space="preserve">(3)主电源接口：20+4 pin； </w:t>
                  </w:r>
                  <w:r>
                    <w:br/>
                  </w:r>
                  <w:r>
                    <w:rPr>
                      <w:rFonts w:ascii="宋体" w:hAnsi="宋体" w:cs="宋体" w:eastAsia="宋体"/>
                      <w:sz w:val="20"/>
                    </w:rPr>
                    <w:t xml:space="preserve">(4)CPU 12V 供电接口：4pin+4pin； </w:t>
                  </w:r>
                  <w:r>
                    <w:br/>
                  </w:r>
                  <w:r>
                    <w:rPr>
                      <w:rFonts w:ascii="宋体" w:hAnsi="宋体" w:cs="宋体" w:eastAsia="宋体"/>
                      <w:sz w:val="20"/>
                    </w:rPr>
                    <w:t>(5)D 型 4pin 接口：5 个；</w:t>
                  </w:r>
                  <w:r>
                    <w:br/>
                  </w:r>
                  <w:r>
                    <w:rPr>
                      <w:rFonts w:ascii="宋体" w:hAnsi="宋体" w:cs="宋体" w:eastAsia="宋体"/>
                      <w:sz w:val="20"/>
                    </w:rPr>
                    <w:t xml:space="preserve">(6)SATA 接口：6 个； </w:t>
                  </w:r>
                  <w:r>
                    <w:br/>
                  </w:r>
                  <w:r>
                    <w:rPr>
                      <w:rFonts w:ascii="宋体" w:hAnsi="宋体" w:cs="宋体" w:eastAsia="宋体"/>
                      <w:sz w:val="20"/>
                    </w:rPr>
                    <w:t xml:space="preserve">(7)8pin PCI-E 接口：（6+2）pin x4； </w:t>
                  </w:r>
                  <w:r>
                    <w:br/>
                  </w:r>
                  <w:r>
                    <w:rPr>
                      <w:rFonts w:ascii="宋体" w:hAnsi="宋体" w:cs="宋体" w:eastAsia="宋体"/>
                      <w:sz w:val="20"/>
                    </w:rPr>
                    <w:t xml:space="preserve">(8)6pin PCI-E 接口：4 个； </w:t>
                  </w:r>
                  <w:r>
                    <w:br/>
                  </w:r>
                  <w:r>
                    <w:rPr>
                      <w:rFonts w:ascii="宋体" w:hAnsi="宋体" w:cs="宋体" w:eastAsia="宋体"/>
                      <w:sz w:val="20"/>
                    </w:rPr>
                    <w:t xml:space="preserve">(9)支持宽幅：是； </w:t>
                  </w:r>
                  <w:r>
                    <w:br/>
                  </w:r>
                  <w:r>
                    <w:rPr>
                      <w:rFonts w:ascii="宋体" w:hAnsi="宋体" w:cs="宋体" w:eastAsia="宋体"/>
                      <w:sz w:val="20"/>
                    </w:rPr>
                    <w:t>(10)支持温控：支持。</w:t>
                  </w:r>
                </w:p>
                <w:p>
                  <w:pPr>
                    <w:pStyle w:val="null3"/>
                    <w:jc w:val="left"/>
                  </w:pPr>
                  <w:r>
                    <w:rPr>
                      <w:rFonts w:ascii="宋体" w:hAnsi="宋体" w:cs="宋体" w:eastAsia="宋体"/>
                      <w:sz w:val="20"/>
                    </w:rPr>
                    <w:t>数量</w:t>
                  </w:r>
                  <w:r>
                    <w:rPr>
                      <w:rFonts w:ascii="宋体" w:hAnsi="宋体" w:cs="宋体" w:eastAsia="宋体"/>
                      <w:sz w:val="20"/>
                    </w:rPr>
                    <w:t>1套</w:t>
                  </w:r>
                </w:p>
                <w:p>
                  <w:pPr>
                    <w:pStyle w:val="null3"/>
                    <w:jc w:val="left"/>
                  </w:pPr>
                  <w:r>
                    <w:rPr>
                      <w:rFonts w:ascii="宋体" w:hAnsi="宋体" w:cs="宋体" w:eastAsia="宋体"/>
                      <w:sz w:val="20"/>
                    </w:rPr>
                    <w:t>二、桌面级控制终端</w:t>
                  </w:r>
                </w:p>
                <w:p>
                  <w:pPr>
                    <w:pStyle w:val="null3"/>
                    <w:jc w:val="left"/>
                  </w:pPr>
                  <w:r>
                    <w:rPr>
                      <w:rFonts w:ascii="宋体" w:hAnsi="宋体" w:cs="宋体" w:eastAsia="宋体"/>
                      <w:sz w:val="20"/>
                    </w:rPr>
                    <w:t>CPU：Intel Core i9-12700 12C 2.1</w:t>
                  </w:r>
                  <w:r>
                    <w:rPr>
                      <w:rFonts w:ascii="宋体" w:hAnsi="宋体" w:cs="宋体" w:eastAsia="宋体"/>
                      <w:sz w:val="20"/>
                    </w:rPr>
                    <w:t>及以上</w:t>
                  </w:r>
                  <w:r>
                    <w:rPr>
                      <w:rFonts w:ascii="宋体" w:hAnsi="宋体" w:cs="宋体" w:eastAsia="宋体"/>
                      <w:sz w:val="20"/>
                    </w:rPr>
                    <w:t>；</w:t>
                  </w:r>
                </w:p>
                <w:p>
                  <w:pPr>
                    <w:pStyle w:val="null3"/>
                    <w:jc w:val="left"/>
                  </w:pPr>
                  <w:r>
                    <w:rPr>
                      <w:rFonts w:ascii="宋体" w:hAnsi="宋体" w:cs="宋体" w:eastAsia="宋体"/>
                      <w:sz w:val="20"/>
                    </w:rPr>
                    <w:t>主板：</w:t>
                  </w:r>
                  <w:r>
                    <w:rPr>
                      <w:rFonts w:ascii="宋体" w:hAnsi="宋体" w:cs="宋体" w:eastAsia="宋体"/>
                      <w:sz w:val="20"/>
                    </w:rPr>
                    <w:t>Intel 600系列及以上芯片组</w:t>
                  </w:r>
                </w:p>
                <w:p>
                  <w:pPr>
                    <w:pStyle w:val="null3"/>
                    <w:jc w:val="left"/>
                  </w:pPr>
                  <w:r>
                    <w:rPr>
                      <w:rFonts w:ascii="宋体" w:hAnsi="宋体" w:cs="宋体" w:eastAsia="宋体"/>
                      <w:sz w:val="20"/>
                    </w:rPr>
                    <w:t>内存：</w:t>
                  </w:r>
                  <w:r>
                    <w:rPr>
                      <w:rFonts w:ascii="宋体" w:hAnsi="宋体" w:cs="宋体" w:eastAsia="宋体"/>
                      <w:sz w:val="20"/>
                    </w:rPr>
                    <w:t>16GB DDR4 3200MHz ；</w:t>
                  </w:r>
                </w:p>
                <w:p>
                  <w:pPr>
                    <w:pStyle w:val="null3"/>
                    <w:jc w:val="left"/>
                  </w:pPr>
                  <w:r>
                    <w:rPr>
                      <w:rFonts w:ascii="宋体" w:hAnsi="宋体" w:cs="宋体" w:eastAsia="宋体"/>
                      <w:sz w:val="20"/>
                    </w:rPr>
                    <w:t>硬盘</w:t>
                  </w:r>
                  <w:r>
                    <w:rPr>
                      <w:rFonts w:ascii="宋体" w:hAnsi="宋体" w:cs="宋体" w:eastAsia="宋体"/>
                      <w:sz w:val="20"/>
                    </w:rPr>
                    <w:t>:256GB M.2+1T SATA；</w:t>
                  </w:r>
                </w:p>
                <w:p>
                  <w:pPr>
                    <w:pStyle w:val="null3"/>
                    <w:jc w:val="left"/>
                  </w:pPr>
                  <w:r>
                    <w:rPr>
                      <w:rFonts w:ascii="宋体" w:hAnsi="宋体" w:cs="宋体" w:eastAsia="宋体"/>
                      <w:sz w:val="20"/>
                    </w:rPr>
                    <w:t>显卡：集成；</w:t>
                  </w:r>
                </w:p>
                <w:p>
                  <w:pPr>
                    <w:pStyle w:val="null3"/>
                    <w:jc w:val="left"/>
                  </w:pPr>
                  <w:r>
                    <w:rPr>
                      <w:rFonts w:ascii="宋体" w:hAnsi="宋体" w:cs="宋体" w:eastAsia="宋体"/>
                      <w:sz w:val="20"/>
                    </w:rPr>
                    <w:t>声卡：集成</w:t>
                  </w:r>
                  <w:r>
                    <w:rPr>
                      <w:rFonts w:ascii="宋体" w:hAnsi="宋体" w:cs="宋体" w:eastAsia="宋体"/>
                      <w:sz w:val="20"/>
                    </w:rPr>
                    <w:t>HD Audio;</w:t>
                  </w:r>
                </w:p>
                <w:p>
                  <w:pPr>
                    <w:pStyle w:val="null3"/>
                    <w:jc w:val="left"/>
                  </w:pPr>
                  <w:r>
                    <w:rPr>
                      <w:rFonts w:ascii="宋体" w:hAnsi="宋体" w:cs="宋体" w:eastAsia="宋体"/>
                      <w:sz w:val="20"/>
                    </w:rPr>
                    <w:t>网卡：集成</w:t>
                  </w:r>
                  <w:r>
                    <w:rPr>
                      <w:rFonts w:ascii="宋体" w:hAnsi="宋体" w:cs="宋体" w:eastAsia="宋体"/>
                      <w:sz w:val="20"/>
                    </w:rPr>
                    <w:t>10M/100/1000MB自适应网卡；</w:t>
                  </w:r>
                </w:p>
                <w:p>
                  <w:pPr>
                    <w:pStyle w:val="null3"/>
                    <w:jc w:val="left"/>
                  </w:pPr>
                  <w:r>
                    <w:rPr>
                      <w:rFonts w:ascii="宋体" w:hAnsi="宋体" w:cs="宋体" w:eastAsia="宋体"/>
                      <w:sz w:val="20"/>
                    </w:rPr>
                    <w:t>电源：</w:t>
                  </w:r>
                  <w:r>
                    <w:rPr>
                      <w:rFonts w:ascii="宋体" w:hAnsi="宋体" w:cs="宋体" w:eastAsia="宋体"/>
                      <w:sz w:val="20"/>
                    </w:rPr>
                    <w:t>260W 节能电源；</w:t>
                  </w:r>
                </w:p>
                <w:p>
                  <w:pPr>
                    <w:pStyle w:val="null3"/>
                    <w:jc w:val="left"/>
                  </w:pPr>
                  <w:r>
                    <w:rPr>
                      <w:rFonts w:ascii="宋体" w:hAnsi="宋体" w:cs="宋体" w:eastAsia="宋体"/>
                      <w:sz w:val="20"/>
                    </w:rPr>
                    <w:t>接口：</w:t>
                  </w:r>
                  <w:r>
                    <w:rPr>
                      <w:rFonts w:ascii="宋体" w:hAnsi="宋体" w:cs="宋体" w:eastAsia="宋体"/>
                      <w:sz w:val="20"/>
                    </w:rPr>
                    <w:t>6个USB接口(其中至少4个USB 3.2 G1)、1个串口、VGA+DP接口（VGA非转接）, USB屏蔽技术，仅识别USB键盘、鼠标，无法识别USB读取设备，有效防止数据泄露,含WIFI</w:t>
                  </w:r>
                </w:p>
                <w:p>
                  <w:pPr>
                    <w:pStyle w:val="null3"/>
                    <w:jc w:val="left"/>
                  </w:pPr>
                  <w:r>
                    <w:rPr>
                      <w:rFonts w:ascii="宋体" w:hAnsi="宋体" w:cs="宋体" w:eastAsia="宋体"/>
                      <w:sz w:val="20"/>
                    </w:rPr>
                    <w:t>键鼠：键盘、鼠标；</w:t>
                  </w:r>
                </w:p>
                <w:p>
                  <w:pPr>
                    <w:pStyle w:val="null3"/>
                    <w:jc w:val="left"/>
                  </w:pPr>
                  <w:r>
                    <w:rPr>
                      <w:rFonts w:ascii="宋体" w:hAnsi="宋体" w:cs="宋体" w:eastAsia="宋体"/>
                      <w:sz w:val="20"/>
                    </w:rPr>
                    <w:t>机箱：可立可卧小机箱；机箱</w:t>
                  </w:r>
                  <w:r>
                    <w:rPr>
                      <w:rFonts w:ascii="宋体" w:hAnsi="宋体" w:cs="宋体" w:eastAsia="宋体"/>
                      <w:sz w:val="20"/>
                    </w:rPr>
                    <w:t>7.4L；</w:t>
                  </w:r>
                </w:p>
                <w:p>
                  <w:pPr>
                    <w:pStyle w:val="null3"/>
                    <w:jc w:val="left"/>
                  </w:pPr>
                  <w:r>
                    <w:rPr>
                      <w:rFonts w:ascii="宋体" w:hAnsi="宋体" w:cs="宋体" w:eastAsia="宋体"/>
                      <w:sz w:val="20"/>
                    </w:rPr>
                    <w:t>显示模块：</w:t>
                  </w:r>
                  <w:r>
                    <w:rPr>
                      <w:rFonts w:ascii="宋体" w:hAnsi="宋体" w:cs="宋体" w:eastAsia="宋体"/>
                      <w:sz w:val="20"/>
                    </w:rPr>
                    <w:t>32寸 显示模块；</w:t>
                  </w:r>
                </w:p>
                <w:p>
                  <w:pPr>
                    <w:pStyle w:val="null3"/>
                    <w:jc w:val="left"/>
                  </w:pPr>
                  <w:r>
                    <w:rPr>
                      <w:rFonts w:ascii="宋体" w:hAnsi="宋体" w:cs="宋体" w:eastAsia="宋体"/>
                      <w:sz w:val="20"/>
                    </w:rPr>
                    <w:t>正版</w:t>
                  </w:r>
                  <w:r>
                    <w:rPr>
                      <w:rFonts w:ascii="宋体" w:hAnsi="宋体" w:cs="宋体" w:eastAsia="宋体"/>
                      <w:sz w:val="20"/>
                    </w:rPr>
                    <w:t>win11操作系统</w:t>
                  </w:r>
                  <w:r>
                    <w:rPr>
                      <w:rFonts w:ascii="宋体" w:hAnsi="宋体" w:cs="宋体" w:eastAsia="宋体"/>
                      <w:sz w:val="20"/>
                    </w:rPr>
                    <w:t>（</w:t>
                  </w:r>
                  <w:r>
                    <w:rPr>
                      <w:rFonts w:ascii="宋体" w:hAnsi="宋体" w:cs="宋体" w:eastAsia="宋体"/>
                      <w:sz w:val="20"/>
                    </w:rPr>
                    <w:t>专业版</w:t>
                  </w:r>
                  <w:r>
                    <w:rPr>
                      <w:rFonts w:ascii="宋体" w:hAnsi="宋体" w:cs="宋体" w:eastAsia="宋体"/>
                      <w:sz w:val="20"/>
                    </w:rPr>
                    <w:t>）</w:t>
                  </w:r>
                  <w:r>
                    <w:rPr>
                      <w:rFonts w:ascii="宋体" w:hAnsi="宋体" w:cs="宋体" w:eastAsia="宋体"/>
                      <w:sz w:val="20"/>
                    </w:rPr>
                    <w:t>；</w:t>
                  </w:r>
                </w:p>
                <w:p>
                  <w:pPr>
                    <w:pStyle w:val="null3"/>
                    <w:jc w:val="left"/>
                  </w:pPr>
                  <w:r>
                    <w:rPr>
                      <w:rFonts w:ascii="宋体" w:hAnsi="宋体" w:cs="宋体" w:eastAsia="宋体"/>
                      <w:sz w:val="20"/>
                    </w:rPr>
                    <w:t>服务：三年原厂上门服务；</w:t>
                  </w:r>
                </w:p>
                <w:p>
                  <w:pPr>
                    <w:pStyle w:val="null3"/>
                    <w:jc w:val="left"/>
                  </w:pPr>
                  <w:r>
                    <w:rPr>
                      <w:rFonts w:ascii="宋体" w:hAnsi="宋体" w:cs="宋体" w:eastAsia="宋体"/>
                      <w:sz w:val="20"/>
                    </w:rPr>
                    <w:t>供货时提供产品来源渠道合法的证明文件（包含但不限于销售协议、代理协议、原厂授权等）以及原厂售后服务承诺函；</w:t>
                  </w:r>
                </w:p>
                <w:p>
                  <w:pPr>
                    <w:pStyle w:val="null3"/>
                    <w:jc w:val="left"/>
                  </w:pPr>
                  <w:r>
                    <w:rPr>
                      <w:rFonts w:ascii="宋体" w:hAnsi="宋体" w:cs="宋体" w:eastAsia="宋体"/>
                      <w:sz w:val="20"/>
                    </w:rPr>
                    <w:t>数量</w:t>
                  </w:r>
                  <w:r>
                    <w:rPr>
                      <w:rFonts w:ascii="宋体" w:hAnsi="宋体" w:cs="宋体" w:eastAsia="宋体"/>
                      <w:sz w:val="20"/>
                    </w:rPr>
                    <w:t>1套。</w:t>
                  </w:r>
                </w:p>
                <w:p>
                  <w:pPr>
                    <w:pStyle w:val="null3"/>
                    <w:jc w:val="left"/>
                  </w:pPr>
                  <w:r>
                    <w:rPr>
                      <w:rFonts w:ascii="宋体" w:hAnsi="宋体" w:cs="宋体" w:eastAsia="宋体"/>
                      <w:sz w:val="20"/>
                    </w:rPr>
                    <w:t>三、其他配套设备</w:t>
                  </w:r>
                </w:p>
                <w:p>
                  <w:pPr>
                    <w:pStyle w:val="null3"/>
                    <w:jc w:val="left"/>
                  </w:pPr>
                  <w:r>
                    <w:rPr>
                      <w:rFonts w:ascii="宋体" w:hAnsi="宋体" w:cs="宋体" w:eastAsia="宋体"/>
                      <w:sz w:val="20"/>
                    </w:rPr>
                    <w:t>钢结构，实木扶手讲台（含中控系统）；</w:t>
                  </w:r>
                </w:p>
                <w:p>
                  <w:pPr>
                    <w:pStyle w:val="null3"/>
                    <w:jc w:val="left"/>
                  </w:pPr>
                  <w:r>
                    <w:rPr>
                      <w:rFonts w:ascii="宋体" w:hAnsi="宋体" w:cs="宋体" w:eastAsia="宋体"/>
                      <w:sz w:val="20"/>
                    </w:rPr>
                    <w:t>尺寸：</w:t>
                  </w:r>
                  <w:r>
                    <w:rPr>
                      <w:rFonts w:ascii="宋体" w:hAnsi="宋体" w:cs="宋体" w:eastAsia="宋体"/>
                      <w:sz w:val="20"/>
                    </w:rPr>
                    <w:t>1140*800*1000mm；</w:t>
                  </w:r>
                </w:p>
                <w:p>
                  <w:pPr>
                    <w:pStyle w:val="null3"/>
                    <w:jc w:val="left"/>
                  </w:pPr>
                  <w:r>
                    <w:rPr>
                      <w:rFonts w:ascii="宋体" w:hAnsi="宋体" w:cs="宋体" w:eastAsia="宋体"/>
                      <w:sz w:val="20"/>
                    </w:rPr>
                    <w:t>可放置</w:t>
                  </w:r>
                  <w:r>
                    <w:rPr>
                      <w:rFonts w:ascii="宋体" w:hAnsi="宋体" w:cs="宋体" w:eastAsia="宋体"/>
                      <w:sz w:val="20"/>
                    </w:rPr>
                    <w:t>32</w:t>
                  </w:r>
                  <w:r>
                    <w:rPr>
                      <w:rFonts w:ascii="宋体" w:hAnsi="宋体" w:cs="宋体" w:eastAsia="宋体"/>
                      <w:sz w:val="20"/>
                    </w:rPr>
                    <w:t>寸显示屏；</w:t>
                  </w:r>
                </w:p>
                <w:p>
                  <w:pPr>
                    <w:pStyle w:val="null3"/>
                    <w:jc w:val="left"/>
                  </w:pPr>
                  <w:r>
                    <w:rPr>
                      <w:rFonts w:ascii="宋体" w:hAnsi="宋体" w:cs="宋体" w:eastAsia="宋体"/>
                      <w:sz w:val="20"/>
                    </w:rPr>
                    <w:t>数量</w:t>
                  </w:r>
                  <w:r>
                    <w:rPr>
                      <w:rFonts w:ascii="宋体" w:hAnsi="宋体" w:cs="宋体" w:eastAsia="宋体"/>
                      <w:sz w:val="20"/>
                    </w:rPr>
                    <w:t>1套。</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装备制造数据资产管理与应用一体化设备（资源配置）</w:t>
                  </w:r>
                  <w:r>
                    <w:rPr>
                      <w:rFonts w:ascii="宋体" w:hAnsi="宋体" w:cs="宋体" w:eastAsia="宋体"/>
                      <w:sz w:val="20"/>
                    </w:rPr>
                    <w:t>（</w:t>
                  </w:r>
                  <w:r>
                    <w:rPr>
                      <w:rFonts w:ascii="宋体" w:hAnsi="宋体" w:cs="宋体" w:eastAsia="宋体"/>
                      <w:sz w:val="20"/>
                    </w:rPr>
                    <w:t>核心产品</w:t>
                  </w:r>
                  <w:r>
                    <w:rPr>
                      <w:rFonts w:ascii="宋体" w:hAnsi="宋体" w:cs="宋体" w:eastAsia="宋体"/>
                      <w:sz w:val="20"/>
                    </w:rPr>
                    <w:t>）</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calibri" w:hAnsi="calibri" w:cs="calibri" w:eastAsia="calibri"/>
                      <w:sz w:val="19"/>
                    </w:rPr>
                    <w:t>3</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一、系统构架</w:t>
                  </w:r>
                  <w:r>
                    <w:br/>
                  </w:r>
                  <w:r>
                    <w:rPr>
                      <w:rFonts w:ascii="宋体" w:hAnsi="宋体" w:cs="宋体" w:eastAsia="宋体"/>
                      <w:sz w:val="20"/>
                    </w:rPr>
                    <w:t>1.要求系统架构按照大型分布式架构设计，支持高并发，高可用的业务需求。使用微服务框架，实现系统模块灵活配置，数据动静分离；支撑大范围专业建设开课要求：Windows7 32位/64位，Windows8 32位/64位，Windows10-11 32位/64位，Mac OS 10.10，Mac OS 10.11，Mac OS 10.12。</w:t>
                  </w:r>
                </w:p>
                <w:p>
                  <w:pPr>
                    <w:pStyle w:val="null3"/>
                    <w:jc w:val="left"/>
                  </w:pPr>
                  <w:r>
                    <w:rPr>
                      <w:rFonts w:ascii="宋体" w:hAnsi="宋体" w:cs="宋体" w:eastAsia="宋体"/>
                      <w:sz w:val="20"/>
                    </w:rPr>
                    <w:t>2.要求系统采用B/S架构，无需安装客户端，使用chrome浏览器即可轻松实现所有操作。</w:t>
                  </w:r>
                </w:p>
                <w:p>
                  <w:pPr>
                    <w:pStyle w:val="null3"/>
                    <w:jc w:val="left"/>
                  </w:pPr>
                  <w:r>
                    <w:rPr>
                      <w:rFonts w:ascii="宋体" w:hAnsi="宋体" w:cs="宋体" w:eastAsia="宋体"/>
                      <w:sz w:val="20"/>
                    </w:rPr>
                    <w:t>要求使用</w:t>
                  </w:r>
                  <w:r>
                    <w:rPr>
                      <w:rFonts w:ascii="宋体" w:hAnsi="宋体" w:cs="宋体" w:eastAsia="宋体"/>
                      <w:sz w:val="20"/>
                    </w:rPr>
                    <w:t>Mysql开源数据库，可通过水平扩展来达到高可用性和高性能。</w:t>
                  </w:r>
                </w:p>
                <w:p>
                  <w:pPr>
                    <w:pStyle w:val="null3"/>
                    <w:jc w:val="left"/>
                  </w:pPr>
                  <w:r>
                    <w:rPr>
                      <w:rFonts w:ascii="宋体" w:hAnsi="宋体" w:cs="宋体" w:eastAsia="宋体"/>
                      <w:sz w:val="20"/>
                    </w:rPr>
                    <w:t>3.要求采用当前流行的SpringBoot，SpringCloud，Mybatis技术框架，展现层需要通过vue和相关标签实现，实现前后端分离；模型层通过Java接口及实现类来实现；与数据库的接口采用轻量级封装Mybatis提供的接口；系统所有操作都具备系统日志与业务日志级别。</w:t>
                  </w:r>
                </w:p>
                <w:p>
                  <w:pPr>
                    <w:pStyle w:val="null3"/>
                    <w:jc w:val="left"/>
                  </w:pPr>
                  <w:r>
                    <w:rPr>
                      <w:rFonts w:ascii="宋体" w:hAnsi="宋体" w:cs="宋体" w:eastAsia="宋体"/>
                      <w:sz w:val="20"/>
                    </w:rPr>
                    <w:t>4.要求系统可以抵御常用攻击手段，如sql注入，CSRF、XSS等。</w:t>
                  </w:r>
                </w:p>
                <w:p>
                  <w:pPr>
                    <w:pStyle w:val="null3"/>
                    <w:jc w:val="left"/>
                  </w:pPr>
                  <w:r>
                    <w:rPr>
                      <w:rFonts w:ascii="宋体" w:hAnsi="宋体" w:cs="宋体" w:eastAsia="宋体"/>
                      <w:sz w:val="20"/>
                    </w:rPr>
                    <w:t>5.要求使用redis缓存数据库来进行用户数据的缓存，增加系统响应速度并优化用户的体验。</w:t>
                  </w:r>
                </w:p>
                <w:p>
                  <w:pPr>
                    <w:pStyle w:val="null3"/>
                    <w:jc w:val="left"/>
                  </w:pPr>
                  <w:r>
                    <w:rPr>
                      <w:rFonts w:ascii="宋体" w:hAnsi="宋体" w:cs="宋体" w:eastAsia="宋体"/>
                      <w:sz w:val="20"/>
                    </w:rPr>
                    <w:t>6.要求使用多用户的统一登录口，系统管理员、教师、学生统一登陆口，只需输入各自的用户名及密码即可登录。</w:t>
                  </w:r>
                </w:p>
                <w:p>
                  <w:pPr>
                    <w:pStyle w:val="null3"/>
                    <w:jc w:val="left"/>
                  </w:pPr>
                  <w:r>
                    <w:rPr>
                      <w:rFonts w:ascii="宋体" w:hAnsi="宋体" w:cs="宋体" w:eastAsia="宋体"/>
                      <w:sz w:val="20"/>
                    </w:rPr>
                    <w:t>二、装备制造数据资产管理系统</w:t>
                  </w:r>
                  <w:r>
                    <w:rPr>
                      <w:rFonts w:ascii="宋体" w:hAnsi="宋体" w:cs="宋体" w:eastAsia="宋体"/>
                      <w:sz w:val="20"/>
                    </w:rPr>
                    <w:t>（</w:t>
                  </w:r>
                  <w:r>
                    <w:rPr>
                      <w:rFonts w:ascii="宋体" w:hAnsi="宋体" w:cs="宋体" w:eastAsia="宋体"/>
                      <w:sz w:val="20"/>
                    </w:rPr>
                    <w:t>要求现场演示</w:t>
                  </w:r>
                  <w:r>
                    <w:rPr>
                      <w:rFonts w:ascii="宋体" w:hAnsi="宋体" w:cs="宋体" w:eastAsia="宋体"/>
                      <w:sz w:val="20"/>
                    </w:rPr>
                    <w:t>）</w:t>
                  </w:r>
                </w:p>
                <w:p>
                  <w:pPr>
                    <w:pStyle w:val="null3"/>
                    <w:jc w:val="left"/>
                  </w:pPr>
                  <w:r>
                    <w:rPr>
                      <w:rFonts w:ascii="宋体" w:hAnsi="宋体" w:cs="宋体" w:eastAsia="宋体"/>
                      <w:sz w:val="20"/>
                    </w:rPr>
                    <w:t>（一）数据资产卡片管理模块</w:t>
                  </w:r>
                </w:p>
                <w:p>
                  <w:pPr>
                    <w:pStyle w:val="null3"/>
                    <w:jc w:val="left"/>
                  </w:pPr>
                  <w:r>
                    <w:rPr>
                      <w:rFonts w:ascii="宋体" w:hAnsi="宋体" w:cs="宋体" w:eastAsia="宋体"/>
                      <w:sz w:val="20"/>
                    </w:rPr>
                    <w:t>1.数据</w:t>
                  </w:r>
                  <w:r>
                    <w:rPr>
                      <w:rFonts w:ascii="宋体" w:hAnsi="宋体" w:cs="宋体" w:eastAsia="宋体"/>
                      <w:sz w:val="20"/>
                    </w:rPr>
                    <w:t>资源</w:t>
                  </w:r>
                  <w:r>
                    <w:rPr>
                      <w:rFonts w:ascii="宋体" w:hAnsi="宋体" w:cs="宋体" w:eastAsia="宋体"/>
                      <w:sz w:val="20"/>
                    </w:rPr>
                    <w:t>编目</w:t>
                  </w:r>
                </w:p>
                <w:p>
                  <w:pPr>
                    <w:pStyle w:val="null3"/>
                    <w:jc w:val="left"/>
                  </w:pPr>
                  <w:r>
                    <w:rPr>
                      <w:rFonts w:ascii="宋体" w:hAnsi="宋体" w:cs="宋体" w:eastAsia="宋体"/>
                      <w:sz w:val="20"/>
                    </w:rPr>
                    <w:t>支持数据</w:t>
                  </w:r>
                  <w:r>
                    <w:rPr>
                      <w:rFonts w:ascii="宋体" w:hAnsi="宋体" w:cs="宋体" w:eastAsia="宋体"/>
                      <w:sz w:val="20"/>
                    </w:rPr>
                    <w:t>资源目录编制。</w:t>
                  </w:r>
                </w:p>
                <w:p>
                  <w:pPr>
                    <w:pStyle w:val="null3"/>
                    <w:jc w:val="left"/>
                  </w:pPr>
                  <w:r>
                    <w:rPr>
                      <w:rFonts w:ascii="宋体" w:hAnsi="宋体" w:cs="宋体" w:eastAsia="宋体"/>
                      <w:sz w:val="20"/>
                    </w:rPr>
                    <w:t>支持数据</w:t>
                  </w:r>
                  <w:r>
                    <w:rPr>
                      <w:rFonts w:ascii="宋体" w:hAnsi="宋体" w:cs="宋体" w:eastAsia="宋体"/>
                      <w:sz w:val="20"/>
                    </w:rPr>
                    <w:t>资源</w:t>
                  </w:r>
                  <w:r>
                    <w:rPr>
                      <w:rFonts w:ascii="宋体" w:hAnsi="宋体" w:cs="宋体" w:eastAsia="宋体"/>
                      <w:sz w:val="20"/>
                    </w:rPr>
                    <w:t>标签库的维护管理。</w:t>
                  </w:r>
                </w:p>
                <w:p>
                  <w:pPr>
                    <w:pStyle w:val="null3"/>
                    <w:jc w:val="left"/>
                  </w:pPr>
                  <w:r>
                    <w:rPr>
                      <w:rFonts w:ascii="宋体" w:hAnsi="宋体" w:cs="宋体" w:eastAsia="宋体"/>
                      <w:sz w:val="20"/>
                    </w:rPr>
                    <w:t>支持数据</w:t>
                  </w:r>
                  <w:r>
                    <w:rPr>
                      <w:rFonts w:ascii="宋体" w:hAnsi="宋体" w:cs="宋体" w:eastAsia="宋体"/>
                      <w:sz w:val="20"/>
                    </w:rPr>
                    <w:t>仓库，查看原始数据、数据源、模型文件等</w:t>
                  </w:r>
                  <w:r>
                    <w:rPr>
                      <w:rFonts w:ascii="宋体" w:hAnsi="宋体" w:cs="宋体" w:eastAsia="宋体"/>
                      <w:sz w:val="20"/>
                    </w:rPr>
                    <w:t>。</w:t>
                  </w:r>
                </w:p>
                <w:p>
                  <w:pPr>
                    <w:pStyle w:val="null3"/>
                    <w:jc w:val="left"/>
                  </w:pPr>
                  <w:r>
                    <w:rPr>
                      <w:rFonts w:ascii="宋体" w:hAnsi="宋体" w:cs="宋体" w:eastAsia="宋体"/>
                      <w:sz w:val="20"/>
                    </w:rPr>
                    <w:t>2</w:t>
                  </w:r>
                  <w:r>
                    <w:rPr>
                      <w:rFonts w:ascii="宋体" w:hAnsi="宋体" w:cs="宋体" w:eastAsia="宋体"/>
                      <w:sz w:val="20"/>
                    </w:rPr>
                    <w:t>.</w:t>
                  </w:r>
                  <w:r>
                    <w:rPr>
                      <w:rFonts w:ascii="宋体" w:hAnsi="宋体" w:cs="宋体" w:eastAsia="宋体"/>
                      <w:sz w:val="20"/>
                    </w:rPr>
                    <w:t>卡片登记</w:t>
                  </w:r>
                </w:p>
                <w:p>
                  <w:pPr>
                    <w:pStyle w:val="null3"/>
                    <w:jc w:val="left"/>
                  </w:pPr>
                  <w:r>
                    <w:rPr>
                      <w:rFonts w:ascii="宋体" w:hAnsi="宋体" w:cs="宋体" w:eastAsia="宋体"/>
                      <w:sz w:val="20"/>
                    </w:rPr>
                    <w:t>支持数据资产分类、分级、标签库的维护管理。</w:t>
                  </w:r>
                </w:p>
                <w:p>
                  <w:pPr>
                    <w:pStyle w:val="null3"/>
                    <w:jc w:val="left"/>
                  </w:pPr>
                  <w:r>
                    <w:rPr>
                      <w:rFonts w:ascii="宋体" w:hAnsi="宋体" w:cs="宋体" w:eastAsia="宋体"/>
                      <w:sz w:val="20"/>
                    </w:rPr>
                    <w:t>支持数据资产按照分类、分级、标签等属性自动编目。</w:t>
                  </w:r>
                </w:p>
                <w:p>
                  <w:pPr>
                    <w:pStyle w:val="null3"/>
                    <w:jc w:val="left"/>
                  </w:pPr>
                  <w:r>
                    <w:rPr>
                      <w:rFonts w:ascii="宋体" w:hAnsi="宋体" w:cs="宋体" w:eastAsia="宋体"/>
                      <w:sz w:val="20"/>
                    </w:rPr>
                    <w:t>支持数据资产基本信息、数据信息的新增、修改、查看、删除等功能。</w:t>
                  </w:r>
                </w:p>
                <w:p>
                  <w:pPr>
                    <w:pStyle w:val="null3"/>
                    <w:jc w:val="left"/>
                  </w:pPr>
                  <w:r>
                    <w:rPr>
                      <w:rFonts w:ascii="宋体" w:hAnsi="宋体" w:cs="宋体" w:eastAsia="宋体"/>
                      <w:sz w:val="20"/>
                    </w:rPr>
                    <w:t>支持数据资产目录审核。</w:t>
                  </w:r>
                </w:p>
                <w:p>
                  <w:pPr>
                    <w:pStyle w:val="null3"/>
                    <w:jc w:val="left"/>
                  </w:pPr>
                  <w:r>
                    <w:rPr>
                      <w:rFonts w:ascii="宋体" w:hAnsi="宋体" w:cs="宋体" w:eastAsia="宋体"/>
                      <w:sz w:val="20"/>
                    </w:rPr>
                    <w:t>3</w:t>
                  </w:r>
                  <w:r>
                    <w:rPr>
                      <w:rFonts w:ascii="宋体" w:hAnsi="宋体" w:cs="宋体" w:eastAsia="宋体"/>
                      <w:sz w:val="20"/>
                    </w:rPr>
                    <w:t>.资产</w:t>
                  </w:r>
                  <w:r>
                    <w:rPr>
                      <w:rFonts w:ascii="宋体" w:hAnsi="宋体" w:cs="宋体" w:eastAsia="宋体"/>
                      <w:sz w:val="20"/>
                    </w:rPr>
                    <w:t>确权</w:t>
                  </w:r>
                </w:p>
                <w:p>
                  <w:pPr>
                    <w:pStyle w:val="null3"/>
                    <w:jc w:val="left"/>
                  </w:pPr>
                  <w:r>
                    <w:rPr>
                      <w:rFonts w:ascii="宋体" w:hAnsi="宋体" w:cs="宋体" w:eastAsia="宋体"/>
                      <w:sz w:val="20"/>
                    </w:rPr>
                    <w:t>支持数据资产卡片编制，包括基本信息、权力信息、评估信息、预计收益信息、数据信息、会计计量信息。</w:t>
                  </w:r>
                </w:p>
                <w:p>
                  <w:pPr>
                    <w:pStyle w:val="null3"/>
                    <w:jc w:val="left"/>
                  </w:pPr>
                  <w:r>
                    <w:rPr>
                      <w:rFonts w:ascii="宋体" w:hAnsi="宋体" w:cs="宋体" w:eastAsia="宋体"/>
                      <w:sz w:val="20"/>
                    </w:rPr>
                    <w:t>支持数据资产卡片修改、查看、审核功能。</w:t>
                  </w:r>
                </w:p>
                <w:p>
                  <w:pPr>
                    <w:pStyle w:val="null3"/>
                    <w:jc w:val="left"/>
                  </w:pPr>
                  <w:r>
                    <w:rPr>
                      <w:rFonts w:ascii="宋体" w:hAnsi="宋体" w:cs="宋体" w:eastAsia="宋体"/>
                      <w:sz w:val="20"/>
                    </w:rPr>
                    <w:t>支持数据资产卡片</w:t>
                  </w:r>
                  <w:r>
                    <w:rPr>
                      <w:rFonts w:ascii="宋体" w:hAnsi="宋体" w:cs="宋体" w:eastAsia="宋体"/>
                      <w:sz w:val="20"/>
                    </w:rPr>
                    <w:t>确权</w:t>
                  </w:r>
                  <w:r>
                    <w:rPr>
                      <w:rFonts w:ascii="宋体" w:hAnsi="宋体" w:cs="宋体" w:eastAsia="宋体"/>
                      <w:sz w:val="20"/>
                    </w:rPr>
                    <w:t>功能。</w:t>
                  </w:r>
                </w:p>
                <w:p>
                  <w:pPr>
                    <w:pStyle w:val="null3"/>
                    <w:jc w:val="left"/>
                  </w:pPr>
                  <w:r>
                    <w:rPr>
                      <w:rFonts w:ascii="宋体" w:hAnsi="宋体" w:cs="宋体" w:eastAsia="宋体"/>
                      <w:sz w:val="20"/>
                    </w:rPr>
                    <w:t>4</w:t>
                  </w:r>
                  <w:r>
                    <w:rPr>
                      <w:rFonts w:ascii="宋体" w:hAnsi="宋体" w:cs="宋体" w:eastAsia="宋体"/>
                      <w:sz w:val="20"/>
                    </w:rPr>
                    <w:t>.外部登记</w:t>
                  </w:r>
                </w:p>
                <w:p>
                  <w:pPr>
                    <w:pStyle w:val="null3"/>
                    <w:jc w:val="left"/>
                  </w:pPr>
                  <w:r>
                    <w:rPr>
                      <w:rFonts w:ascii="宋体" w:hAnsi="宋体" w:cs="宋体" w:eastAsia="宋体"/>
                      <w:sz w:val="20"/>
                    </w:rPr>
                    <w:t>支持数据资产外部登记管理，自动生成外部登记申请表。</w:t>
                  </w:r>
                  <w:r>
                    <w:rPr>
                      <w:rFonts w:ascii="calibri" w:hAnsi="calibri" w:cs="calibri" w:eastAsia="calibri"/>
                      <w:sz w:val="21"/>
                    </w:rPr>
                    <w:t xml:space="preserve"> </w:t>
                  </w:r>
                </w:p>
                <w:p>
                  <w:pPr>
                    <w:pStyle w:val="null3"/>
                    <w:jc w:val="left"/>
                  </w:pPr>
                  <w:r>
                    <w:rPr>
                      <w:rFonts w:ascii="宋体" w:hAnsi="宋体" w:cs="宋体" w:eastAsia="宋体"/>
                      <w:sz w:val="20"/>
                    </w:rPr>
                    <w:t>（二）数据资产质量评价模块</w:t>
                  </w:r>
                </w:p>
                <w:p>
                  <w:pPr>
                    <w:pStyle w:val="null3"/>
                    <w:jc w:val="left"/>
                  </w:pPr>
                  <w:r>
                    <w:rPr>
                      <w:rFonts w:ascii="宋体" w:hAnsi="宋体" w:cs="宋体" w:eastAsia="宋体"/>
                      <w:sz w:val="20"/>
                    </w:rPr>
                    <w:t>1.选取数据</w:t>
                  </w:r>
                </w:p>
                <w:p>
                  <w:pPr>
                    <w:pStyle w:val="null3"/>
                    <w:jc w:val="left"/>
                  </w:pPr>
                  <w:r>
                    <w:rPr>
                      <w:rFonts w:ascii="宋体" w:hAnsi="宋体" w:cs="宋体" w:eastAsia="宋体"/>
                      <w:sz w:val="20"/>
                    </w:rPr>
                    <w:t>支持与数据资源系统连通，可同步已编目的数据资源，进入数据库列表。</w:t>
                  </w:r>
                </w:p>
                <w:p>
                  <w:pPr>
                    <w:pStyle w:val="null3"/>
                    <w:jc w:val="left"/>
                  </w:pPr>
                  <w:r>
                    <w:rPr>
                      <w:rFonts w:ascii="宋体" w:hAnsi="宋体" w:cs="宋体" w:eastAsia="宋体"/>
                      <w:sz w:val="20"/>
                    </w:rPr>
                    <w:t>支持自定义连接外部数据库。</w:t>
                  </w:r>
                </w:p>
                <w:p>
                  <w:pPr>
                    <w:pStyle w:val="null3"/>
                    <w:jc w:val="left"/>
                  </w:pPr>
                  <w:r>
                    <w:rPr>
                      <w:rFonts w:ascii="宋体" w:hAnsi="宋体" w:cs="宋体" w:eastAsia="宋体"/>
                      <w:sz w:val="20"/>
                    </w:rPr>
                    <w:t>2.数据质量规则库</w:t>
                  </w:r>
                </w:p>
                <w:p>
                  <w:pPr>
                    <w:pStyle w:val="null3"/>
                    <w:jc w:val="left"/>
                  </w:pPr>
                  <w:r>
                    <w:rPr>
                      <w:rFonts w:ascii="宋体" w:hAnsi="宋体" w:cs="宋体" w:eastAsia="宋体"/>
                      <w:sz w:val="20"/>
                    </w:rPr>
                    <w:t>支持技术规则、业务规则、自定义规则类型的创建与修改。</w:t>
                  </w:r>
                </w:p>
                <w:p>
                  <w:pPr>
                    <w:pStyle w:val="null3"/>
                    <w:jc w:val="left"/>
                  </w:pPr>
                  <w:r>
                    <w:rPr>
                      <w:rFonts w:ascii="宋体" w:hAnsi="宋体" w:cs="宋体" w:eastAsia="宋体"/>
                      <w:sz w:val="20"/>
                    </w:rPr>
                    <w:t>支持字段类型检查、空值检查、重复值检查、缺失值检查、值域检查、逻辑检查、完整性检查、及时性检查等。</w:t>
                  </w:r>
                </w:p>
                <w:p>
                  <w:pPr>
                    <w:pStyle w:val="null3"/>
                    <w:jc w:val="left"/>
                  </w:pPr>
                  <w:r>
                    <w:rPr>
                      <w:rFonts w:ascii="宋体" w:hAnsi="宋体" w:cs="宋体" w:eastAsia="宋体"/>
                      <w:sz w:val="20"/>
                    </w:rPr>
                    <w:t>支持质量评价指标类型与规则的绑定。</w:t>
                  </w:r>
                </w:p>
                <w:p>
                  <w:pPr>
                    <w:pStyle w:val="null3"/>
                    <w:jc w:val="left"/>
                  </w:pPr>
                  <w:r>
                    <w:rPr>
                      <w:rFonts w:ascii="宋体" w:hAnsi="宋体" w:cs="宋体" w:eastAsia="宋体"/>
                      <w:sz w:val="20"/>
                    </w:rPr>
                    <w:t>3.数据质量评分</w:t>
                  </w:r>
                </w:p>
                <w:p>
                  <w:pPr>
                    <w:pStyle w:val="null3"/>
                    <w:jc w:val="left"/>
                  </w:pPr>
                  <w:r>
                    <w:rPr>
                      <w:rFonts w:ascii="宋体" w:hAnsi="宋体" w:cs="宋体" w:eastAsia="宋体"/>
                      <w:sz w:val="20"/>
                    </w:rPr>
                    <w:t>支持建立质量评价方案，按数据质量评价一级指标、二级指标进行选择，并可配置权重。</w:t>
                  </w:r>
                </w:p>
                <w:p>
                  <w:pPr>
                    <w:pStyle w:val="null3"/>
                    <w:jc w:val="left"/>
                  </w:pPr>
                  <w:r>
                    <w:rPr>
                      <w:rFonts w:ascii="宋体" w:hAnsi="宋体" w:cs="宋体" w:eastAsia="宋体"/>
                      <w:sz w:val="20"/>
                    </w:rPr>
                    <w:t>支持在指标中配置规则，并支持配置规则的权重。</w:t>
                  </w:r>
                </w:p>
                <w:p>
                  <w:pPr>
                    <w:pStyle w:val="null3"/>
                    <w:jc w:val="left"/>
                  </w:pPr>
                  <w:r>
                    <w:rPr>
                      <w:rFonts w:ascii="宋体" w:hAnsi="宋体" w:cs="宋体" w:eastAsia="宋体"/>
                      <w:sz w:val="20"/>
                    </w:rPr>
                    <w:t>支持抽样设置，可按具体数量抽样检测也可按百分比抽样检测数据。</w:t>
                  </w:r>
                </w:p>
                <w:p>
                  <w:pPr>
                    <w:pStyle w:val="null3"/>
                    <w:jc w:val="left"/>
                  </w:pPr>
                  <w:r>
                    <w:rPr>
                      <w:rFonts w:ascii="宋体" w:hAnsi="宋体" w:cs="宋体" w:eastAsia="宋体"/>
                      <w:sz w:val="20"/>
                    </w:rPr>
                    <w:t>支持保存与读取评分模板。</w:t>
                  </w:r>
                </w:p>
                <w:p>
                  <w:pPr>
                    <w:pStyle w:val="null3"/>
                    <w:jc w:val="left"/>
                  </w:pPr>
                  <w:r>
                    <w:rPr>
                      <w:rFonts w:ascii="宋体" w:hAnsi="宋体" w:cs="宋体" w:eastAsia="宋体"/>
                      <w:sz w:val="20"/>
                    </w:rPr>
                    <w:t>4.数据质量监控</w:t>
                  </w:r>
                </w:p>
                <w:p>
                  <w:pPr>
                    <w:pStyle w:val="null3"/>
                    <w:jc w:val="left"/>
                  </w:pPr>
                  <w:r>
                    <w:rPr>
                      <w:rFonts w:ascii="宋体" w:hAnsi="宋体" w:cs="宋体" w:eastAsia="宋体"/>
                      <w:sz w:val="20"/>
                    </w:rPr>
                    <w:t>支持查询质量评价方案，监控数据质量评分的执行情况。</w:t>
                  </w:r>
                </w:p>
                <w:p>
                  <w:pPr>
                    <w:pStyle w:val="null3"/>
                    <w:jc w:val="left"/>
                  </w:pPr>
                  <w:r>
                    <w:rPr>
                      <w:rFonts w:ascii="宋体" w:hAnsi="宋体" w:cs="宋体" w:eastAsia="宋体"/>
                      <w:sz w:val="20"/>
                    </w:rPr>
                    <w:t>支持执行周期配置，按周期执行数据质量评分。</w:t>
                  </w:r>
                </w:p>
                <w:p>
                  <w:pPr>
                    <w:pStyle w:val="null3"/>
                    <w:jc w:val="left"/>
                  </w:pPr>
                  <w:r>
                    <w:rPr>
                      <w:rFonts w:ascii="宋体" w:hAnsi="宋体" w:cs="宋体" w:eastAsia="宋体"/>
                      <w:sz w:val="20"/>
                    </w:rPr>
                    <w:t>支持执行数据质量评分。</w:t>
                  </w:r>
                </w:p>
                <w:p>
                  <w:pPr>
                    <w:pStyle w:val="null3"/>
                    <w:jc w:val="left"/>
                  </w:pPr>
                  <w:r>
                    <w:rPr>
                      <w:rFonts w:ascii="宋体" w:hAnsi="宋体" w:cs="宋体" w:eastAsia="宋体"/>
                      <w:sz w:val="20"/>
                    </w:rPr>
                    <w:t>支持日志功能，在日志中记录每次执行质量评分情况。</w:t>
                  </w:r>
                </w:p>
                <w:p>
                  <w:pPr>
                    <w:pStyle w:val="null3"/>
                    <w:jc w:val="left"/>
                  </w:pPr>
                  <w:r>
                    <w:rPr>
                      <w:rFonts w:ascii="宋体" w:hAnsi="宋体" w:cs="宋体" w:eastAsia="宋体"/>
                      <w:sz w:val="20"/>
                    </w:rPr>
                    <w:t>支持评分卡结果查询。</w:t>
                  </w:r>
                </w:p>
                <w:p>
                  <w:pPr>
                    <w:pStyle w:val="null3"/>
                    <w:jc w:val="left"/>
                  </w:pPr>
                  <w:r>
                    <w:rPr>
                      <w:rFonts w:ascii="宋体" w:hAnsi="宋体" w:cs="宋体" w:eastAsia="宋体"/>
                      <w:sz w:val="20"/>
                    </w:rPr>
                    <w:t>5.智能数据质量报告</w:t>
                  </w:r>
                </w:p>
                <w:p>
                  <w:pPr>
                    <w:pStyle w:val="null3"/>
                    <w:jc w:val="left"/>
                  </w:pPr>
                  <w:r>
                    <w:rPr>
                      <w:rFonts w:ascii="宋体" w:hAnsi="宋体" w:cs="宋体" w:eastAsia="宋体"/>
                      <w:sz w:val="20"/>
                    </w:rPr>
                    <w:t>支持自动读取质量评价方案，生成数据质量评价报告列表。</w:t>
                  </w:r>
                </w:p>
                <w:p>
                  <w:pPr>
                    <w:pStyle w:val="null3"/>
                    <w:jc w:val="left"/>
                  </w:pPr>
                  <w:r>
                    <w:rPr>
                      <w:rFonts w:ascii="宋体" w:hAnsi="宋体" w:cs="宋体" w:eastAsia="宋体"/>
                      <w:sz w:val="20"/>
                    </w:rPr>
                    <w:t>支持数据质量报告模板的保存与读取，支持在线编写报告。</w:t>
                  </w:r>
                </w:p>
                <w:p>
                  <w:pPr>
                    <w:pStyle w:val="null3"/>
                    <w:jc w:val="left"/>
                  </w:pPr>
                  <w:r>
                    <w:rPr>
                      <w:rFonts w:ascii="宋体" w:hAnsi="宋体" w:cs="宋体" w:eastAsia="宋体"/>
                      <w:sz w:val="20"/>
                    </w:rPr>
                    <w:t>支持智能生成数据质量分析报告，并可编辑、审核报告。</w:t>
                  </w:r>
                </w:p>
                <w:p>
                  <w:pPr>
                    <w:pStyle w:val="null3"/>
                    <w:jc w:val="left"/>
                  </w:pPr>
                  <w:r>
                    <w:rPr>
                      <w:rFonts w:ascii="宋体" w:hAnsi="宋体" w:cs="宋体" w:eastAsia="宋体"/>
                      <w:sz w:val="20"/>
                    </w:rPr>
                    <w:t>支持人工智能</w:t>
                  </w:r>
                  <w:r>
                    <w:rPr>
                      <w:rFonts w:ascii="宋体" w:hAnsi="宋体" w:cs="宋体" w:eastAsia="宋体"/>
                      <w:sz w:val="20"/>
                    </w:rPr>
                    <w:t>AI助手生成文字，帮助用户对报告进行润色、扩写、缩写、续写等功能。</w:t>
                  </w:r>
                </w:p>
                <w:p>
                  <w:pPr>
                    <w:pStyle w:val="null3"/>
                    <w:jc w:val="left"/>
                  </w:pPr>
                  <w:r>
                    <w:rPr>
                      <w:rFonts w:ascii="宋体" w:hAnsi="宋体" w:cs="宋体" w:eastAsia="宋体"/>
                      <w:sz w:val="20"/>
                    </w:rPr>
                    <w:t>支持</w:t>
                  </w:r>
                  <w:r>
                    <w:rPr>
                      <w:rFonts w:ascii="宋体" w:hAnsi="宋体" w:cs="宋体" w:eastAsia="宋体"/>
                      <w:sz w:val="20"/>
                    </w:rPr>
                    <w:t>AI助手智能问答，回答数据资产管理相关问题。</w:t>
                  </w:r>
                </w:p>
                <w:p>
                  <w:pPr>
                    <w:pStyle w:val="null3"/>
                    <w:jc w:val="left"/>
                  </w:pPr>
                  <w:r>
                    <w:rPr>
                      <w:rFonts w:ascii="宋体" w:hAnsi="宋体" w:cs="宋体" w:eastAsia="宋体"/>
                      <w:sz w:val="20"/>
                    </w:rPr>
                    <w:t>（三）数据资产价值评估模块</w:t>
                  </w:r>
                </w:p>
                <w:p>
                  <w:pPr>
                    <w:pStyle w:val="null3"/>
                    <w:jc w:val="left"/>
                  </w:pPr>
                  <w:r>
                    <w:rPr>
                      <w:rFonts w:ascii="宋体" w:hAnsi="宋体" w:cs="宋体" w:eastAsia="宋体"/>
                      <w:sz w:val="20"/>
                    </w:rPr>
                    <w:t>1.项目管理</w:t>
                  </w:r>
                </w:p>
                <w:p>
                  <w:pPr>
                    <w:pStyle w:val="null3"/>
                    <w:jc w:val="left"/>
                  </w:pPr>
                  <w:r>
                    <w:rPr>
                      <w:rFonts w:ascii="宋体" w:hAnsi="宋体" w:cs="宋体" w:eastAsia="宋体"/>
                      <w:sz w:val="20"/>
                    </w:rPr>
                    <w:t>支持数据资产评估项目建立、项目审核。</w:t>
                  </w:r>
                </w:p>
                <w:p>
                  <w:pPr>
                    <w:pStyle w:val="null3"/>
                    <w:jc w:val="left"/>
                  </w:pPr>
                  <w:r>
                    <w:rPr>
                      <w:rFonts w:ascii="宋体" w:hAnsi="宋体" w:cs="宋体" w:eastAsia="宋体"/>
                      <w:sz w:val="20"/>
                    </w:rPr>
                    <w:t>支持从数据资产卡片同步数据，并进行价值评估。</w:t>
                  </w:r>
                </w:p>
                <w:p>
                  <w:pPr>
                    <w:pStyle w:val="null3"/>
                    <w:jc w:val="left"/>
                  </w:pPr>
                  <w:r>
                    <w:rPr>
                      <w:rFonts w:ascii="宋体" w:hAnsi="宋体" w:cs="宋体" w:eastAsia="宋体"/>
                      <w:sz w:val="20"/>
                    </w:rPr>
                    <w:t>2.评估作价</w:t>
                  </w:r>
                </w:p>
                <w:p>
                  <w:pPr>
                    <w:pStyle w:val="null3"/>
                    <w:jc w:val="left"/>
                  </w:pPr>
                  <w:r>
                    <w:rPr>
                      <w:rFonts w:ascii="宋体" w:hAnsi="宋体" w:cs="宋体" w:eastAsia="宋体"/>
                      <w:sz w:val="20"/>
                    </w:rPr>
                    <w:t>支持自动同步数据资产评估项目列表。</w:t>
                  </w:r>
                </w:p>
                <w:p>
                  <w:pPr>
                    <w:pStyle w:val="null3"/>
                    <w:jc w:val="left"/>
                  </w:pPr>
                  <w:r>
                    <w:rPr>
                      <w:rFonts w:ascii="宋体" w:hAnsi="宋体" w:cs="宋体" w:eastAsia="宋体"/>
                      <w:sz w:val="20"/>
                    </w:rPr>
                    <w:t>支持成本法评估作价，可将数据资产会计核算的成本归集数据采集入作价表。支持自动估值计算、数据汇总功能。</w:t>
                  </w:r>
                </w:p>
                <w:p>
                  <w:pPr>
                    <w:pStyle w:val="null3"/>
                    <w:jc w:val="left"/>
                  </w:pPr>
                  <w:r>
                    <w:rPr>
                      <w:rFonts w:ascii="宋体" w:hAnsi="宋体" w:cs="宋体" w:eastAsia="宋体"/>
                      <w:sz w:val="20"/>
                    </w:rPr>
                    <w:t>支持收益法评估作价，有完整的收益法作价计算表，支持数据填写、折现率计算、估值计算、数据汇总功能。</w:t>
                  </w:r>
                </w:p>
                <w:p>
                  <w:pPr>
                    <w:pStyle w:val="null3"/>
                    <w:jc w:val="left"/>
                  </w:pPr>
                  <w:r>
                    <w:rPr>
                      <w:rFonts w:ascii="宋体" w:hAnsi="宋体" w:cs="宋体" w:eastAsia="宋体"/>
                      <w:sz w:val="20"/>
                    </w:rPr>
                    <w:t>支持市场法评估作价，有完整的市场法作价计算表，支持数据填写、估值计算、数据汇总功能。</w:t>
                  </w:r>
                </w:p>
                <w:p>
                  <w:pPr>
                    <w:pStyle w:val="null3"/>
                    <w:jc w:val="left"/>
                  </w:pPr>
                  <w:r>
                    <w:rPr>
                      <w:rFonts w:ascii="宋体" w:hAnsi="宋体" w:cs="宋体" w:eastAsia="宋体"/>
                      <w:sz w:val="20"/>
                    </w:rPr>
                    <w:t>3.评估报告</w:t>
                  </w:r>
                </w:p>
                <w:p>
                  <w:pPr>
                    <w:pStyle w:val="null3"/>
                    <w:jc w:val="left"/>
                  </w:pPr>
                  <w:r>
                    <w:rPr>
                      <w:rFonts w:ascii="宋体" w:hAnsi="宋体" w:cs="宋体" w:eastAsia="宋体"/>
                      <w:sz w:val="20"/>
                    </w:rPr>
                    <w:t>支持自动读取数据资产评估项目，生成数据资产评估项目列表。</w:t>
                  </w:r>
                </w:p>
                <w:p>
                  <w:pPr>
                    <w:pStyle w:val="null3"/>
                    <w:jc w:val="left"/>
                  </w:pPr>
                  <w:r>
                    <w:rPr>
                      <w:rFonts w:ascii="宋体" w:hAnsi="宋体" w:cs="宋体" w:eastAsia="宋体"/>
                      <w:sz w:val="20"/>
                    </w:rPr>
                    <w:t>支持智能生成数据资产评估报告，并可编辑、审核报告。</w:t>
                  </w:r>
                </w:p>
                <w:p>
                  <w:pPr>
                    <w:pStyle w:val="null3"/>
                    <w:jc w:val="left"/>
                  </w:pPr>
                  <w:r>
                    <w:rPr>
                      <w:rFonts w:ascii="宋体" w:hAnsi="宋体" w:cs="宋体" w:eastAsia="宋体"/>
                      <w:sz w:val="20"/>
                    </w:rPr>
                    <w:t>支持人工智能</w:t>
                  </w:r>
                  <w:r>
                    <w:rPr>
                      <w:rFonts w:ascii="宋体" w:hAnsi="宋体" w:cs="宋体" w:eastAsia="宋体"/>
                      <w:sz w:val="20"/>
                    </w:rPr>
                    <w:t>AI助手生成文字，帮助用户对报告进行润色、扩写、缩写、续写等功能。</w:t>
                  </w:r>
                </w:p>
                <w:p>
                  <w:pPr>
                    <w:pStyle w:val="null3"/>
                    <w:jc w:val="left"/>
                  </w:pPr>
                  <w:r>
                    <w:rPr>
                      <w:rFonts w:ascii="宋体" w:hAnsi="宋体" w:cs="宋体" w:eastAsia="宋体"/>
                      <w:sz w:val="20"/>
                    </w:rPr>
                    <w:t>支持</w:t>
                  </w:r>
                  <w:r>
                    <w:rPr>
                      <w:rFonts w:ascii="宋体" w:hAnsi="宋体" w:cs="宋体" w:eastAsia="宋体"/>
                      <w:sz w:val="20"/>
                    </w:rPr>
                    <w:t>AI助手智能问答，回答数据资产管理相关问题。</w:t>
                  </w:r>
                </w:p>
                <w:p>
                  <w:pPr>
                    <w:pStyle w:val="null3"/>
                    <w:jc w:val="left"/>
                  </w:pPr>
                  <w:r>
                    <w:rPr>
                      <w:rFonts w:ascii="宋体" w:hAnsi="宋体" w:cs="宋体" w:eastAsia="宋体"/>
                      <w:sz w:val="20"/>
                    </w:rPr>
                    <w:t>支持数据资产评估报告模板的保存与读取，支持在线编写报告。</w:t>
                  </w:r>
                </w:p>
                <w:p>
                  <w:pPr>
                    <w:pStyle w:val="null3"/>
                    <w:jc w:val="left"/>
                  </w:pPr>
                  <w:r>
                    <w:rPr>
                      <w:rFonts w:ascii="宋体" w:hAnsi="宋体" w:cs="宋体" w:eastAsia="宋体"/>
                      <w:sz w:val="20"/>
                    </w:rPr>
                    <w:t>（四）数据资产使用与处置模块</w:t>
                  </w:r>
                </w:p>
                <w:p>
                  <w:pPr>
                    <w:pStyle w:val="null3"/>
                    <w:jc w:val="left"/>
                  </w:pPr>
                  <w:r>
                    <w:rPr>
                      <w:rFonts w:ascii="宋体" w:hAnsi="宋体" w:cs="宋体" w:eastAsia="宋体"/>
                      <w:sz w:val="20"/>
                    </w:rPr>
                    <w:t>1.数据产品交易</w:t>
                  </w:r>
                </w:p>
                <w:p>
                  <w:pPr>
                    <w:pStyle w:val="null3"/>
                    <w:jc w:val="left"/>
                  </w:pPr>
                  <w:r>
                    <w:rPr>
                      <w:rFonts w:ascii="宋体" w:hAnsi="宋体" w:cs="宋体" w:eastAsia="宋体"/>
                      <w:sz w:val="20"/>
                    </w:rPr>
                    <w:t>支持数据产品上架信息维护，包括数据产品基本信息、来源证明、评估信息、应用信息、使用信息、出售信息等。</w:t>
                  </w:r>
                </w:p>
                <w:p>
                  <w:pPr>
                    <w:pStyle w:val="null3"/>
                    <w:jc w:val="left"/>
                  </w:pPr>
                  <w:r>
                    <w:rPr>
                      <w:rFonts w:ascii="宋体" w:hAnsi="宋体" w:cs="宋体" w:eastAsia="宋体"/>
                      <w:sz w:val="20"/>
                    </w:rPr>
                    <w:t>支持数据产品上下架、信息修改、审核等功能。</w:t>
                  </w:r>
                </w:p>
                <w:p>
                  <w:pPr>
                    <w:pStyle w:val="null3"/>
                    <w:jc w:val="left"/>
                  </w:pPr>
                  <w:r>
                    <w:rPr>
                      <w:rFonts w:ascii="宋体" w:hAnsi="宋体" w:cs="宋体" w:eastAsia="宋体"/>
                      <w:sz w:val="20"/>
                    </w:rPr>
                    <w:t>支持数据产品交易签约管理，电子合同签署、查看、存档等功能。</w:t>
                  </w:r>
                </w:p>
                <w:p>
                  <w:pPr>
                    <w:pStyle w:val="null3"/>
                    <w:jc w:val="left"/>
                  </w:pPr>
                  <w:r>
                    <w:rPr>
                      <w:rFonts w:ascii="宋体" w:hAnsi="宋体" w:cs="宋体" w:eastAsia="宋体"/>
                      <w:sz w:val="20"/>
                    </w:rPr>
                    <w:t>支持数据产品交付管理，</w:t>
                  </w:r>
                  <w:r>
                    <w:rPr>
                      <w:rFonts w:ascii="宋体" w:hAnsi="宋体" w:cs="宋体" w:eastAsia="宋体"/>
                      <w:sz w:val="20"/>
                    </w:rPr>
                    <w:t>API服务交付、离线数据库交付。</w:t>
                  </w:r>
                </w:p>
                <w:p>
                  <w:pPr>
                    <w:pStyle w:val="null3"/>
                    <w:jc w:val="left"/>
                  </w:pPr>
                  <w:r>
                    <w:rPr>
                      <w:rFonts w:ascii="宋体" w:hAnsi="宋体" w:cs="宋体" w:eastAsia="宋体"/>
                      <w:sz w:val="20"/>
                    </w:rPr>
                    <w:t>2.数据资产质押</w:t>
                  </w:r>
                </w:p>
                <w:p>
                  <w:pPr>
                    <w:pStyle w:val="null3"/>
                    <w:jc w:val="left"/>
                  </w:pPr>
                  <w:r>
                    <w:rPr>
                      <w:rFonts w:ascii="宋体" w:hAnsi="宋体" w:cs="宋体" w:eastAsia="宋体"/>
                      <w:sz w:val="20"/>
                    </w:rPr>
                    <w:t>支持数据资产质押信息的新增、修改、删除、查看功能。</w:t>
                  </w:r>
                </w:p>
                <w:p>
                  <w:pPr>
                    <w:pStyle w:val="null3"/>
                    <w:jc w:val="left"/>
                  </w:pPr>
                  <w:r>
                    <w:rPr>
                      <w:rFonts w:ascii="宋体" w:hAnsi="宋体" w:cs="宋体" w:eastAsia="宋体"/>
                      <w:sz w:val="20"/>
                    </w:rPr>
                    <w:t>3.数据资产入股</w:t>
                  </w:r>
                </w:p>
                <w:p>
                  <w:pPr>
                    <w:pStyle w:val="null3"/>
                    <w:jc w:val="left"/>
                  </w:pPr>
                  <w:r>
                    <w:rPr>
                      <w:rFonts w:ascii="宋体" w:hAnsi="宋体" w:cs="宋体" w:eastAsia="宋体"/>
                      <w:sz w:val="20"/>
                    </w:rPr>
                    <w:t>支持数据资产入股信息的新增、修改、删除、查看功能。</w:t>
                  </w:r>
                </w:p>
                <w:p>
                  <w:pPr>
                    <w:pStyle w:val="null3"/>
                    <w:jc w:val="left"/>
                  </w:pPr>
                  <w:r>
                    <w:rPr>
                      <w:rFonts w:ascii="宋体" w:hAnsi="宋体" w:cs="宋体" w:eastAsia="宋体"/>
                      <w:sz w:val="20"/>
                    </w:rPr>
                    <w:t>4.数据资产销毁</w:t>
                  </w:r>
                </w:p>
                <w:p>
                  <w:pPr>
                    <w:pStyle w:val="null3"/>
                    <w:jc w:val="left"/>
                  </w:pPr>
                  <w:r>
                    <w:rPr>
                      <w:rFonts w:ascii="宋体" w:hAnsi="宋体" w:cs="宋体" w:eastAsia="宋体"/>
                      <w:sz w:val="20"/>
                    </w:rPr>
                    <w:t>支持数据资产销毁的审批确认管理。</w:t>
                  </w:r>
                </w:p>
                <w:p>
                  <w:pPr>
                    <w:pStyle w:val="null3"/>
                    <w:jc w:val="left"/>
                  </w:pPr>
                  <w:r>
                    <w:rPr>
                      <w:rFonts w:ascii="宋体" w:hAnsi="宋体" w:cs="宋体" w:eastAsia="宋体"/>
                      <w:sz w:val="20"/>
                    </w:rPr>
                    <w:t>支持数据资产销毁信息的新增、修改、查看、归档等功能。</w:t>
                  </w:r>
                </w:p>
                <w:p>
                  <w:pPr>
                    <w:pStyle w:val="null3"/>
                    <w:jc w:val="left"/>
                  </w:pPr>
                  <w:r>
                    <w:rPr>
                      <w:rFonts w:ascii="宋体" w:hAnsi="宋体" w:cs="宋体" w:eastAsia="宋体"/>
                      <w:sz w:val="20"/>
                    </w:rPr>
                    <w:t>（五）数据资产会计模块</w:t>
                  </w:r>
                </w:p>
                <w:p>
                  <w:pPr>
                    <w:pStyle w:val="null3"/>
                    <w:jc w:val="left"/>
                  </w:pPr>
                  <w:r>
                    <w:rPr>
                      <w:rFonts w:ascii="宋体" w:hAnsi="宋体" w:cs="宋体" w:eastAsia="宋体"/>
                      <w:sz w:val="20"/>
                    </w:rPr>
                    <w:t>1.数据资产成本计算</w:t>
                  </w:r>
                </w:p>
                <w:p>
                  <w:pPr>
                    <w:pStyle w:val="null3"/>
                    <w:jc w:val="left"/>
                  </w:pPr>
                  <w:r>
                    <w:rPr>
                      <w:rFonts w:ascii="宋体" w:hAnsi="宋体" w:cs="宋体" w:eastAsia="宋体"/>
                      <w:sz w:val="20"/>
                    </w:rPr>
                    <w:t>归集数据类无形资产资本化支出明细。</w:t>
                  </w:r>
                </w:p>
                <w:p>
                  <w:pPr>
                    <w:pStyle w:val="null3"/>
                    <w:jc w:val="left"/>
                  </w:pPr>
                  <w:r>
                    <w:rPr>
                      <w:rFonts w:ascii="宋体" w:hAnsi="宋体" w:cs="宋体" w:eastAsia="宋体"/>
                      <w:sz w:val="20"/>
                    </w:rPr>
                    <w:t>归集数据类存货外购成本及加工成本明细。</w:t>
                  </w:r>
                </w:p>
                <w:p>
                  <w:pPr>
                    <w:pStyle w:val="null3"/>
                    <w:jc w:val="left"/>
                  </w:pPr>
                  <w:r>
                    <w:rPr>
                      <w:rFonts w:ascii="宋体" w:hAnsi="宋体" w:cs="宋体" w:eastAsia="宋体"/>
                      <w:sz w:val="20"/>
                    </w:rPr>
                    <w:t>2.数据资产初始计量</w:t>
                  </w:r>
                </w:p>
                <w:p>
                  <w:pPr>
                    <w:pStyle w:val="null3"/>
                    <w:jc w:val="left"/>
                  </w:pPr>
                  <w:r>
                    <w:rPr>
                      <w:rFonts w:ascii="宋体" w:hAnsi="宋体" w:cs="宋体" w:eastAsia="宋体"/>
                      <w:sz w:val="20"/>
                    </w:rPr>
                    <w:t>对完工的数据类无形资产资本化支出转无形资产。</w:t>
                  </w:r>
                </w:p>
                <w:p>
                  <w:pPr>
                    <w:pStyle w:val="null3"/>
                    <w:jc w:val="left"/>
                  </w:pPr>
                  <w:r>
                    <w:rPr>
                      <w:rFonts w:ascii="宋体" w:hAnsi="宋体" w:cs="宋体" w:eastAsia="宋体"/>
                      <w:sz w:val="20"/>
                    </w:rPr>
                    <w:t>对完工的数据类存货的进行完工成本结转。</w:t>
                  </w:r>
                </w:p>
                <w:p>
                  <w:pPr>
                    <w:pStyle w:val="null3"/>
                    <w:jc w:val="left"/>
                  </w:pPr>
                  <w:r>
                    <w:rPr>
                      <w:rFonts w:ascii="宋体" w:hAnsi="宋体" w:cs="宋体" w:eastAsia="宋体"/>
                      <w:sz w:val="20"/>
                    </w:rPr>
                    <w:t>3.无形资产收入核算</w:t>
                  </w:r>
                </w:p>
                <w:p>
                  <w:pPr>
                    <w:pStyle w:val="null3"/>
                    <w:jc w:val="left"/>
                  </w:pPr>
                  <w:r>
                    <w:rPr>
                      <w:rFonts w:ascii="宋体" w:hAnsi="宋体" w:cs="宋体" w:eastAsia="宋体"/>
                      <w:sz w:val="20"/>
                    </w:rPr>
                    <w:t>对出售数据类无形资产使用权、经营权、持有权行程的收入进行确认和核算</w:t>
                  </w:r>
                </w:p>
                <w:p>
                  <w:pPr>
                    <w:pStyle w:val="null3"/>
                    <w:jc w:val="left"/>
                  </w:pPr>
                  <w:r>
                    <w:rPr>
                      <w:rFonts w:ascii="宋体" w:hAnsi="宋体" w:cs="宋体" w:eastAsia="宋体"/>
                      <w:sz w:val="20"/>
                    </w:rPr>
                    <w:t>4.无形资产计提摊销</w:t>
                  </w:r>
                </w:p>
                <w:p>
                  <w:pPr>
                    <w:pStyle w:val="null3"/>
                    <w:jc w:val="left"/>
                  </w:pPr>
                  <w:r>
                    <w:rPr>
                      <w:rFonts w:ascii="宋体" w:hAnsi="宋体" w:cs="宋体" w:eastAsia="宋体"/>
                      <w:sz w:val="20"/>
                    </w:rPr>
                    <w:t>对数据类无形资产计提摊销并进行核算。</w:t>
                  </w:r>
                </w:p>
                <w:p>
                  <w:pPr>
                    <w:pStyle w:val="null3"/>
                    <w:jc w:val="left"/>
                  </w:pPr>
                  <w:r>
                    <w:rPr>
                      <w:rFonts w:ascii="宋体" w:hAnsi="宋体" w:cs="宋体" w:eastAsia="宋体"/>
                      <w:sz w:val="20"/>
                    </w:rPr>
                    <w:t>5.无形资产减值准备</w:t>
                  </w:r>
                </w:p>
                <w:p>
                  <w:pPr>
                    <w:pStyle w:val="null3"/>
                    <w:jc w:val="left"/>
                  </w:pPr>
                  <w:r>
                    <w:rPr>
                      <w:rFonts w:ascii="宋体" w:hAnsi="宋体" w:cs="宋体" w:eastAsia="宋体"/>
                      <w:sz w:val="20"/>
                    </w:rPr>
                    <w:t>对数据类无形资产进行计提减值准备并进行核算。</w:t>
                  </w:r>
                </w:p>
                <w:p>
                  <w:pPr>
                    <w:pStyle w:val="null3"/>
                    <w:jc w:val="left"/>
                  </w:pPr>
                  <w:r>
                    <w:rPr>
                      <w:rFonts w:ascii="宋体" w:hAnsi="宋体" w:cs="宋体" w:eastAsia="宋体"/>
                      <w:sz w:val="20"/>
                    </w:rPr>
                    <w:t>6.存货收入核算</w:t>
                  </w:r>
                </w:p>
                <w:p>
                  <w:pPr>
                    <w:pStyle w:val="null3"/>
                    <w:jc w:val="left"/>
                  </w:pPr>
                  <w:r>
                    <w:rPr>
                      <w:rFonts w:ascii="宋体" w:hAnsi="宋体" w:cs="宋体" w:eastAsia="宋体"/>
                      <w:sz w:val="20"/>
                    </w:rPr>
                    <w:t>对出售数据类存货收入进行确认和核算处理。</w:t>
                  </w:r>
                </w:p>
                <w:p>
                  <w:pPr>
                    <w:pStyle w:val="null3"/>
                    <w:jc w:val="left"/>
                  </w:pPr>
                  <w:r>
                    <w:rPr>
                      <w:rFonts w:ascii="宋体" w:hAnsi="宋体" w:cs="宋体" w:eastAsia="宋体"/>
                      <w:sz w:val="20"/>
                    </w:rPr>
                    <w:t>7.存货销售成本结转</w:t>
                  </w:r>
                </w:p>
                <w:p>
                  <w:pPr>
                    <w:pStyle w:val="null3"/>
                    <w:jc w:val="left"/>
                  </w:pPr>
                  <w:r>
                    <w:rPr>
                      <w:rFonts w:ascii="宋体" w:hAnsi="宋体" w:cs="宋体" w:eastAsia="宋体"/>
                      <w:sz w:val="20"/>
                    </w:rPr>
                    <w:t>对已经出售的的数据类存货进行结转销售成本结转核算</w:t>
                  </w:r>
                </w:p>
                <w:p>
                  <w:pPr>
                    <w:pStyle w:val="null3"/>
                    <w:jc w:val="left"/>
                  </w:pPr>
                  <w:r>
                    <w:rPr>
                      <w:rFonts w:ascii="宋体" w:hAnsi="宋体" w:cs="宋体" w:eastAsia="宋体"/>
                      <w:sz w:val="20"/>
                    </w:rPr>
                    <w:t>8.存货跌价准备</w:t>
                  </w:r>
                </w:p>
                <w:p>
                  <w:pPr>
                    <w:pStyle w:val="null3"/>
                    <w:jc w:val="left"/>
                  </w:pPr>
                  <w:r>
                    <w:rPr>
                      <w:rFonts w:ascii="宋体" w:hAnsi="宋体" w:cs="宋体" w:eastAsia="宋体"/>
                      <w:sz w:val="20"/>
                    </w:rPr>
                    <w:t>对数据类存货进行计提跌价准备或转回跌价准备进行核算。</w:t>
                  </w:r>
                </w:p>
                <w:p>
                  <w:pPr>
                    <w:pStyle w:val="null3"/>
                    <w:jc w:val="left"/>
                  </w:pPr>
                  <w:r>
                    <w:rPr>
                      <w:rFonts w:ascii="宋体" w:hAnsi="宋体" w:cs="宋体" w:eastAsia="宋体"/>
                      <w:sz w:val="20"/>
                    </w:rPr>
                    <w:t>9、数据资产处置核算</w:t>
                  </w:r>
                </w:p>
                <w:p>
                  <w:pPr>
                    <w:pStyle w:val="null3"/>
                    <w:jc w:val="left"/>
                  </w:pPr>
                  <w:r>
                    <w:rPr>
                      <w:rFonts w:ascii="宋体" w:hAnsi="宋体" w:cs="宋体" w:eastAsia="宋体"/>
                      <w:sz w:val="20"/>
                    </w:rPr>
                    <w:t>对数据资产投资入股、转让持有权、报废进行核算</w:t>
                  </w:r>
                </w:p>
                <w:p>
                  <w:pPr>
                    <w:pStyle w:val="null3"/>
                    <w:jc w:val="left"/>
                  </w:pPr>
                  <w:r>
                    <w:rPr>
                      <w:rFonts w:ascii="宋体" w:hAnsi="宋体" w:cs="宋体" w:eastAsia="宋体"/>
                      <w:sz w:val="20"/>
                    </w:rPr>
                    <w:t>（六）</w:t>
                  </w:r>
                  <w:r>
                    <w:rPr>
                      <w:rFonts w:ascii="宋体" w:hAnsi="宋体" w:cs="宋体" w:eastAsia="宋体"/>
                      <w:sz w:val="20"/>
                    </w:rPr>
                    <w:t>财税共享中心</w:t>
                  </w:r>
                  <w:r>
                    <w:rPr>
                      <w:rFonts w:ascii="宋体" w:hAnsi="宋体" w:cs="宋体" w:eastAsia="宋体"/>
                      <w:sz w:val="20"/>
                    </w:rPr>
                    <w:t>模块</w:t>
                  </w:r>
                </w:p>
                <w:p>
                  <w:pPr>
                    <w:pStyle w:val="null3"/>
                    <w:jc w:val="left"/>
                  </w:pPr>
                  <w:r>
                    <w:rPr>
                      <w:rFonts w:ascii="宋体" w:hAnsi="宋体" w:cs="宋体" w:eastAsia="宋体"/>
                      <w:sz w:val="20"/>
                    </w:rPr>
                    <w:t>1.会计核算</w:t>
                  </w:r>
                </w:p>
                <w:p>
                  <w:pPr>
                    <w:pStyle w:val="null3"/>
                    <w:jc w:val="left"/>
                  </w:pPr>
                  <w:r>
                    <w:rPr>
                      <w:rFonts w:ascii="宋体" w:hAnsi="宋体" w:cs="宋体" w:eastAsia="宋体"/>
                      <w:sz w:val="20"/>
                    </w:rPr>
                    <w:t>1.</w:t>
                  </w:r>
                  <w:r>
                    <w:rPr>
                      <w:rFonts w:ascii="宋体" w:hAnsi="宋体" w:cs="宋体" w:eastAsia="宋体"/>
                      <w:sz w:val="20"/>
                    </w:rPr>
                    <w:t>1根据企业真实财税工作平台推送任务处理财税业务。在智能财税共享模式下，可以支持大批量高效记账结账，使单人管理公司账务数量数倍提升，既提高财务工作效率，又能避免人为错误。</w:t>
                  </w:r>
                </w:p>
                <w:p>
                  <w:pPr>
                    <w:pStyle w:val="null3"/>
                    <w:jc w:val="left"/>
                  </w:pPr>
                  <w:r>
                    <w:rPr>
                      <w:rFonts w:ascii="宋体" w:hAnsi="宋体" w:cs="宋体" w:eastAsia="宋体"/>
                      <w:sz w:val="20"/>
                    </w:rPr>
                    <w:t>1.</w:t>
                  </w:r>
                  <w:r>
                    <w:rPr>
                      <w:rFonts w:ascii="宋体" w:hAnsi="宋体" w:cs="宋体" w:eastAsia="宋体"/>
                      <w:sz w:val="20"/>
                    </w:rPr>
                    <w:t>2账套设置：</w:t>
                  </w:r>
                </w:p>
                <w:p>
                  <w:pPr>
                    <w:pStyle w:val="null3"/>
                    <w:jc w:val="left"/>
                  </w:pPr>
                  <w:r>
                    <w:rPr>
                      <w:rFonts w:ascii="宋体" w:hAnsi="宋体" w:cs="宋体" w:eastAsia="宋体"/>
                      <w:sz w:val="20"/>
                    </w:rPr>
                    <w:t>账套列表、切换账套和个人中心。</w:t>
                  </w:r>
                </w:p>
                <w:p>
                  <w:pPr>
                    <w:pStyle w:val="null3"/>
                    <w:jc w:val="left"/>
                  </w:pPr>
                  <w:r>
                    <w:rPr>
                      <w:rFonts w:ascii="宋体" w:hAnsi="宋体" w:cs="宋体" w:eastAsia="宋体"/>
                      <w:sz w:val="20"/>
                    </w:rPr>
                    <w:t>1.</w:t>
                  </w:r>
                  <w:r>
                    <w:rPr>
                      <w:rFonts w:ascii="宋体" w:hAnsi="宋体" w:cs="宋体" w:eastAsia="宋体"/>
                      <w:sz w:val="20"/>
                    </w:rPr>
                    <w:t>3基础设置：</w:t>
                  </w:r>
                </w:p>
                <w:p>
                  <w:pPr>
                    <w:pStyle w:val="null3"/>
                    <w:jc w:val="left"/>
                  </w:pPr>
                  <w:r>
                    <w:rPr>
                      <w:rFonts w:ascii="宋体" w:hAnsi="宋体" w:cs="宋体" w:eastAsia="宋体"/>
                      <w:sz w:val="20"/>
                    </w:rPr>
                    <w:t>会计科目、科目期初、辅助核算、报表配置、账户、结算方式、会计引擎以及其他功能。</w:t>
                  </w:r>
                </w:p>
                <w:p>
                  <w:pPr>
                    <w:pStyle w:val="null3"/>
                    <w:jc w:val="left"/>
                  </w:pPr>
                  <w:r>
                    <w:rPr>
                      <w:rFonts w:ascii="宋体" w:hAnsi="宋体" w:cs="宋体" w:eastAsia="宋体"/>
                      <w:sz w:val="20"/>
                    </w:rPr>
                    <w:t>1.</w:t>
                  </w:r>
                  <w:r>
                    <w:rPr>
                      <w:rFonts w:ascii="宋体" w:hAnsi="宋体" w:cs="宋体" w:eastAsia="宋体"/>
                      <w:sz w:val="20"/>
                    </w:rPr>
                    <w:t>4报账</w:t>
                  </w:r>
                </w:p>
                <w:p>
                  <w:pPr>
                    <w:pStyle w:val="null3"/>
                    <w:jc w:val="left"/>
                  </w:pPr>
                  <w:r>
                    <w:rPr>
                      <w:rFonts w:ascii="宋体" w:hAnsi="宋体" w:cs="宋体" w:eastAsia="宋体"/>
                      <w:sz w:val="20"/>
                    </w:rPr>
                    <w:t>报账任务、费用报账、采购报账，销售报账、库存报账、资产报账、薪资报账、其他报账，所有报账单可以引用相应的会计引擎自动生成凭证，并按不同公司自动归集到不同的账套下。</w:t>
                  </w:r>
                </w:p>
                <w:p>
                  <w:pPr>
                    <w:pStyle w:val="null3"/>
                    <w:jc w:val="left"/>
                  </w:pPr>
                  <w:r>
                    <w:rPr>
                      <w:rFonts w:ascii="宋体" w:hAnsi="宋体" w:cs="宋体" w:eastAsia="宋体"/>
                      <w:sz w:val="20"/>
                    </w:rPr>
                    <w:t>1.</w:t>
                  </w:r>
                  <w:r>
                    <w:rPr>
                      <w:rFonts w:ascii="宋体" w:hAnsi="宋体" w:cs="宋体" w:eastAsia="宋体"/>
                      <w:sz w:val="20"/>
                    </w:rPr>
                    <w:t>5凭证</w:t>
                  </w:r>
                </w:p>
                <w:p>
                  <w:pPr>
                    <w:pStyle w:val="null3"/>
                    <w:jc w:val="left"/>
                  </w:pPr>
                  <w:r>
                    <w:rPr>
                      <w:rFonts w:ascii="宋体" w:hAnsi="宋体" w:cs="宋体" w:eastAsia="宋体"/>
                      <w:sz w:val="20"/>
                    </w:rPr>
                    <w:t>新增凭证、凭证管理、科目汇总表、票据制单和费用报销单制单。</w:t>
                  </w:r>
                </w:p>
                <w:p>
                  <w:pPr>
                    <w:pStyle w:val="null3"/>
                    <w:jc w:val="left"/>
                  </w:pPr>
                  <w:r>
                    <w:rPr>
                      <w:rFonts w:ascii="宋体" w:hAnsi="宋体" w:cs="宋体" w:eastAsia="宋体"/>
                      <w:sz w:val="20"/>
                    </w:rPr>
                    <w:t>智能记账生成凭证。</w:t>
                  </w:r>
                </w:p>
                <w:p>
                  <w:pPr>
                    <w:pStyle w:val="null3"/>
                    <w:jc w:val="left"/>
                  </w:pPr>
                  <w:r>
                    <w:rPr>
                      <w:rFonts w:ascii="宋体" w:hAnsi="宋体" w:cs="宋体" w:eastAsia="宋体"/>
                      <w:sz w:val="20"/>
                    </w:rPr>
                    <w:t>1.</w:t>
                  </w:r>
                  <w:r>
                    <w:rPr>
                      <w:rFonts w:ascii="宋体" w:hAnsi="宋体" w:cs="宋体" w:eastAsia="宋体"/>
                      <w:sz w:val="20"/>
                    </w:rPr>
                    <w:t>6账簿</w:t>
                  </w:r>
                </w:p>
                <w:p>
                  <w:pPr>
                    <w:pStyle w:val="null3"/>
                    <w:jc w:val="left"/>
                  </w:pPr>
                  <w:r>
                    <w:rPr>
                      <w:rFonts w:ascii="宋体" w:hAnsi="宋体" w:cs="宋体" w:eastAsia="宋体"/>
                      <w:sz w:val="20"/>
                    </w:rPr>
                    <w:t>科目总账、科目明细账、发生额及余额表、辅助明细账、辅助余额表、序时账、余额账龄分析、明细账龄分析、数量金额总账、数量金额明细账。</w:t>
                  </w:r>
                </w:p>
                <w:p>
                  <w:pPr>
                    <w:pStyle w:val="null3"/>
                    <w:jc w:val="left"/>
                  </w:pPr>
                  <w:r>
                    <w:rPr>
                      <w:rFonts w:ascii="宋体" w:hAnsi="宋体" w:cs="宋体" w:eastAsia="宋体"/>
                      <w:sz w:val="20"/>
                    </w:rPr>
                    <w:t>1.</w:t>
                  </w:r>
                  <w:r>
                    <w:rPr>
                      <w:rFonts w:ascii="宋体" w:hAnsi="宋体" w:cs="宋体" w:eastAsia="宋体"/>
                      <w:sz w:val="20"/>
                    </w:rPr>
                    <w:t>7报表</w:t>
                  </w:r>
                </w:p>
                <w:p>
                  <w:pPr>
                    <w:pStyle w:val="null3"/>
                    <w:jc w:val="left"/>
                  </w:pPr>
                  <w:r>
                    <w:rPr>
                      <w:rFonts w:ascii="宋体" w:hAnsi="宋体" w:cs="宋体" w:eastAsia="宋体"/>
                      <w:sz w:val="20"/>
                    </w:rPr>
                    <w:t>资产负债表（月报及季报）、利润表（月报及季报）、现金流量表、现金流量表季报。</w:t>
                  </w:r>
                </w:p>
                <w:p>
                  <w:pPr>
                    <w:pStyle w:val="null3"/>
                    <w:jc w:val="left"/>
                  </w:pPr>
                  <w:r>
                    <w:rPr>
                      <w:rFonts w:ascii="宋体" w:hAnsi="宋体" w:cs="宋体" w:eastAsia="宋体"/>
                      <w:sz w:val="20"/>
                    </w:rPr>
                    <w:t>1.</w:t>
                  </w:r>
                  <w:r>
                    <w:rPr>
                      <w:rFonts w:ascii="宋体" w:hAnsi="宋体" w:cs="宋体" w:eastAsia="宋体"/>
                      <w:sz w:val="20"/>
                    </w:rPr>
                    <w:t>8月末结账功能</w:t>
                  </w:r>
                </w:p>
                <w:p>
                  <w:pPr>
                    <w:pStyle w:val="null3"/>
                    <w:jc w:val="left"/>
                  </w:pPr>
                  <w:r>
                    <w:rPr>
                      <w:rFonts w:ascii="宋体" w:hAnsi="宋体" w:cs="宋体" w:eastAsia="宋体"/>
                      <w:sz w:val="20"/>
                    </w:rPr>
                    <w:t>可手动结转也可自动结转，系统预制结账方案：结账未交增值税、计提税金、减免两费、结转销售成本（按比例</w:t>
                  </w:r>
                  <w:r>
                    <w:rPr>
                      <w:rFonts w:ascii="宋体" w:hAnsi="宋体" w:cs="宋体" w:eastAsia="宋体"/>
                      <w:sz w:val="20"/>
                    </w:rPr>
                    <w:t>/按明细）、损益结转等。</w:t>
                  </w:r>
                </w:p>
                <w:p>
                  <w:pPr>
                    <w:pStyle w:val="null3"/>
                    <w:jc w:val="left"/>
                  </w:pPr>
                  <w:r>
                    <w:rPr>
                      <w:rFonts w:ascii="宋体" w:hAnsi="宋体" w:cs="宋体" w:eastAsia="宋体"/>
                      <w:sz w:val="20"/>
                    </w:rPr>
                    <w:t>1.</w:t>
                  </w:r>
                  <w:r>
                    <w:rPr>
                      <w:rFonts w:ascii="宋体" w:hAnsi="宋体" w:cs="宋体" w:eastAsia="宋体"/>
                      <w:sz w:val="20"/>
                    </w:rPr>
                    <w:t>9月末结账</w:t>
                  </w:r>
                </w:p>
                <w:p>
                  <w:pPr>
                    <w:pStyle w:val="null3"/>
                    <w:jc w:val="left"/>
                  </w:pPr>
                  <w:r>
                    <w:rPr>
                      <w:rFonts w:ascii="宋体" w:hAnsi="宋体" w:cs="宋体" w:eastAsia="宋体"/>
                      <w:sz w:val="20"/>
                    </w:rPr>
                    <w:t>期初余额检查（基于系统启用期间的检查，包含期初余额试算是否平衡、年初余额试算是否平衡、损益类科目是否存在期初</w:t>
                  </w:r>
                  <w:r>
                    <w:rPr>
                      <w:rFonts w:ascii="宋体" w:hAnsi="宋体" w:cs="宋体" w:eastAsia="宋体"/>
                      <w:sz w:val="20"/>
                    </w:rPr>
                    <w:t>/年初余额）、暂估凭证检查、本月的凭证数及审核情况检查、凭证断号及序时检查、损益结转检查、现金流量表检查、报表（资产负债表和利润表）检查、出纳签字检查。年底结账时，会自动对科目本年利润进行结转。月末结账时以前年度损益调整也会自动结转。</w:t>
                  </w:r>
                </w:p>
                <w:p>
                  <w:pPr>
                    <w:pStyle w:val="null3"/>
                    <w:jc w:val="left"/>
                  </w:pPr>
                  <w:r>
                    <w:rPr>
                      <w:rFonts w:ascii="宋体" w:hAnsi="宋体" w:cs="宋体" w:eastAsia="宋体"/>
                      <w:sz w:val="20"/>
                    </w:rPr>
                    <w:t>2.影像中心</w:t>
                  </w:r>
                </w:p>
                <w:p>
                  <w:pPr>
                    <w:pStyle w:val="null3"/>
                    <w:jc w:val="left"/>
                  </w:pPr>
                  <w:r>
                    <w:rPr>
                      <w:rFonts w:ascii="宋体" w:hAnsi="宋体" w:cs="宋体" w:eastAsia="宋体"/>
                      <w:sz w:val="20"/>
                    </w:rPr>
                    <w:t>2.</w:t>
                  </w:r>
                  <w:r>
                    <w:rPr>
                      <w:rFonts w:ascii="宋体" w:hAnsi="宋体" w:cs="宋体" w:eastAsia="宋体"/>
                      <w:sz w:val="20"/>
                    </w:rPr>
                    <w:t>1 提供可实现票据的自动识别和分类，为业务单据提供集中票据影像管理</w:t>
                  </w:r>
                </w:p>
                <w:p>
                  <w:pPr>
                    <w:pStyle w:val="null3"/>
                    <w:jc w:val="left"/>
                  </w:pPr>
                  <w:r>
                    <w:rPr>
                      <w:rFonts w:ascii="宋体" w:hAnsi="宋体" w:cs="宋体" w:eastAsia="宋体"/>
                      <w:sz w:val="20"/>
                    </w:rPr>
                    <w:t>2.2</w:t>
                  </w:r>
                  <w:r>
                    <w:rPr>
                      <w:rFonts w:ascii="宋体" w:hAnsi="宋体" w:cs="宋体" w:eastAsia="宋体"/>
                      <w:sz w:val="20"/>
                    </w:rPr>
                    <w:t>提供销售类增值税票据分类和审核：纸质（专票</w:t>
                  </w:r>
                  <w:r>
                    <w:rPr>
                      <w:rFonts w:ascii="宋体" w:hAnsi="宋体" w:cs="宋体" w:eastAsia="宋体"/>
                      <w:sz w:val="20"/>
                    </w:rPr>
                    <w:t>/普票）、电子（专票/普票）、数电票（专票/普票）</w:t>
                  </w:r>
                </w:p>
                <w:p>
                  <w:pPr>
                    <w:pStyle w:val="null3"/>
                    <w:jc w:val="left"/>
                  </w:pPr>
                  <w:r>
                    <w:rPr>
                      <w:rFonts w:ascii="宋体" w:hAnsi="宋体" w:cs="宋体" w:eastAsia="宋体"/>
                      <w:sz w:val="20"/>
                    </w:rPr>
                    <w:t>2.3</w:t>
                  </w:r>
                  <w:r>
                    <w:rPr>
                      <w:rFonts w:ascii="宋体" w:hAnsi="宋体" w:cs="宋体" w:eastAsia="宋体"/>
                      <w:sz w:val="20"/>
                    </w:rPr>
                    <w:t>提供采购类增值税票据分类和审核：纸质（专票</w:t>
                  </w:r>
                  <w:r>
                    <w:rPr>
                      <w:rFonts w:ascii="宋体" w:hAnsi="宋体" w:cs="宋体" w:eastAsia="宋体"/>
                      <w:sz w:val="20"/>
                    </w:rPr>
                    <w:t>/普票）、电子（专票/普票）、数电票（专票/普票）</w:t>
                  </w:r>
                </w:p>
                <w:p>
                  <w:pPr>
                    <w:pStyle w:val="null3"/>
                    <w:jc w:val="left"/>
                  </w:pPr>
                  <w:r>
                    <w:rPr>
                      <w:rFonts w:ascii="宋体" w:hAnsi="宋体" w:cs="宋体" w:eastAsia="宋体"/>
                      <w:sz w:val="20"/>
                    </w:rPr>
                    <w:t>2.4</w:t>
                  </w:r>
                  <w:r>
                    <w:rPr>
                      <w:rFonts w:ascii="宋体" w:hAnsi="宋体" w:cs="宋体" w:eastAsia="宋体"/>
                      <w:sz w:val="20"/>
                    </w:rPr>
                    <w:t>提供费用类票据分类和审核：增值税类、交通类、其他类票据</w:t>
                  </w:r>
                </w:p>
                <w:p>
                  <w:pPr>
                    <w:pStyle w:val="null3"/>
                    <w:jc w:val="left"/>
                  </w:pPr>
                  <w:r>
                    <w:rPr>
                      <w:rFonts w:ascii="宋体" w:hAnsi="宋体" w:cs="宋体" w:eastAsia="宋体"/>
                      <w:sz w:val="20"/>
                    </w:rPr>
                    <w:t>2.5</w:t>
                  </w:r>
                  <w:r>
                    <w:rPr>
                      <w:rFonts w:ascii="宋体" w:hAnsi="宋体" w:cs="宋体" w:eastAsia="宋体"/>
                      <w:sz w:val="20"/>
                    </w:rPr>
                    <w:t>提供结算类票据的识别和审核：银行回单、支票、汇票</w:t>
                  </w:r>
                </w:p>
                <w:p>
                  <w:pPr>
                    <w:pStyle w:val="null3"/>
                    <w:jc w:val="left"/>
                  </w:pPr>
                  <w:r>
                    <w:rPr>
                      <w:rFonts w:ascii="宋体" w:hAnsi="宋体" w:cs="宋体" w:eastAsia="宋体"/>
                      <w:sz w:val="20"/>
                    </w:rPr>
                    <w:t>2.6</w:t>
                  </w:r>
                  <w:r>
                    <w:rPr>
                      <w:rFonts w:ascii="宋体" w:hAnsi="宋体" w:cs="宋体" w:eastAsia="宋体"/>
                      <w:sz w:val="20"/>
                    </w:rPr>
                    <w:t>其他类票据管理和审核</w:t>
                  </w:r>
                </w:p>
                <w:p>
                  <w:pPr>
                    <w:pStyle w:val="null3"/>
                    <w:jc w:val="left"/>
                  </w:pPr>
                  <w:r>
                    <w:rPr>
                      <w:rFonts w:ascii="宋体" w:hAnsi="宋体" w:cs="宋体" w:eastAsia="宋体"/>
                      <w:sz w:val="20"/>
                    </w:rPr>
                    <w:t>3.运营中心</w:t>
                  </w:r>
                </w:p>
                <w:p>
                  <w:pPr>
                    <w:pStyle w:val="null3"/>
                    <w:jc w:val="left"/>
                  </w:pPr>
                  <w:r>
                    <w:rPr>
                      <w:rFonts w:ascii="宋体" w:hAnsi="宋体" w:cs="宋体" w:eastAsia="宋体"/>
                      <w:sz w:val="20"/>
                    </w:rPr>
                    <w:t>3.1账套管理：科目管理、账户管理、费用项目、部门管理、员工管理、项目管理、账套信息。</w:t>
                  </w:r>
                </w:p>
                <w:p>
                  <w:pPr>
                    <w:pStyle w:val="null3"/>
                    <w:jc w:val="left"/>
                  </w:pPr>
                  <w:r>
                    <w:rPr>
                      <w:rFonts w:ascii="宋体" w:hAnsi="宋体" w:cs="宋体" w:eastAsia="宋体"/>
                      <w:sz w:val="20"/>
                    </w:rPr>
                    <w:t>3.2购销存设置：客户管理、计量单位、商品/存货管理。</w:t>
                  </w:r>
                </w:p>
                <w:p>
                  <w:pPr>
                    <w:pStyle w:val="null3"/>
                    <w:jc w:val="left"/>
                  </w:pPr>
                  <w:r>
                    <w:rPr>
                      <w:rFonts w:ascii="宋体" w:hAnsi="宋体" w:cs="宋体" w:eastAsia="宋体"/>
                      <w:sz w:val="20"/>
                    </w:rPr>
                    <w:t>3.3资产</w:t>
                  </w:r>
                  <w:r>
                    <w:rPr>
                      <w:rFonts w:ascii="宋体" w:hAnsi="宋体" w:cs="宋体" w:eastAsia="宋体"/>
                      <w:sz w:val="20"/>
                    </w:rPr>
                    <w:t>会计引擎：</w:t>
                  </w:r>
                  <w:r>
                    <w:rPr>
                      <w:rFonts w:ascii="宋体" w:hAnsi="宋体" w:cs="宋体" w:eastAsia="宋体"/>
                      <w:sz w:val="20"/>
                    </w:rPr>
                    <w:t>资产分类设置、资本化科目设置、费用科目设置、数据资产存货引擎、无形资产引擎</w:t>
                  </w:r>
                  <w:r>
                    <w:rPr>
                      <w:rFonts w:ascii="宋体" w:hAnsi="宋体" w:cs="宋体" w:eastAsia="宋体"/>
                      <w:sz w:val="20"/>
                    </w:rPr>
                    <w:t>。</w:t>
                  </w:r>
                </w:p>
                <w:p>
                  <w:pPr>
                    <w:pStyle w:val="null3"/>
                    <w:jc w:val="left"/>
                  </w:pPr>
                  <w:r>
                    <w:rPr>
                      <w:rFonts w:ascii="宋体" w:hAnsi="宋体" w:cs="宋体" w:eastAsia="宋体"/>
                      <w:sz w:val="20"/>
                    </w:rPr>
                    <w:t>4.报账中心</w:t>
                  </w:r>
                </w:p>
                <w:p>
                  <w:pPr>
                    <w:pStyle w:val="null3"/>
                    <w:jc w:val="left"/>
                  </w:pPr>
                  <w:r>
                    <w:rPr>
                      <w:rFonts w:ascii="宋体" w:hAnsi="宋体" w:cs="宋体" w:eastAsia="宋体"/>
                      <w:sz w:val="20"/>
                    </w:rPr>
                    <w:t>4.</w:t>
                  </w:r>
                  <w:r>
                    <w:rPr>
                      <w:rFonts w:ascii="宋体" w:hAnsi="宋体" w:cs="宋体" w:eastAsia="宋体"/>
                      <w:sz w:val="20"/>
                    </w:rPr>
                    <w:t>1报账任务：待办任务、已办任务、任务池、任务流程配置。</w:t>
                  </w:r>
                </w:p>
                <w:p>
                  <w:pPr>
                    <w:pStyle w:val="null3"/>
                    <w:jc w:val="left"/>
                  </w:pPr>
                  <w:r>
                    <w:rPr>
                      <w:rFonts w:ascii="宋体" w:hAnsi="宋体" w:cs="宋体" w:eastAsia="宋体"/>
                      <w:sz w:val="20"/>
                    </w:rPr>
                    <w:t>4.</w:t>
                  </w:r>
                  <w:r>
                    <w:rPr>
                      <w:rFonts w:ascii="宋体" w:hAnsi="宋体" w:cs="宋体" w:eastAsia="宋体"/>
                      <w:sz w:val="20"/>
                    </w:rPr>
                    <w:t>2 费用报账：费用报账单、借款单、还款单、借款管理。</w:t>
                  </w:r>
                </w:p>
                <w:p>
                  <w:pPr>
                    <w:pStyle w:val="null3"/>
                    <w:jc w:val="left"/>
                  </w:pPr>
                  <w:r>
                    <w:rPr>
                      <w:rFonts w:ascii="宋体" w:hAnsi="宋体" w:cs="宋体" w:eastAsia="宋体"/>
                      <w:sz w:val="20"/>
                    </w:rPr>
                    <w:t>4.3</w:t>
                  </w:r>
                  <w:r>
                    <w:rPr>
                      <w:rFonts w:ascii="宋体" w:hAnsi="宋体" w:cs="宋体" w:eastAsia="宋体"/>
                      <w:sz w:val="20"/>
                    </w:rPr>
                    <w:t xml:space="preserve"> </w:t>
                  </w:r>
                  <w:r>
                    <w:rPr>
                      <w:rFonts w:ascii="宋体" w:hAnsi="宋体" w:cs="宋体" w:eastAsia="宋体"/>
                      <w:sz w:val="20"/>
                    </w:rPr>
                    <w:t>资产报账：</w:t>
                  </w:r>
                  <w:r>
                    <w:rPr>
                      <w:rFonts w:ascii="宋体" w:hAnsi="宋体" w:cs="宋体" w:eastAsia="宋体"/>
                      <w:sz w:val="20"/>
                    </w:rPr>
                    <w:t>数据资产初始报账</w:t>
                  </w:r>
                  <w:r>
                    <w:rPr>
                      <w:rFonts w:ascii="宋体" w:hAnsi="宋体" w:cs="宋体" w:eastAsia="宋体"/>
                      <w:sz w:val="20"/>
                    </w:rPr>
                    <w:t>、</w:t>
                  </w:r>
                  <w:r>
                    <w:rPr>
                      <w:rFonts w:ascii="宋体" w:hAnsi="宋体" w:cs="宋体" w:eastAsia="宋体"/>
                      <w:sz w:val="20"/>
                    </w:rPr>
                    <w:t>数据资产收入报账</w:t>
                  </w:r>
                  <w:r>
                    <w:rPr>
                      <w:rFonts w:ascii="宋体" w:hAnsi="宋体" w:cs="宋体" w:eastAsia="宋体"/>
                      <w:sz w:val="20"/>
                    </w:rPr>
                    <w:t>、</w:t>
                  </w:r>
                  <w:r>
                    <w:rPr>
                      <w:rFonts w:ascii="宋体" w:hAnsi="宋体" w:cs="宋体" w:eastAsia="宋体"/>
                      <w:sz w:val="20"/>
                    </w:rPr>
                    <w:t>数据资产摊销报账、数据资产减值报账、数据资产处置报账</w:t>
                  </w:r>
                  <w:r>
                    <w:rPr>
                      <w:rFonts w:ascii="宋体" w:hAnsi="宋体" w:cs="宋体" w:eastAsia="宋体"/>
                      <w:sz w:val="20"/>
                    </w:rPr>
                    <w:t>。</w:t>
                  </w:r>
                </w:p>
                <w:p>
                  <w:pPr>
                    <w:pStyle w:val="null3"/>
                    <w:jc w:val="left"/>
                  </w:pPr>
                  <w:r>
                    <w:rPr>
                      <w:rFonts w:ascii="宋体" w:hAnsi="宋体" w:cs="宋体" w:eastAsia="宋体"/>
                      <w:sz w:val="20"/>
                    </w:rPr>
                    <w:t>4.4</w:t>
                  </w:r>
                  <w:r>
                    <w:rPr>
                      <w:rFonts w:ascii="宋体" w:hAnsi="宋体" w:cs="宋体" w:eastAsia="宋体"/>
                      <w:sz w:val="20"/>
                    </w:rPr>
                    <w:t xml:space="preserve"> </w:t>
                  </w:r>
                  <w:r>
                    <w:rPr>
                      <w:rFonts w:ascii="宋体" w:hAnsi="宋体" w:cs="宋体" w:eastAsia="宋体"/>
                      <w:sz w:val="20"/>
                    </w:rPr>
                    <w:t>薪资报账：薪资报账单、薪资发放单、计提经费报账单、计提社保报账单。</w:t>
                  </w:r>
                </w:p>
                <w:p>
                  <w:pPr>
                    <w:pStyle w:val="null3"/>
                    <w:jc w:val="left"/>
                  </w:pPr>
                  <w:r>
                    <w:rPr>
                      <w:rFonts w:ascii="宋体" w:hAnsi="宋体" w:cs="宋体" w:eastAsia="宋体"/>
                      <w:sz w:val="20"/>
                    </w:rPr>
                    <w:t>（七）教学管理模块</w:t>
                  </w:r>
                </w:p>
                <w:p>
                  <w:pPr>
                    <w:pStyle w:val="null3"/>
                    <w:jc w:val="left"/>
                  </w:pPr>
                  <w:r>
                    <w:rPr>
                      <w:rFonts w:ascii="宋体" w:hAnsi="宋体" w:cs="宋体" w:eastAsia="宋体"/>
                      <w:sz w:val="20"/>
                    </w:rPr>
                    <w:t>1.教务管理</w:t>
                  </w:r>
                </w:p>
                <w:p>
                  <w:pPr>
                    <w:pStyle w:val="null3"/>
                    <w:jc w:val="left"/>
                  </w:pPr>
                  <w:r>
                    <w:rPr>
                      <w:rFonts w:ascii="宋体" w:hAnsi="宋体" w:cs="宋体" w:eastAsia="宋体"/>
                      <w:sz w:val="20"/>
                    </w:rPr>
                    <w:t>1.1学生管理</w:t>
                  </w:r>
                </w:p>
                <w:p>
                  <w:pPr>
                    <w:pStyle w:val="null3"/>
                    <w:jc w:val="left"/>
                  </w:pPr>
                  <w:r>
                    <w:rPr>
                      <w:rFonts w:ascii="宋体" w:hAnsi="宋体" w:cs="宋体" w:eastAsia="宋体"/>
                      <w:sz w:val="20"/>
                    </w:rPr>
                    <w:t>系统管理员可创建管理学生账号，可进行查询、添加、批量导入、批量导出、批量删除等操作。系统可记录学生姓名、身份证号、入学年份、手机号、班级等信息，便于管理员进行学生管理。</w:t>
                  </w:r>
                </w:p>
                <w:p>
                  <w:pPr>
                    <w:pStyle w:val="null3"/>
                    <w:jc w:val="left"/>
                  </w:pPr>
                  <w:r>
                    <w:rPr>
                      <w:rFonts w:ascii="宋体" w:hAnsi="宋体" w:cs="宋体" w:eastAsia="宋体"/>
                      <w:sz w:val="20"/>
                    </w:rPr>
                    <w:t>1.2教师管理</w:t>
                  </w:r>
                </w:p>
                <w:p>
                  <w:pPr>
                    <w:pStyle w:val="null3"/>
                    <w:jc w:val="left"/>
                  </w:pPr>
                  <w:r>
                    <w:rPr>
                      <w:rFonts w:ascii="宋体" w:hAnsi="宋体" w:cs="宋体" w:eastAsia="宋体"/>
                      <w:sz w:val="20"/>
                    </w:rPr>
                    <w:t>系统管理员可创建管理教师账号，可进行查询、添加、批量导入、批量删除等操作。系统可记录教师姓名、身份证号、手机号等信息，便于管理员进行教师管理。</w:t>
                  </w:r>
                </w:p>
                <w:p>
                  <w:pPr>
                    <w:pStyle w:val="null3"/>
                    <w:jc w:val="left"/>
                  </w:pPr>
                  <w:r>
                    <w:rPr>
                      <w:rFonts w:ascii="宋体" w:hAnsi="宋体" w:cs="宋体" w:eastAsia="宋体"/>
                      <w:sz w:val="20"/>
                    </w:rPr>
                    <w:t>1.3组织管理</w:t>
                  </w:r>
                </w:p>
                <w:p>
                  <w:pPr>
                    <w:pStyle w:val="null3"/>
                    <w:jc w:val="left"/>
                  </w:pPr>
                  <w:r>
                    <w:rPr>
                      <w:rFonts w:ascii="宋体" w:hAnsi="宋体" w:cs="宋体" w:eastAsia="宋体"/>
                      <w:sz w:val="20"/>
                    </w:rPr>
                    <w:t>1.3.1组织机构。可以在组织机构内创建一级和二级组织，可以设置每个组织开通哪些产品。</w:t>
                  </w:r>
                </w:p>
                <w:p>
                  <w:pPr>
                    <w:pStyle w:val="null3"/>
                    <w:jc w:val="left"/>
                  </w:pPr>
                  <w:r>
                    <w:rPr>
                      <w:rFonts w:ascii="宋体" w:hAnsi="宋体" w:cs="宋体" w:eastAsia="宋体"/>
                      <w:sz w:val="20"/>
                    </w:rPr>
                    <w:t>1.3.2班级管理。可以创建管理行政班，并可以进行班级内学生的创建管理。支持学生账号的批量导入和导出等操作。</w:t>
                  </w:r>
                </w:p>
                <w:p>
                  <w:pPr>
                    <w:pStyle w:val="null3"/>
                    <w:jc w:val="left"/>
                  </w:pPr>
                  <w:r>
                    <w:rPr>
                      <w:rFonts w:ascii="宋体" w:hAnsi="宋体" w:cs="宋体" w:eastAsia="宋体"/>
                      <w:sz w:val="20"/>
                    </w:rPr>
                    <w:t>1.3.3角色权限。可以创建编辑管理员角色，每个角色的权限可以不同。</w:t>
                  </w:r>
                </w:p>
                <w:p>
                  <w:pPr>
                    <w:pStyle w:val="null3"/>
                    <w:jc w:val="left"/>
                  </w:pPr>
                  <w:r>
                    <w:rPr>
                      <w:rFonts w:ascii="宋体" w:hAnsi="宋体" w:cs="宋体" w:eastAsia="宋体"/>
                      <w:sz w:val="20"/>
                    </w:rPr>
                    <w:t>1.3.4设置管理员。可以进行管理员账号的创建、编辑、重置密码等操作。</w:t>
                  </w:r>
                </w:p>
                <w:p>
                  <w:pPr>
                    <w:pStyle w:val="null3"/>
                    <w:jc w:val="left"/>
                  </w:pPr>
                  <w:r>
                    <w:rPr>
                      <w:rFonts w:ascii="宋体" w:hAnsi="宋体" w:cs="宋体" w:eastAsia="宋体"/>
                      <w:sz w:val="20"/>
                    </w:rPr>
                    <w:t>1.4整体数据</w:t>
                  </w:r>
                </w:p>
                <w:p>
                  <w:pPr>
                    <w:pStyle w:val="null3"/>
                    <w:jc w:val="left"/>
                  </w:pPr>
                  <w:r>
                    <w:rPr>
                      <w:rFonts w:ascii="宋体" w:hAnsi="宋体" w:cs="宋体" w:eastAsia="宋体"/>
                      <w:sz w:val="20"/>
                    </w:rPr>
                    <w:t>1.4.1运营数据。机构开通天数、教学班、行政班、管理员、教师、学生数量以及按时间查看新增注册用户数；</w:t>
                  </w:r>
                </w:p>
                <w:p>
                  <w:pPr>
                    <w:pStyle w:val="null3"/>
                    <w:jc w:val="left"/>
                  </w:pPr>
                  <w:r>
                    <w:rPr>
                      <w:rFonts w:ascii="宋体" w:hAnsi="宋体" w:cs="宋体" w:eastAsia="宋体"/>
                      <w:sz w:val="20"/>
                    </w:rPr>
                    <w:t>1.4.2专业人数统计。查看课程未学人数、在学人数和已学人数，也可查看学生选课量排行和教师授课学员数排行；</w:t>
                  </w:r>
                </w:p>
                <w:p>
                  <w:pPr>
                    <w:pStyle w:val="null3"/>
                    <w:jc w:val="left"/>
                  </w:pPr>
                  <w:r>
                    <w:rPr>
                      <w:rFonts w:ascii="宋体" w:hAnsi="宋体" w:cs="宋体" w:eastAsia="宋体"/>
                      <w:sz w:val="20"/>
                    </w:rPr>
                    <w:t>1.4.3学习时长统计。查看课程的学习时长趋势，教学班平均学习时长排行和学生学习时长排行；</w:t>
                  </w:r>
                </w:p>
                <w:p>
                  <w:pPr>
                    <w:pStyle w:val="null3"/>
                    <w:jc w:val="left"/>
                  </w:pPr>
                  <w:r>
                    <w:rPr>
                      <w:rFonts w:ascii="宋体" w:hAnsi="宋体" w:cs="宋体" w:eastAsia="宋体"/>
                      <w:sz w:val="20"/>
                    </w:rPr>
                    <w:t>1.4.4测验统计。可查看历次测验平均分，以及班级最低分、最高分、平均分。</w:t>
                  </w:r>
                </w:p>
                <w:p>
                  <w:pPr>
                    <w:pStyle w:val="null3"/>
                    <w:jc w:val="left"/>
                  </w:pPr>
                  <w:r>
                    <w:rPr>
                      <w:rFonts w:ascii="宋体" w:hAnsi="宋体" w:cs="宋体" w:eastAsia="宋体"/>
                      <w:sz w:val="20"/>
                    </w:rPr>
                    <w:t>1.5资源统计：</w:t>
                  </w:r>
                </w:p>
                <w:p>
                  <w:pPr>
                    <w:pStyle w:val="null3"/>
                    <w:jc w:val="left"/>
                  </w:pPr>
                  <w:r>
                    <w:rPr>
                      <w:rFonts w:ascii="宋体" w:hAnsi="宋体" w:cs="宋体" w:eastAsia="宋体"/>
                      <w:sz w:val="20"/>
                    </w:rPr>
                    <w:t>1.5.1产品统计。开通产品数，课程资源数，试卷资源数；</w:t>
                  </w:r>
                </w:p>
                <w:p>
                  <w:pPr>
                    <w:pStyle w:val="null3"/>
                    <w:jc w:val="left"/>
                  </w:pPr>
                  <w:r>
                    <w:rPr>
                      <w:rFonts w:ascii="宋体" w:hAnsi="宋体" w:cs="宋体" w:eastAsia="宋体"/>
                      <w:sz w:val="20"/>
                    </w:rPr>
                    <w:t>1.5.2素材统计。素材总数、总量、视频总时长、媒体类型分类及活跃资源占比；</w:t>
                  </w:r>
                </w:p>
                <w:p>
                  <w:pPr>
                    <w:pStyle w:val="null3"/>
                    <w:jc w:val="left"/>
                  </w:pPr>
                  <w:r>
                    <w:rPr>
                      <w:rFonts w:ascii="宋体" w:hAnsi="宋体" w:cs="宋体" w:eastAsia="宋体"/>
                      <w:sz w:val="20"/>
                    </w:rPr>
                    <w:t>1.5.3题目统计。题库总量及分类（按主客观、题型、难度）。</w:t>
                  </w:r>
                </w:p>
                <w:p>
                  <w:pPr>
                    <w:pStyle w:val="null3"/>
                    <w:jc w:val="left"/>
                  </w:pPr>
                  <w:r>
                    <w:rPr>
                      <w:rFonts w:ascii="宋体" w:hAnsi="宋体" w:cs="宋体" w:eastAsia="宋体"/>
                      <w:sz w:val="20"/>
                    </w:rPr>
                    <w:t>2.课程管理</w:t>
                  </w:r>
                </w:p>
                <w:p>
                  <w:pPr>
                    <w:pStyle w:val="null3"/>
                    <w:jc w:val="left"/>
                  </w:pPr>
                  <w:r>
                    <w:rPr>
                      <w:rFonts w:ascii="宋体" w:hAnsi="宋体" w:cs="宋体" w:eastAsia="宋体"/>
                      <w:sz w:val="20"/>
                    </w:rPr>
                    <w:t>2.1备课</w:t>
                  </w:r>
                </w:p>
                <w:p>
                  <w:pPr>
                    <w:pStyle w:val="null3"/>
                    <w:jc w:val="left"/>
                  </w:pPr>
                  <w:r>
                    <w:rPr>
                      <w:rFonts w:ascii="宋体" w:hAnsi="宋体" w:cs="宋体" w:eastAsia="宋体"/>
                      <w:sz w:val="20"/>
                    </w:rPr>
                    <w:t>教师可在课程目录中上传自己的课件素材，可创建作业任务。添加的素材可设置是否允许下载，创建的作业支持上传附件。</w:t>
                  </w:r>
                </w:p>
                <w:p>
                  <w:pPr>
                    <w:pStyle w:val="null3"/>
                    <w:jc w:val="left"/>
                  </w:pPr>
                  <w:r>
                    <w:rPr>
                      <w:rFonts w:ascii="宋体" w:hAnsi="宋体" w:cs="宋体" w:eastAsia="宋体"/>
                      <w:sz w:val="20"/>
                    </w:rPr>
                    <w:t>2.2开课管理</w:t>
                  </w:r>
                </w:p>
                <w:p>
                  <w:pPr>
                    <w:pStyle w:val="null3"/>
                    <w:jc w:val="left"/>
                  </w:pPr>
                  <w:r>
                    <w:rPr>
                      <w:rFonts w:ascii="宋体" w:hAnsi="宋体" w:cs="宋体" w:eastAsia="宋体"/>
                      <w:sz w:val="20"/>
                    </w:rPr>
                    <w:t>教师可用编辑好的课程进行开班课操作，开班后可以把学生添加到班课中。支持直接在系统中导入学生。</w:t>
                  </w:r>
                </w:p>
                <w:p>
                  <w:pPr>
                    <w:pStyle w:val="null3"/>
                    <w:jc w:val="left"/>
                  </w:pPr>
                  <w:r>
                    <w:rPr>
                      <w:rFonts w:ascii="宋体" w:hAnsi="宋体" w:cs="宋体" w:eastAsia="宋体"/>
                      <w:sz w:val="20"/>
                    </w:rPr>
                    <w:t>2.3课程学习</w:t>
                  </w:r>
                </w:p>
                <w:p>
                  <w:pPr>
                    <w:pStyle w:val="null3"/>
                    <w:jc w:val="left"/>
                  </w:pPr>
                  <w:r>
                    <w:rPr>
                      <w:rFonts w:ascii="宋体" w:hAnsi="宋体" w:cs="宋体" w:eastAsia="宋体"/>
                      <w:sz w:val="20"/>
                    </w:rPr>
                    <w:t>学生和教师可在系统中进行教学互动，学生学习课程过程系统可记录统计。学生可看到学习记录和学习进度。</w:t>
                  </w:r>
                </w:p>
                <w:p>
                  <w:pPr>
                    <w:pStyle w:val="null3"/>
                    <w:jc w:val="left"/>
                  </w:pPr>
                  <w:r>
                    <w:rPr>
                      <w:rFonts w:ascii="宋体" w:hAnsi="宋体" w:cs="宋体" w:eastAsia="宋体"/>
                      <w:sz w:val="20"/>
                    </w:rPr>
                    <w:t>2.4班级设置</w:t>
                  </w:r>
                </w:p>
                <w:p>
                  <w:pPr>
                    <w:pStyle w:val="null3"/>
                    <w:jc w:val="left"/>
                  </w:pPr>
                  <w:r>
                    <w:rPr>
                      <w:rFonts w:ascii="宋体" w:hAnsi="宋体" w:cs="宋体" w:eastAsia="宋体"/>
                      <w:sz w:val="20"/>
                    </w:rPr>
                    <w:t>2.4.1导航设置。可以设置教师端和学生端开启的功能栏目，并可以拖动进行排序。</w:t>
                  </w:r>
                </w:p>
                <w:p>
                  <w:pPr>
                    <w:pStyle w:val="null3"/>
                    <w:jc w:val="left"/>
                  </w:pPr>
                  <w:r>
                    <w:rPr>
                      <w:rFonts w:ascii="宋体" w:hAnsi="宋体" w:cs="宋体" w:eastAsia="宋体"/>
                      <w:sz w:val="20"/>
                    </w:rPr>
                    <w:t>2.4.2助教设置。可以在班级里添加多个助教，可以设置助教的权限范围。</w:t>
                  </w:r>
                </w:p>
                <w:p>
                  <w:pPr>
                    <w:pStyle w:val="null3"/>
                    <w:jc w:val="left"/>
                  </w:pPr>
                  <w:r>
                    <w:rPr>
                      <w:rFonts w:ascii="宋体" w:hAnsi="宋体" w:cs="宋体" w:eastAsia="宋体"/>
                      <w:sz w:val="20"/>
                    </w:rPr>
                    <w:t>2.4.3实训设置。可以批量设置实训目录内实训题的答案状态，可选择开放或隐藏。</w:t>
                  </w:r>
                </w:p>
                <w:p>
                  <w:pPr>
                    <w:pStyle w:val="null3"/>
                    <w:jc w:val="left"/>
                  </w:pPr>
                  <w:r>
                    <w:rPr>
                      <w:rFonts w:ascii="宋体" w:hAnsi="宋体" w:cs="宋体" w:eastAsia="宋体"/>
                      <w:sz w:val="20"/>
                    </w:rPr>
                    <w:t>3.教学工具</w:t>
                  </w:r>
                </w:p>
                <w:p>
                  <w:pPr>
                    <w:pStyle w:val="null3"/>
                    <w:jc w:val="left"/>
                  </w:pPr>
                  <w:r>
                    <w:rPr>
                      <w:rFonts w:ascii="宋体" w:hAnsi="宋体" w:cs="宋体" w:eastAsia="宋体"/>
                      <w:sz w:val="20"/>
                    </w:rPr>
                    <w:t>3.1讨论答疑</w:t>
                  </w:r>
                </w:p>
                <w:p>
                  <w:pPr>
                    <w:pStyle w:val="null3"/>
                    <w:jc w:val="left"/>
                  </w:pPr>
                  <w:r>
                    <w:rPr>
                      <w:rFonts w:ascii="宋体" w:hAnsi="宋体" w:cs="宋体" w:eastAsia="宋体"/>
                      <w:sz w:val="20"/>
                    </w:rPr>
                    <w:t>话题讨论功能模块，让老师与学生频繁互动，项目进行过程中遇到问题、难点及时交流、反馈，让问题落地解决。</w:t>
                  </w:r>
                </w:p>
                <w:p>
                  <w:pPr>
                    <w:pStyle w:val="null3"/>
                    <w:jc w:val="left"/>
                  </w:pPr>
                  <w:r>
                    <w:rPr>
                      <w:rFonts w:ascii="宋体" w:hAnsi="宋体" w:cs="宋体" w:eastAsia="宋体"/>
                      <w:sz w:val="20"/>
                    </w:rPr>
                    <w:t>3.2笔记</w:t>
                  </w:r>
                </w:p>
                <w:p>
                  <w:pPr>
                    <w:pStyle w:val="null3"/>
                    <w:jc w:val="left"/>
                  </w:pPr>
                  <w:r>
                    <w:rPr>
                      <w:rFonts w:ascii="宋体" w:hAnsi="宋体" w:cs="宋体" w:eastAsia="宋体"/>
                      <w:sz w:val="20"/>
                    </w:rPr>
                    <w:t>学生在学习过程中随时可以记录想法、问题等，可根据章节目录进行查询。老师可以查看学生笔记，学生之间、师生之间可以互评笔记。</w:t>
                  </w:r>
                </w:p>
                <w:p>
                  <w:pPr>
                    <w:pStyle w:val="null3"/>
                    <w:jc w:val="left"/>
                  </w:pPr>
                  <w:r>
                    <w:rPr>
                      <w:rFonts w:ascii="宋体" w:hAnsi="宋体" w:cs="宋体" w:eastAsia="宋体"/>
                      <w:sz w:val="20"/>
                    </w:rPr>
                    <w:t>3.3课程通知</w:t>
                  </w:r>
                </w:p>
                <w:p>
                  <w:pPr>
                    <w:pStyle w:val="null3"/>
                    <w:jc w:val="left"/>
                  </w:pPr>
                  <w:r>
                    <w:rPr>
                      <w:rFonts w:ascii="宋体" w:hAnsi="宋体" w:cs="宋体" w:eastAsia="宋体"/>
                      <w:sz w:val="20"/>
                    </w:rPr>
                    <w:t>教师在课程教学当中可以向所教班级发布课程通知，学生可查看课程通知，达到师生之间信息互通的目的。</w:t>
                  </w:r>
                </w:p>
                <w:p>
                  <w:pPr>
                    <w:pStyle w:val="null3"/>
                    <w:jc w:val="left"/>
                  </w:pPr>
                  <w:r>
                    <w:rPr>
                      <w:rFonts w:ascii="宋体" w:hAnsi="宋体" w:cs="宋体" w:eastAsia="宋体"/>
                      <w:sz w:val="20"/>
                    </w:rPr>
                    <w:t>3.4课后作业</w:t>
                  </w:r>
                </w:p>
                <w:p>
                  <w:pPr>
                    <w:pStyle w:val="null3"/>
                    <w:jc w:val="left"/>
                  </w:pPr>
                  <w:r>
                    <w:rPr>
                      <w:rFonts w:ascii="宋体" w:hAnsi="宋体" w:cs="宋体" w:eastAsia="宋体"/>
                      <w:sz w:val="20"/>
                    </w:rPr>
                    <w:t>教师可以下发作业给学生，并可以对上交的作业进行批阅打分。学生可在线提交作业，作业支持在线书写并可上传附件。</w:t>
                  </w:r>
                </w:p>
                <w:p>
                  <w:pPr>
                    <w:pStyle w:val="null3"/>
                    <w:jc w:val="left"/>
                  </w:pPr>
                  <w:r>
                    <w:rPr>
                      <w:rFonts w:ascii="宋体" w:hAnsi="宋体" w:cs="宋体" w:eastAsia="宋体"/>
                      <w:sz w:val="20"/>
                    </w:rPr>
                    <w:t>3.5板书记录</w:t>
                  </w:r>
                </w:p>
                <w:p>
                  <w:pPr>
                    <w:pStyle w:val="null3"/>
                    <w:jc w:val="left"/>
                  </w:pPr>
                  <w:r>
                    <w:rPr>
                      <w:rFonts w:ascii="宋体" w:hAnsi="宋体" w:cs="宋体" w:eastAsia="宋体"/>
                      <w:sz w:val="20"/>
                    </w:rPr>
                    <w:t>老师在上课模式保存的板书，会以目录分类的方式进行存储，在板书记录中可以进行查看、添加、删除、修改等操作，学生也可以在板书记录中进行查看。</w:t>
                  </w:r>
                </w:p>
                <w:p>
                  <w:pPr>
                    <w:pStyle w:val="null3"/>
                    <w:jc w:val="left"/>
                  </w:pPr>
                  <w:r>
                    <w:rPr>
                      <w:rFonts w:ascii="宋体" w:hAnsi="宋体" w:cs="宋体" w:eastAsia="宋体"/>
                      <w:sz w:val="20"/>
                    </w:rPr>
                    <w:t>3.6学习排名</w:t>
                  </w:r>
                </w:p>
                <w:p>
                  <w:pPr>
                    <w:pStyle w:val="null3"/>
                    <w:jc w:val="left"/>
                  </w:pPr>
                  <w:r>
                    <w:rPr>
                      <w:rFonts w:ascii="宋体" w:hAnsi="宋体" w:cs="宋体" w:eastAsia="宋体"/>
                      <w:sz w:val="20"/>
                    </w:rPr>
                    <w:t>3.6.1学习进度统计。可查看课程进度、不同类型资源（视频、文档、试题、测验等）完成进度、学习轨迹以及课件学习时长（个人时长、班级最高时长及班级平均时长）；</w:t>
                  </w:r>
                </w:p>
                <w:p>
                  <w:pPr>
                    <w:pStyle w:val="null3"/>
                    <w:jc w:val="left"/>
                  </w:pPr>
                  <w:r>
                    <w:rPr>
                      <w:rFonts w:ascii="宋体" w:hAnsi="宋体" w:cs="宋体" w:eastAsia="宋体"/>
                      <w:sz w:val="20"/>
                    </w:rPr>
                    <w:t>3.6.2笔记、讨论统计。包含学生在班课内的公开笔记数、讨论主题数、回复和评论数；</w:t>
                  </w:r>
                </w:p>
                <w:p>
                  <w:pPr>
                    <w:pStyle w:val="null3"/>
                    <w:jc w:val="left"/>
                  </w:pPr>
                  <w:r>
                    <w:rPr>
                      <w:rFonts w:ascii="宋体" w:hAnsi="宋体" w:cs="宋体" w:eastAsia="宋体"/>
                      <w:sz w:val="20"/>
                    </w:rPr>
                    <w:t>3.6.3测验统计。可查看个人分数、班级最高分及平均分，历次测验平均分以及每次测验的名次；</w:t>
                  </w:r>
                </w:p>
                <w:p>
                  <w:pPr>
                    <w:pStyle w:val="null3"/>
                    <w:jc w:val="left"/>
                  </w:pPr>
                  <w:r>
                    <w:rPr>
                      <w:rFonts w:ascii="宋体" w:hAnsi="宋体" w:cs="宋体" w:eastAsia="宋体"/>
                      <w:sz w:val="20"/>
                    </w:rPr>
                    <w:t>3.6.4班级排名。根据课程进度、实操进度、测验进度、测验平均分、笔记和讨论数等综合数据进行班内排名。</w:t>
                  </w:r>
                </w:p>
                <w:p>
                  <w:pPr>
                    <w:pStyle w:val="null3"/>
                    <w:jc w:val="left"/>
                  </w:pPr>
                  <w:r>
                    <w:rPr>
                      <w:rFonts w:ascii="宋体" w:hAnsi="宋体" w:cs="宋体" w:eastAsia="宋体"/>
                      <w:sz w:val="20"/>
                    </w:rPr>
                    <w:t>4.实训</w:t>
                  </w:r>
                </w:p>
                <w:p>
                  <w:pPr>
                    <w:pStyle w:val="null3"/>
                    <w:jc w:val="left"/>
                  </w:pPr>
                  <w:r>
                    <w:rPr>
                      <w:rFonts w:ascii="宋体" w:hAnsi="宋体" w:cs="宋体" w:eastAsia="宋体"/>
                      <w:sz w:val="20"/>
                    </w:rPr>
                    <w:t>4.1实训</w:t>
                  </w:r>
                </w:p>
                <w:p>
                  <w:pPr>
                    <w:pStyle w:val="null3"/>
                    <w:jc w:val="left"/>
                  </w:pPr>
                  <w:r>
                    <w:rPr>
                      <w:rFonts w:ascii="宋体" w:hAnsi="宋体" w:cs="宋体" w:eastAsia="宋体"/>
                      <w:sz w:val="20"/>
                    </w:rPr>
                    <w:t>教师可使用实训课程进行学生培训，通过实训课程可进入业务实操系统进行实操训练。</w:t>
                  </w:r>
                </w:p>
                <w:p>
                  <w:pPr>
                    <w:pStyle w:val="null3"/>
                    <w:jc w:val="left"/>
                  </w:pPr>
                  <w:r>
                    <w:rPr>
                      <w:rFonts w:ascii="宋体" w:hAnsi="宋体" w:cs="宋体" w:eastAsia="宋体"/>
                      <w:sz w:val="20"/>
                    </w:rPr>
                    <w:t>4.2业务实操系统</w:t>
                  </w:r>
                </w:p>
                <w:p>
                  <w:pPr>
                    <w:pStyle w:val="null3"/>
                    <w:jc w:val="left"/>
                  </w:pPr>
                  <w:r>
                    <w:rPr>
                      <w:rFonts w:ascii="宋体" w:hAnsi="宋体" w:cs="宋体" w:eastAsia="宋体"/>
                      <w:sz w:val="20"/>
                    </w:rPr>
                    <w:t>系统提供大数据软件平台等功能，无缝衔接实训教学平台，实现双向跳转。</w:t>
                  </w:r>
                </w:p>
                <w:p>
                  <w:pPr>
                    <w:pStyle w:val="null3"/>
                    <w:jc w:val="left"/>
                  </w:pPr>
                  <w:r>
                    <w:rPr>
                      <w:rFonts w:ascii="宋体" w:hAnsi="宋体" w:cs="宋体" w:eastAsia="宋体"/>
                      <w:sz w:val="20"/>
                    </w:rPr>
                    <w:t>5.数据统计</w:t>
                  </w:r>
                </w:p>
                <w:p>
                  <w:pPr>
                    <w:pStyle w:val="null3"/>
                    <w:jc w:val="left"/>
                  </w:pPr>
                  <w:r>
                    <w:rPr>
                      <w:rFonts w:ascii="宋体" w:hAnsi="宋体" w:cs="宋体" w:eastAsia="宋体"/>
                      <w:sz w:val="20"/>
                    </w:rPr>
                    <w:t>5.1基础统计</w:t>
                  </w:r>
                </w:p>
                <w:p>
                  <w:pPr>
                    <w:pStyle w:val="null3"/>
                    <w:jc w:val="left"/>
                  </w:pPr>
                  <w:r>
                    <w:rPr>
                      <w:rFonts w:ascii="宋体" w:hAnsi="宋体" w:cs="宋体" w:eastAsia="宋体"/>
                      <w:sz w:val="20"/>
                    </w:rPr>
                    <w:t>5.1.1可查看班级人数、在学人数、未学人数。</w:t>
                  </w:r>
                </w:p>
                <w:p>
                  <w:pPr>
                    <w:pStyle w:val="null3"/>
                    <w:jc w:val="left"/>
                  </w:pPr>
                  <w:r>
                    <w:rPr>
                      <w:rFonts w:ascii="宋体" w:hAnsi="宋体" w:cs="宋体" w:eastAsia="宋体"/>
                      <w:sz w:val="20"/>
                    </w:rPr>
                    <w:t>5.1.2可查看最近学习人数统计图，可按照周、月两个维度进行展示。</w:t>
                  </w:r>
                </w:p>
                <w:p>
                  <w:pPr>
                    <w:pStyle w:val="null3"/>
                    <w:jc w:val="left"/>
                  </w:pPr>
                  <w:r>
                    <w:rPr>
                      <w:rFonts w:ascii="宋体" w:hAnsi="宋体" w:cs="宋体" w:eastAsia="宋体"/>
                      <w:sz w:val="20"/>
                    </w:rPr>
                    <w:t>5.1.3讨论统计。包含班课内讨论总条数、主题数、回复和评论数，以及本人发布的讨论统计。</w:t>
                  </w:r>
                </w:p>
                <w:p>
                  <w:pPr>
                    <w:pStyle w:val="null3"/>
                    <w:jc w:val="left"/>
                  </w:pPr>
                  <w:r>
                    <w:rPr>
                      <w:rFonts w:ascii="宋体" w:hAnsi="宋体" w:cs="宋体" w:eastAsia="宋体"/>
                      <w:sz w:val="20"/>
                    </w:rPr>
                    <w:t>5.1.4学生公开笔记条数统计。</w:t>
                  </w:r>
                </w:p>
                <w:p>
                  <w:pPr>
                    <w:pStyle w:val="null3"/>
                    <w:jc w:val="left"/>
                  </w:pPr>
                  <w:r>
                    <w:rPr>
                      <w:rFonts w:ascii="宋体" w:hAnsi="宋体" w:cs="宋体" w:eastAsia="宋体"/>
                      <w:sz w:val="20"/>
                    </w:rPr>
                    <w:t>5.2课程进度统计</w:t>
                  </w:r>
                </w:p>
                <w:p>
                  <w:pPr>
                    <w:pStyle w:val="null3"/>
                    <w:jc w:val="left"/>
                  </w:pPr>
                  <w:r>
                    <w:rPr>
                      <w:rFonts w:ascii="宋体" w:hAnsi="宋体" w:cs="宋体" w:eastAsia="宋体"/>
                      <w:sz w:val="20"/>
                    </w:rPr>
                    <w:t>5.2.1任务统计。可查看班级整体进度、任务总数。可查询每个学生的学习进度，并可查看详情，查看每个任务的完成情况。任务统计支持导出记录。</w:t>
                  </w:r>
                </w:p>
                <w:p>
                  <w:pPr>
                    <w:pStyle w:val="null3"/>
                    <w:jc w:val="left"/>
                  </w:pPr>
                  <w:r>
                    <w:rPr>
                      <w:rFonts w:ascii="宋体" w:hAnsi="宋体" w:cs="宋体" w:eastAsia="宋体"/>
                      <w:sz w:val="20"/>
                    </w:rPr>
                    <w:t>5.2.2实操练习统计。可按学员维度和试题维度查询学生的学习情况。学员维度可查看每个学生的完成数量、完成率、正确率，可进行排序。试题维度可查看每个学员的提交数量、提交率、正确率，可进行排序。</w:t>
                  </w:r>
                </w:p>
                <w:p>
                  <w:pPr>
                    <w:pStyle w:val="null3"/>
                    <w:jc w:val="left"/>
                  </w:pPr>
                  <w:r>
                    <w:rPr>
                      <w:rFonts w:ascii="宋体" w:hAnsi="宋体" w:cs="宋体" w:eastAsia="宋体"/>
                      <w:sz w:val="20"/>
                    </w:rPr>
                    <w:t>5.2.3章节测验统计。可按照学员维度及测验维度进行统计查询。学员维度可以查询每个学员的完成数量、完成率、平均分，并可查看每个学生每一个测验的作答详情及得分。测验维度可查询每个章节测验提交数量、提交率、平均分，并可查看每个学生的作答详情及分数。</w:t>
                  </w:r>
                </w:p>
                <w:p>
                  <w:pPr>
                    <w:pStyle w:val="null3"/>
                    <w:jc w:val="left"/>
                  </w:pPr>
                  <w:r>
                    <w:rPr>
                      <w:rFonts w:ascii="宋体" w:hAnsi="宋体" w:cs="宋体" w:eastAsia="宋体"/>
                      <w:sz w:val="20"/>
                    </w:rPr>
                    <w:t>5.3实训进度统计</w:t>
                  </w:r>
                </w:p>
                <w:p>
                  <w:pPr>
                    <w:pStyle w:val="null3"/>
                    <w:jc w:val="left"/>
                  </w:pPr>
                  <w:r>
                    <w:rPr>
                      <w:rFonts w:ascii="宋体" w:hAnsi="宋体" w:cs="宋体" w:eastAsia="宋体"/>
                      <w:sz w:val="20"/>
                    </w:rPr>
                    <w:t>5.3.1整体统计。可查看任务总数及班级整体进度。</w:t>
                  </w:r>
                </w:p>
                <w:p>
                  <w:pPr>
                    <w:pStyle w:val="null3"/>
                    <w:jc w:val="left"/>
                  </w:pPr>
                  <w:r>
                    <w:rPr>
                      <w:rFonts w:ascii="宋体" w:hAnsi="宋体" w:cs="宋体" w:eastAsia="宋体"/>
                      <w:sz w:val="20"/>
                    </w:rPr>
                    <w:t>5.3.2按学员维度统计。可查询每个学员的完成数量、完成率、正确率，并可查看每个实训题的答题情况。可导出查询记录。</w:t>
                  </w:r>
                </w:p>
                <w:p>
                  <w:pPr>
                    <w:pStyle w:val="null3"/>
                    <w:jc w:val="left"/>
                  </w:pPr>
                  <w:r>
                    <w:rPr>
                      <w:rFonts w:ascii="宋体" w:hAnsi="宋体" w:cs="宋体" w:eastAsia="宋体"/>
                      <w:sz w:val="20"/>
                    </w:rPr>
                    <w:t>5.3.3任务维度。可按照任务查询提交数量、提交率、正确率，并可查看每个学生的提交情况。</w:t>
                  </w:r>
                </w:p>
                <w:p>
                  <w:pPr>
                    <w:pStyle w:val="null3"/>
                    <w:jc w:val="left"/>
                  </w:pPr>
                  <w:r>
                    <w:rPr>
                      <w:rFonts w:ascii="宋体" w:hAnsi="宋体" w:cs="宋体" w:eastAsia="宋体"/>
                      <w:sz w:val="20"/>
                    </w:rPr>
                    <w:t>三、实践教学课程模块</w:t>
                  </w:r>
                </w:p>
                <w:p>
                  <w:pPr>
                    <w:pStyle w:val="null3"/>
                    <w:jc w:val="left"/>
                  </w:pPr>
                  <w:r>
                    <w:rPr>
                      <w:rFonts w:ascii="宋体" w:hAnsi="宋体" w:cs="宋体" w:eastAsia="宋体"/>
                      <w:sz w:val="20"/>
                    </w:rPr>
                    <w:t>（一）数据资产管理实训</w:t>
                  </w:r>
                </w:p>
                <w:tbl>
                  <w:tblPr>
                    <w:tblBorders>
                      <w:top w:val="none" w:color="000000" w:sz="4"/>
                      <w:left w:val="none" w:color="000000" w:sz="4"/>
                      <w:bottom w:val="none" w:color="000000" w:sz="4"/>
                      <w:right w:val="none" w:color="000000" w:sz="4"/>
                      <w:insideH w:val="none"/>
                      <w:insideV w:val="none"/>
                    </w:tblBorders>
                  </w:tblPr>
                  <w:tblGrid>
                    <w:gridCol w:w="110"/>
                    <w:gridCol w:w="445"/>
                    <w:gridCol w:w="77"/>
                  </w:tblGrid>
                  <w:tr>
                    <w:tc>
                      <w:tcPr>
                        <w:tcW w:type="dxa" w:w="55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技术规格与参数</w:t>
                        </w:r>
                      </w:p>
                    </w:tc>
                    <w:tc>
                      <w:tcPr>
                        <w:tcW w:type="dxa" w:w="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说明</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w:t>
                        </w:r>
                      </w:p>
                      <w:p>
                        <w:pPr>
                          <w:pStyle w:val="null3"/>
                          <w:jc w:val="left"/>
                        </w:pPr>
                        <w:r>
                          <w:rPr>
                            <w:rFonts w:ascii="宋体" w:hAnsi="宋体" w:cs="宋体" w:eastAsia="宋体"/>
                            <w:sz w:val="20"/>
                          </w:rPr>
                          <w:t>简介</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 xml:space="preserve"> </w:t>
                        </w:r>
                        <w:r>
                          <w:rPr>
                            <w:rFonts w:ascii="宋体" w:hAnsi="宋体" w:cs="宋体" w:eastAsia="宋体"/>
                            <w:sz w:val="20"/>
                          </w:rPr>
                          <w:t>《数据资产管理》实训课程旨在培养学生对数据资产的管理能力，使其能够更好地理解、应用和保护企业的数据资产。通过本课程的系统学习，学生将掌握数据资产的相关概念、数据资产的确认、数据资产的登记、数据资产的流通、数据资产金融应用、数据资产使用与处置以及数据安全管理等方面的知识，能建立起对数据资产重要性的认识，并熟练操作数据资产管理平台。对基本理论和实践技能的把握可帮助学生有效地管理和利用数据资产，从而为企业创造更大的价值。</w:t>
                        </w:r>
                      </w:p>
                    </w:tc>
                    <w:tc>
                      <w:tcPr>
                        <w:tcW w:type="dxa" w:w="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w:t>
                        </w:r>
                      </w:p>
                      <w:p>
                        <w:pPr>
                          <w:pStyle w:val="null3"/>
                          <w:jc w:val="left"/>
                        </w:pPr>
                        <w:r>
                          <w:rPr>
                            <w:rFonts w:ascii="宋体" w:hAnsi="宋体" w:cs="宋体" w:eastAsia="宋体"/>
                            <w:sz w:val="20"/>
                          </w:rPr>
                          <w:t>内容</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《数据资产管理》课程主要包括</w:t>
                        </w:r>
                        <w:r>
                          <w:rPr>
                            <w:rFonts w:ascii="宋体" w:hAnsi="宋体" w:cs="宋体" w:eastAsia="宋体"/>
                            <w:sz w:val="20"/>
                          </w:rPr>
                          <w:t>8个单元，具体如下：</w:t>
                        </w:r>
                      </w:p>
                      <w:p>
                        <w:pPr>
                          <w:pStyle w:val="null3"/>
                          <w:jc w:val="left"/>
                        </w:pPr>
                        <w:r>
                          <w:rPr>
                            <w:rFonts w:ascii="宋体" w:hAnsi="宋体" w:cs="宋体" w:eastAsia="宋体"/>
                            <w:sz w:val="20"/>
                          </w:rPr>
                          <w:t>1.</w:t>
                        </w:r>
                        <w:r>
                          <w:rPr>
                            <w:rFonts w:ascii="宋体" w:hAnsi="宋体" w:cs="宋体" w:eastAsia="宋体"/>
                            <w:sz w:val="20"/>
                          </w:rPr>
                          <w:t>数据资产</w:t>
                        </w:r>
                        <w:r>
                          <w:rPr>
                            <w:rFonts w:ascii="宋体" w:hAnsi="宋体" w:cs="宋体" w:eastAsia="宋体"/>
                            <w:sz w:val="20"/>
                          </w:rPr>
                          <w:t>管理认知</w:t>
                        </w:r>
                      </w:p>
                      <w:p>
                        <w:pPr>
                          <w:pStyle w:val="null3"/>
                          <w:jc w:val="left"/>
                        </w:pPr>
                        <w:r>
                          <w:rPr>
                            <w:rFonts w:ascii="宋体" w:hAnsi="宋体" w:cs="宋体" w:eastAsia="宋体"/>
                            <w:sz w:val="20"/>
                          </w:rPr>
                          <w:t>1.1</w:t>
                        </w:r>
                        <w:r>
                          <w:rPr>
                            <w:rFonts w:ascii="宋体" w:hAnsi="宋体" w:cs="宋体" w:eastAsia="宋体"/>
                            <w:sz w:val="20"/>
                          </w:rPr>
                          <w:t>数据资产的</w:t>
                        </w:r>
                        <w:r>
                          <w:rPr>
                            <w:rFonts w:ascii="宋体" w:hAnsi="宋体" w:cs="宋体" w:eastAsia="宋体"/>
                            <w:sz w:val="20"/>
                          </w:rPr>
                          <w:t>相关</w:t>
                        </w:r>
                        <w:r>
                          <w:rPr>
                            <w:rFonts w:ascii="宋体" w:hAnsi="宋体" w:cs="宋体" w:eastAsia="宋体"/>
                            <w:sz w:val="20"/>
                          </w:rPr>
                          <w:t>概念</w:t>
                        </w:r>
                      </w:p>
                      <w:p>
                        <w:pPr>
                          <w:pStyle w:val="null3"/>
                          <w:jc w:val="left"/>
                        </w:pPr>
                        <w:r>
                          <w:rPr>
                            <w:rFonts w:ascii="宋体" w:hAnsi="宋体" w:cs="宋体" w:eastAsia="宋体"/>
                            <w:sz w:val="20"/>
                          </w:rPr>
                          <w:t>1.2</w:t>
                        </w:r>
                        <w:r>
                          <w:rPr>
                            <w:rFonts w:ascii="宋体" w:hAnsi="宋体" w:cs="宋体" w:eastAsia="宋体"/>
                            <w:sz w:val="20"/>
                          </w:rPr>
                          <w:t>数据资产的</w:t>
                        </w:r>
                        <w:r>
                          <w:rPr>
                            <w:rFonts w:ascii="宋体" w:hAnsi="宋体" w:cs="宋体" w:eastAsia="宋体"/>
                            <w:sz w:val="20"/>
                          </w:rPr>
                          <w:t>应用场景</w:t>
                        </w:r>
                      </w:p>
                      <w:p>
                        <w:pPr>
                          <w:pStyle w:val="null3"/>
                          <w:jc w:val="left"/>
                        </w:pPr>
                        <w:r>
                          <w:rPr>
                            <w:rFonts w:ascii="宋体" w:hAnsi="宋体" w:cs="宋体" w:eastAsia="宋体"/>
                            <w:sz w:val="20"/>
                          </w:rPr>
                          <w:t>1.3</w:t>
                        </w:r>
                        <w:r>
                          <w:rPr>
                            <w:rFonts w:ascii="宋体" w:hAnsi="宋体" w:cs="宋体" w:eastAsia="宋体"/>
                            <w:sz w:val="20"/>
                          </w:rPr>
                          <w:t>数据</w:t>
                        </w:r>
                        <w:r>
                          <w:rPr>
                            <w:rFonts w:ascii="宋体" w:hAnsi="宋体" w:cs="宋体" w:eastAsia="宋体"/>
                            <w:sz w:val="20"/>
                          </w:rPr>
                          <w:t>要素的价值实现</w:t>
                        </w:r>
                      </w:p>
                      <w:p>
                        <w:pPr>
                          <w:pStyle w:val="null3"/>
                          <w:jc w:val="left"/>
                        </w:pPr>
                        <w:r>
                          <w:rPr>
                            <w:rFonts w:ascii="宋体" w:hAnsi="宋体" w:cs="宋体" w:eastAsia="宋体"/>
                            <w:sz w:val="20"/>
                          </w:rPr>
                          <w:t>1.4数据资产管理的发展</w:t>
                        </w:r>
                      </w:p>
                      <w:p>
                        <w:pPr>
                          <w:pStyle w:val="null3"/>
                          <w:jc w:val="left"/>
                        </w:pPr>
                        <w:r>
                          <w:rPr>
                            <w:rFonts w:ascii="宋体" w:hAnsi="宋体" w:cs="宋体" w:eastAsia="宋体"/>
                            <w:sz w:val="20"/>
                          </w:rPr>
                          <w:t>2.</w:t>
                        </w:r>
                        <w:r>
                          <w:rPr>
                            <w:rFonts w:ascii="宋体" w:hAnsi="宋体" w:cs="宋体" w:eastAsia="宋体"/>
                            <w:sz w:val="20"/>
                          </w:rPr>
                          <w:t>数据</w:t>
                        </w:r>
                        <w:r>
                          <w:rPr>
                            <w:rFonts w:ascii="宋体" w:hAnsi="宋体" w:cs="宋体" w:eastAsia="宋体"/>
                            <w:sz w:val="20"/>
                          </w:rPr>
                          <w:t>资源管理</w:t>
                        </w:r>
                      </w:p>
                      <w:p>
                        <w:pPr>
                          <w:pStyle w:val="null3"/>
                          <w:jc w:val="left"/>
                        </w:pPr>
                        <w:r>
                          <w:rPr>
                            <w:rFonts w:ascii="宋体" w:hAnsi="宋体" w:cs="宋体" w:eastAsia="宋体"/>
                            <w:sz w:val="20"/>
                          </w:rPr>
                          <w:t>2.1</w:t>
                        </w:r>
                        <w:r>
                          <w:rPr>
                            <w:rFonts w:ascii="宋体" w:hAnsi="宋体" w:cs="宋体" w:eastAsia="宋体"/>
                            <w:sz w:val="20"/>
                          </w:rPr>
                          <w:t>数据</w:t>
                        </w:r>
                        <w:r>
                          <w:rPr>
                            <w:rFonts w:ascii="宋体" w:hAnsi="宋体" w:cs="宋体" w:eastAsia="宋体"/>
                            <w:sz w:val="20"/>
                          </w:rPr>
                          <w:t>资源盘点</w:t>
                        </w:r>
                      </w:p>
                      <w:p>
                        <w:pPr>
                          <w:pStyle w:val="null3"/>
                          <w:jc w:val="left"/>
                        </w:pPr>
                        <w:r>
                          <w:rPr>
                            <w:rFonts w:ascii="宋体" w:hAnsi="宋体" w:cs="宋体" w:eastAsia="宋体"/>
                            <w:sz w:val="20"/>
                          </w:rPr>
                          <w:t>2.2</w:t>
                        </w:r>
                        <w:r>
                          <w:rPr>
                            <w:rFonts w:ascii="宋体" w:hAnsi="宋体" w:cs="宋体" w:eastAsia="宋体"/>
                            <w:sz w:val="20"/>
                          </w:rPr>
                          <w:t>数据</w:t>
                        </w:r>
                        <w:r>
                          <w:rPr>
                            <w:rFonts w:ascii="宋体" w:hAnsi="宋体" w:cs="宋体" w:eastAsia="宋体"/>
                            <w:sz w:val="20"/>
                          </w:rPr>
                          <w:t>分类分级</w:t>
                        </w:r>
                      </w:p>
                      <w:p>
                        <w:pPr>
                          <w:pStyle w:val="null3"/>
                          <w:jc w:val="left"/>
                        </w:pPr>
                        <w:r>
                          <w:rPr>
                            <w:rFonts w:ascii="宋体" w:hAnsi="宋体" w:cs="宋体" w:eastAsia="宋体"/>
                            <w:sz w:val="20"/>
                          </w:rPr>
                          <w:t>2.3</w:t>
                        </w:r>
                        <w:r>
                          <w:rPr>
                            <w:rFonts w:ascii="宋体" w:hAnsi="宋体" w:cs="宋体" w:eastAsia="宋体"/>
                            <w:sz w:val="20"/>
                          </w:rPr>
                          <w:t>数据目录管理</w:t>
                        </w:r>
                      </w:p>
                      <w:p>
                        <w:pPr>
                          <w:pStyle w:val="null3"/>
                          <w:jc w:val="left"/>
                        </w:pPr>
                        <w:r>
                          <w:rPr>
                            <w:rFonts w:ascii="宋体" w:hAnsi="宋体" w:cs="宋体" w:eastAsia="宋体"/>
                            <w:sz w:val="20"/>
                          </w:rPr>
                          <w:t>2.4</w:t>
                        </w:r>
                        <w:r>
                          <w:rPr>
                            <w:rFonts w:ascii="宋体" w:hAnsi="宋体" w:cs="宋体" w:eastAsia="宋体"/>
                            <w:sz w:val="20"/>
                          </w:rPr>
                          <w:t>数据</w:t>
                        </w:r>
                        <w:r>
                          <w:rPr>
                            <w:rFonts w:ascii="宋体" w:hAnsi="宋体" w:cs="宋体" w:eastAsia="宋体"/>
                            <w:sz w:val="20"/>
                          </w:rPr>
                          <w:t>安全管理</w:t>
                        </w:r>
                      </w:p>
                      <w:p>
                        <w:pPr>
                          <w:pStyle w:val="null3"/>
                          <w:jc w:val="left"/>
                        </w:pPr>
                        <w:r>
                          <w:rPr>
                            <w:rFonts w:ascii="宋体" w:hAnsi="宋体" w:cs="宋体" w:eastAsia="宋体"/>
                            <w:sz w:val="20"/>
                          </w:rPr>
                          <w:t>3.数据资产卡片管理</w:t>
                        </w:r>
                        <w:r>
                          <w:br/>
                        </w:r>
                        <w:r>
                          <w:rPr>
                            <w:rFonts w:ascii="宋体" w:hAnsi="宋体" w:cs="宋体" w:eastAsia="宋体"/>
                            <w:sz w:val="20"/>
                          </w:rPr>
                          <w:t>3.1</w:t>
                        </w:r>
                        <w:r>
                          <w:rPr>
                            <w:rFonts w:ascii="宋体" w:hAnsi="宋体" w:cs="宋体" w:eastAsia="宋体"/>
                            <w:sz w:val="20"/>
                          </w:rPr>
                          <w:t>数据资产的确</w:t>
                        </w:r>
                        <w:r>
                          <w:rPr>
                            <w:rFonts w:ascii="宋体" w:hAnsi="宋体" w:cs="宋体" w:eastAsia="宋体"/>
                            <w:sz w:val="20"/>
                          </w:rPr>
                          <w:t>认</w:t>
                        </w:r>
                      </w:p>
                      <w:p>
                        <w:pPr>
                          <w:pStyle w:val="null3"/>
                          <w:jc w:val="left"/>
                        </w:pPr>
                        <w:r>
                          <w:rPr>
                            <w:rFonts w:ascii="宋体" w:hAnsi="宋体" w:cs="宋体" w:eastAsia="宋体"/>
                            <w:sz w:val="20"/>
                          </w:rPr>
                          <w:t>3.2</w:t>
                        </w:r>
                        <w:r>
                          <w:rPr>
                            <w:rFonts w:ascii="宋体" w:hAnsi="宋体" w:cs="宋体" w:eastAsia="宋体"/>
                            <w:sz w:val="20"/>
                          </w:rPr>
                          <w:t>数据资产</w:t>
                        </w:r>
                        <w:r>
                          <w:rPr>
                            <w:rFonts w:ascii="宋体" w:hAnsi="宋体" w:cs="宋体" w:eastAsia="宋体"/>
                            <w:sz w:val="20"/>
                          </w:rPr>
                          <w:t>卡片创建</w:t>
                        </w:r>
                      </w:p>
                      <w:p>
                        <w:pPr>
                          <w:pStyle w:val="null3"/>
                          <w:jc w:val="left"/>
                        </w:pPr>
                        <w:r>
                          <w:rPr>
                            <w:rFonts w:ascii="宋体" w:hAnsi="宋体" w:cs="宋体" w:eastAsia="宋体"/>
                            <w:sz w:val="20"/>
                          </w:rPr>
                          <w:t>3.3数据资产卡片管理</w:t>
                        </w:r>
                      </w:p>
                      <w:p>
                        <w:pPr>
                          <w:pStyle w:val="null3"/>
                          <w:jc w:val="left"/>
                        </w:pPr>
                        <w:r>
                          <w:rPr>
                            <w:rFonts w:ascii="宋体" w:hAnsi="宋体" w:cs="宋体" w:eastAsia="宋体"/>
                            <w:sz w:val="20"/>
                          </w:rPr>
                          <w:t>4.数据资产登记</w:t>
                        </w:r>
                      </w:p>
                      <w:p>
                        <w:pPr>
                          <w:pStyle w:val="null3"/>
                          <w:jc w:val="left"/>
                        </w:pPr>
                        <w:r>
                          <w:rPr>
                            <w:rFonts w:ascii="宋体" w:hAnsi="宋体" w:cs="宋体" w:eastAsia="宋体"/>
                            <w:sz w:val="20"/>
                          </w:rPr>
                          <w:t>4.1</w:t>
                        </w:r>
                        <w:r>
                          <w:rPr>
                            <w:rFonts w:ascii="宋体" w:hAnsi="宋体" w:cs="宋体" w:eastAsia="宋体"/>
                            <w:sz w:val="20"/>
                          </w:rPr>
                          <w:t>数据资产</w:t>
                        </w:r>
                        <w:r>
                          <w:rPr>
                            <w:rFonts w:ascii="宋体" w:hAnsi="宋体" w:cs="宋体" w:eastAsia="宋体"/>
                            <w:sz w:val="20"/>
                          </w:rPr>
                          <w:t>登记概述</w:t>
                        </w:r>
                      </w:p>
                      <w:p>
                        <w:pPr>
                          <w:pStyle w:val="null3"/>
                          <w:jc w:val="left"/>
                        </w:pPr>
                        <w:r>
                          <w:rPr>
                            <w:rFonts w:ascii="宋体" w:hAnsi="宋体" w:cs="宋体" w:eastAsia="宋体"/>
                            <w:sz w:val="20"/>
                          </w:rPr>
                          <w:t>4.2</w:t>
                        </w:r>
                        <w:r>
                          <w:rPr>
                            <w:rFonts w:ascii="宋体" w:hAnsi="宋体" w:cs="宋体" w:eastAsia="宋体"/>
                            <w:sz w:val="20"/>
                          </w:rPr>
                          <w:t>数据</w:t>
                        </w:r>
                        <w:r>
                          <w:rPr>
                            <w:rFonts w:ascii="宋体" w:hAnsi="宋体" w:cs="宋体" w:eastAsia="宋体"/>
                            <w:sz w:val="20"/>
                          </w:rPr>
                          <w:t>知识产权</w:t>
                        </w:r>
                        <w:r>
                          <w:rPr>
                            <w:rFonts w:ascii="宋体" w:hAnsi="宋体" w:cs="宋体" w:eastAsia="宋体"/>
                            <w:sz w:val="20"/>
                          </w:rPr>
                          <w:t>登记</w:t>
                        </w:r>
                      </w:p>
                      <w:p>
                        <w:pPr>
                          <w:pStyle w:val="null3"/>
                          <w:jc w:val="left"/>
                        </w:pPr>
                        <w:r>
                          <w:rPr>
                            <w:rFonts w:ascii="宋体" w:hAnsi="宋体" w:cs="宋体" w:eastAsia="宋体"/>
                            <w:sz w:val="20"/>
                          </w:rPr>
                          <w:t>4.3数据</w:t>
                        </w:r>
                        <w:r>
                          <w:rPr>
                            <w:rFonts w:ascii="宋体" w:hAnsi="宋体" w:cs="宋体" w:eastAsia="宋体"/>
                            <w:sz w:val="20"/>
                          </w:rPr>
                          <w:t>资产</w:t>
                        </w:r>
                        <w:r>
                          <w:rPr>
                            <w:rFonts w:ascii="宋体" w:hAnsi="宋体" w:cs="宋体" w:eastAsia="宋体"/>
                            <w:sz w:val="20"/>
                          </w:rPr>
                          <w:t>登记</w:t>
                        </w:r>
                      </w:p>
                      <w:p>
                        <w:pPr>
                          <w:pStyle w:val="null3"/>
                          <w:jc w:val="left"/>
                        </w:pPr>
                        <w:r>
                          <w:rPr>
                            <w:rFonts w:ascii="宋体" w:hAnsi="宋体" w:cs="宋体" w:eastAsia="宋体"/>
                            <w:sz w:val="20"/>
                          </w:rPr>
                          <w:t>4.4数据产品登记</w:t>
                        </w:r>
                      </w:p>
                      <w:p>
                        <w:pPr>
                          <w:pStyle w:val="null3"/>
                          <w:jc w:val="left"/>
                        </w:pPr>
                        <w:r>
                          <w:rPr>
                            <w:rFonts w:ascii="宋体" w:hAnsi="宋体" w:cs="宋体" w:eastAsia="宋体"/>
                            <w:sz w:val="20"/>
                          </w:rPr>
                          <w:t>4.5数据资源公证</w:t>
                        </w:r>
                      </w:p>
                      <w:p>
                        <w:pPr>
                          <w:pStyle w:val="null3"/>
                          <w:jc w:val="left"/>
                        </w:pPr>
                        <w:r>
                          <w:rPr>
                            <w:rFonts w:ascii="宋体" w:hAnsi="宋体" w:cs="宋体" w:eastAsia="宋体"/>
                            <w:sz w:val="20"/>
                          </w:rPr>
                          <w:t>4.6数据要素综合登记</w:t>
                        </w:r>
                      </w:p>
                      <w:p>
                        <w:pPr>
                          <w:pStyle w:val="null3"/>
                          <w:jc w:val="left"/>
                        </w:pPr>
                        <w:r>
                          <w:rPr>
                            <w:rFonts w:ascii="宋体" w:hAnsi="宋体" w:cs="宋体" w:eastAsia="宋体"/>
                            <w:sz w:val="20"/>
                          </w:rPr>
                          <w:t>4.7数据资产登记存证</w:t>
                        </w:r>
                      </w:p>
                      <w:p>
                        <w:pPr>
                          <w:pStyle w:val="null3"/>
                          <w:jc w:val="left"/>
                        </w:pPr>
                        <w:r>
                          <w:rPr>
                            <w:rFonts w:ascii="宋体" w:hAnsi="宋体" w:cs="宋体" w:eastAsia="宋体"/>
                            <w:sz w:val="20"/>
                          </w:rPr>
                          <w:t>5.数据资产使用</w:t>
                        </w:r>
                      </w:p>
                      <w:p>
                        <w:pPr>
                          <w:pStyle w:val="null3"/>
                          <w:jc w:val="left"/>
                        </w:pPr>
                        <w:r>
                          <w:rPr>
                            <w:rFonts w:ascii="宋体" w:hAnsi="宋体" w:cs="宋体" w:eastAsia="宋体"/>
                            <w:sz w:val="20"/>
                          </w:rPr>
                          <w:t>5.1数据资产与营销管理</w:t>
                        </w:r>
                      </w:p>
                      <w:p>
                        <w:pPr>
                          <w:pStyle w:val="null3"/>
                          <w:jc w:val="left"/>
                        </w:pPr>
                        <w:r>
                          <w:rPr>
                            <w:rFonts w:ascii="宋体" w:hAnsi="宋体" w:cs="宋体" w:eastAsia="宋体"/>
                            <w:sz w:val="20"/>
                          </w:rPr>
                          <w:t>5.2数据资产与生产管理</w:t>
                        </w:r>
                      </w:p>
                      <w:p>
                        <w:pPr>
                          <w:pStyle w:val="null3"/>
                          <w:jc w:val="left"/>
                        </w:pPr>
                        <w:r>
                          <w:rPr>
                            <w:rFonts w:ascii="宋体" w:hAnsi="宋体" w:cs="宋体" w:eastAsia="宋体"/>
                            <w:sz w:val="20"/>
                          </w:rPr>
                          <w:t>5.3数据资产与经营决策</w:t>
                        </w:r>
                      </w:p>
                      <w:p>
                        <w:pPr>
                          <w:pStyle w:val="null3"/>
                          <w:jc w:val="left"/>
                        </w:pPr>
                        <w:r>
                          <w:rPr>
                            <w:rFonts w:ascii="宋体" w:hAnsi="宋体" w:cs="宋体" w:eastAsia="宋体"/>
                            <w:sz w:val="20"/>
                          </w:rPr>
                          <w:t>5.4数据资产与风险防控</w:t>
                        </w:r>
                      </w:p>
                      <w:p>
                        <w:pPr>
                          <w:pStyle w:val="null3"/>
                          <w:jc w:val="left"/>
                        </w:pPr>
                        <w:r>
                          <w:rPr>
                            <w:rFonts w:ascii="宋体" w:hAnsi="宋体" w:cs="宋体" w:eastAsia="宋体"/>
                            <w:sz w:val="20"/>
                          </w:rPr>
                          <w:t>6</w:t>
                        </w:r>
                        <w:r>
                          <w:rPr>
                            <w:rFonts w:ascii="宋体" w:hAnsi="宋体" w:cs="宋体" w:eastAsia="宋体"/>
                            <w:sz w:val="20"/>
                          </w:rPr>
                          <w:t>.数据资产流通</w:t>
                        </w:r>
                      </w:p>
                      <w:p>
                        <w:pPr>
                          <w:pStyle w:val="null3"/>
                          <w:jc w:val="left"/>
                        </w:pPr>
                        <w:r>
                          <w:rPr>
                            <w:rFonts w:ascii="宋体" w:hAnsi="宋体" w:cs="宋体" w:eastAsia="宋体"/>
                            <w:sz w:val="20"/>
                          </w:rPr>
                          <w:t>6.1数据资产交易</w:t>
                        </w:r>
                      </w:p>
                      <w:p>
                        <w:pPr>
                          <w:pStyle w:val="null3"/>
                          <w:jc w:val="left"/>
                        </w:pPr>
                        <w:r>
                          <w:rPr>
                            <w:rFonts w:ascii="宋体" w:hAnsi="宋体" w:cs="宋体" w:eastAsia="宋体"/>
                            <w:sz w:val="20"/>
                          </w:rPr>
                          <w:t>6.2数据资产共享与开放</w:t>
                        </w:r>
                      </w:p>
                      <w:p>
                        <w:pPr>
                          <w:pStyle w:val="null3"/>
                          <w:jc w:val="left"/>
                        </w:pPr>
                        <w:r>
                          <w:rPr>
                            <w:rFonts w:ascii="宋体" w:hAnsi="宋体" w:cs="宋体" w:eastAsia="宋体"/>
                            <w:sz w:val="20"/>
                          </w:rPr>
                          <w:t>7</w:t>
                        </w:r>
                        <w:r>
                          <w:rPr>
                            <w:rFonts w:ascii="宋体" w:hAnsi="宋体" w:cs="宋体" w:eastAsia="宋体"/>
                            <w:sz w:val="20"/>
                          </w:rPr>
                          <w:t>.数据资产</w:t>
                        </w:r>
                        <w:r>
                          <w:rPr>
                            <w:rFonts w:ascii="宋体" w:hAnsi="宋体" w:cs="宋体" w:eastAsia="宋体"/>
                            <w:sz w:val="20"/>
                          </w:rPr>
                          <w:t>质押与入股</w:t>
                        </w:r>
                      </w:p>
                      <w:p>
                        <w:pPr>
                          <w:pStyle w:val="null3"/>
                          <w:jc w:val="left"/>
                        </w:pPr>
                        <w:r>
                          <w:rPr>
                            <w:rFonts w:ascii="宋体" w:hAnsi="宋体" w:cs="宋体" w:eastAsia="宋体"/>
                            <w:sz w:val="20"/>
                          </w:rPr>
                          <w:t>7.1</w:t>
                        </w:r>
                        <w:r>
                          <w:rPr>
                            <w:rFonts w:ascii="宋体" w:hAnsi="宋体" w:cs="宋体" w:eastAsia="宋体"/>
                            <w:sz w:val="20"/>
                          </w:rPr>
                          <w:t>数据资产质押</w:t>
                        </w:r>
                      </w:p>
                      <w:p>
                        <w:pPr>
                          <w:pStyle w:val="null3"/>
                          <w:jc w:val="left"/>
                        </w:pPr>
                        <w:r>
                          <w:rPr>
                            <w:rFonts w:ascii="宋体" w:hAnsi="宋体" w:cs="宋体" w:eastAsia="宋体"/>
                            <w:sz w:val="20"/>
                          </w:rPr>
                          <w:t>7.2</w:t>
                        </w:r>
                        <w:r>
                          <w:rPr>
                            <w:rFonts w:ascii="宋体" w:hAnsi="宋体" w:cs="宋体" w:eastAsia="宋体"/>
                            <w:sz w:val="20"/>
                          </w:rPr>
                          <w:t>数据资产入股</w:t>
                        </w:r>
                      </w:p>
                      <w:p>
                        <w:pPr>
                          <w:pStyle w:val="null3"/>
                          <w:jc w:val="left"/>
                        </w:pPr>
                        <w:r>
                          <w:rPr>
                            <w:rFonts w:ascii="宋体" w:hAnsi="宋体" w:cs="宋体" w:eastAsia="宋体"/>
                            <w:sz w:val="20"/>
                          </w:rPr>
                          <w:t>8</w:t>
                        </w:r>
                        <w:r>
                          <w:rPr>
                            <w:rFonts w:ascii="宋体" w:hAnsi="宋体" w:cs="宋体" w:eastAsia="宋体"/>
                            <w:sz w:val="20"/>
                          </w:rPr>
                          <w:t>.数据资产</w:t>
                        </w:r>
                        <w:r>
                          <w:rPr>
                            <w:rFonts w:ascii="宋体" w:hAnsi="宋体" w:cs="宋体" w:eastAsia="宋体"/>
                            <w:sz w:val="20"/>
                          </w:rPr>
                          <w:t>变更与销毁</w:t>
                        </w:r>
                      </w:p>
                      <w:p>
                        <w:pPr>
                          <w:pStyle w:val="null3"/>
                          <w:jc w:val="left"/>
                        </w:pPr>
                        <w:r>
                          <w:rPr>
                            <w:rFonts w:ascii="宋体" w:hAnsi="宋体" w:cs="宋体" w:eastAsia="宋体"/>
                            <w:sz w:val="20"/>
                          </w:rPr>
                          <w:t>8.1</w:t>
                        </w:r>
                        <w:r>
                          <w:rPr>
                            <w:rFonts w:ascii="宋体" w:hAnsi="宋体" w:cs="宋体" w:eastAsia="宋体"/>
                            <w:sz w:val="20"/>
                          </w:rPr>
                          <w:t>数据资产</w:t>
                        </w:r>
                        <w:r>
                          <w:rPr>
                            <w:rFonts w:ascii="宋体" w:hAnsi="宋体" w:cs="宋体" w:eastAsia="宋体"/>
                            <w:sz w:val="20"/>
                          </w:rPr>
                          <w:t>变更</w:t>
                        </w:r>
                      </w:p>
                      <w:p>
                        <w:pPr>
                          <w:pStyle w:val="null3"/>
                          <w:jc w:val="left"/>
                        </w:pPr>
                        <w:r>
                          <w:rPr>
                            <w:rFonts w:ascii="宋体" w:hAnsi="宋体" w:cs="宋体" w:eastAsia="宋体"/>
                            <w:sz w:val="20"/>
                          </w:rPr>
                          <w:t>8.2</w:t>
                        </w:r>
                        <w:r>
                          <w:rPr>
                            <w:rFonts w:ascii="宋体" w:hAnsi="宋体" w:cs="宋体" w:eastAsia="宋体"/>
                            <w:sz w:val="20"/>
                          </w:rPr>
                          <w:t>数据资产</w:t>
                        </w:r>
                        <w:r>
                          <w:rPr>
                            <w:rFonts w:ascii="宋体" w:hAnsi="宋体" w:cs="宋体" w:eastAsia="宋体"/>
                            <w:sz w:val="20"/>
                          </w:rPr>
                          <w:t>销毁</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48课时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课程资源</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《数据资产管理》课程资源丰富，包含</w:t>
                        </w:r>
                        <w:r>
                          <w:rPr>
                            <w:rFonts w:ascii="宋体" w:hAnsi="宋体" w:cs="宋体" w:eastAsia="宋体"/>
                            <w:sz w:val="20"/>
                          </w:rPr>
                          <w:t>PPT、动画、视频等课程资源：</w:t>
                        </w:r>
                      </w:p>
                      <w:p>
                        <w:pPr>
                          <w:pStyle w:val="null3"/>
                          <w:jc w:val="left"/>
                        </w:pPr>
                        <w:r>
                          <w:rPr>
                            <w:rFonts w:ascii="宋体" w:hAnsi="宋体" w:cs="宋体" w:eastAsia="宋体"/>
                            <w:sz w:val="20"/>
                          </w:rPr>
                          <w:t>电子教案</w:t>
                        </w:r>
                        <w:r>
                          <w:rPr>
                            <w:rFonts w:ascii="宋体" w:hAnsi="宋体" w:cs="宋体" w:eastAsia="宋体"/>
                            <w:sz w:val="20"/>
                          </w:rPr>
                          <w:t>PPT数量不少于25个；</w:t>
                        </w:r>
                      </w:p>
                      <w:p>
                        <w:pPr>
                          <w:pStyle w:val="null3"/>
                          <w:jc w:val="left"/>
                        </w:pPr>
                        <w:r>
                          <w:rPr>
                            <w:rFonts w:ascii="宋体" w:hAnsi="宋体" w:cs="宋体" w:eastAsia="宋体"/>
                            <w:sz w:val="20"/>
                          </w:rPr>
                          <w:t>情景动画数量不少于</w:t>
                        </w:r>
                        <w:r>
                          <w:rPr>
                            <w:rFonts w:ascii="宋体" w:hAnsi="宋体" w:cs="宋体" w:eastAsia="宋体"/>
                            <w:sz w:val="20"/>
                          </w:rPr>
                          <w:t>10个；</w:t>
                        </w:r>
                      </w:p>
                      <w:p>
                        <w:pPr>
                          <w:pStyle w:val="null3"/>
                          <w:jc w:val="left"/>
                        </w:pPr>
                        <w:r>
                          <w:rPr>
                            <w:rFonts w:ascii="宋体" w:hAnsi="宋体" w:cs="宋体" w:eastAsia="宋体"/>
                            <w:sz w:val="20"/>
                          </w:rPr>
                          <w:t>视频微课数量不少于</w:t>
                        </w:r>
                        <w:r>
                          <w:rPr>
                            <w:rFonts w:ascii="宋体" w:hAnsi="宋体" w:cs="宋体" w:eastAsia="宋体"/>
                            <w:sz w:val="20"/>
                          </w:rPr>
                          <w:t>25个，每个微课时长5-15分钟；</w:t>
                        </w:r>
                      </w:p>
                      <w:p>
                        <w:pPr>
                          <w:pStyle w:val="null3"/>
                          <w:jc w:val="left"/>
                        </w:pPr>
                        <w:r>
                          <w:rPr>
                            <w:rFonts w:ascii="宋体" w:hAnsi="宋体" w:cs="宋体" w:eastAsia="宋体"/>
                            <w:sz w:val="20"/>
                          </w:rPr>
                          <w:t>富媒体、</w:t>
                        </w:r>
                        <w:r>
                          <w:rPr>
                            <w:rFonts w:ascii="宋体" w:hAnsi="宋体" w:cs="宋体" w:eastAsia="宋体"/>
                            <w:sz w:val="20"/>
                          </w:rPr>
                          <w:t>PDF、EXCEL等文件资源数量若干；</w:t>
                        </w:r>
                      </w:p>
                      <w:p>
                        <w:pPr>
                          <w:pStyle w:val="null3"/>
                          <w:jc w:val="left"/>
                        </w:pPr>
                        <w:r>
                          <w:rPr>
                            <w:rFonts w:ascii="宋体" w:hAnsi="宋体" w:cs="宋体" w:eastAsia="宋体"/>
                            <w:sz w:val="20"/>
                          </w:rPr>
                          <w:t>随堂练习客观题数量不少于</w:t>
                        </w:r>
                        <w:r>
                          <w:rPr>
                            <w:rFonts w:ascii="宋体" w:hAnsi="宋体" w:cs="宋体" w:eastAsia="宋体"/>
                            <w:sz w:val="20"/>
                          </w:rPr>
                          <w:t>200道；</w:t>
                        </w:r>
                      </w:p>
                      <w:p>
                        <w:pPr>
                          <w:pStyle w:val="null3"/>
                          <w:jc w:val="left"/>
                        </w:pPr>
                        <w:r>
                          <w:rPr>
                            <w:rFonts w:ascii="宋体" w:hAnsi="宋体" w:cs="宋体" w:eastAsia="宋体"/>
                            <w:sz w:val="20"/>
                          </w:rPr>
                          <w:t>期末测评试题</w:t>
                        </w:r>
                        <w:r>
                          <w:rPr>
                            <w:rFonts w:ascii="宋体" w:hAnsi="宋体" w:cs="宋体" w:eastAsia="宋体"/>
                            <w:sz w:val="20"/>
                          </w:rPr>
                          <w:t>3套；</w:t>
                        </w:r>
                      </w:p>
                      <w:p>
                        <w:pPr>
                          <w:pStyle w:val="null3"/>
                          <w:jc w:val="left"/>
                        </w:pPr>
                        <w:r>
                          <w:rPr>
                            <w:rFonts w:ascii="宋体" w:hAnsi="宋体" w:cs="宋体" w:eastAsia="宋体"/>
                            <w:sz w:val="20"/>
                          </w:rPr>
                          <w:t>提供课程简介、课程大纲、课时安排等教学文件及参考资料。</w:t>
                        </w:r>
                      </w:p>
                    </w:tc>
                    <w:tc>
                      <w:tcPr>
                        <w:tcW w:type="dxa" w:w="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宋体" w:hAnsi="宋体" w:cs="宋体" w:eastAsia="宋体"/>
                      <w:sz w:val="20"/>
                    </w:rPr>
                    <w:t>（二）数据资产评估实训</w:t>
                  </w:r>
                </w:p>
                <w:tbl>
                  <w:tblPr>
                    <w:tblBorders>
                      <w:top w:val="none" w:color="000000" w:sz="4"/>
                      <w:left w:val="none" w:color="000000" w:sz="4"/>
                      <w:bottom w:val="none" w:color="000000" w:sz="4"/>
                      <w:right w:val="none" w:color="000000" w:sz="4"/>
                      <w:insideH w:val="none"/>
                      <w:insideV w:val="none"/>
                    </w:tblBorders>
                  </w:tblPr>
                  <w:tblGrid>
                    <w:gridCol w:w="97"/>
                    <w:gridCol w:w="474"/>
                    <w:gridCol w:w="64"/>
                  </w:tblGrid>
                  <w:tr>
                    <w:tc>
                      <w:tcPr>
                        <w:tcW w:type="dxa" w:w="57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技术规格与参数</w:t>
                        </w:r>
                      </w:p>
                    </w:tc>
                    <w:tc>
                      <w:tcPr>
                        <w:tcW w:type="dxa" w:w="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说明</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课程简介</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据资产评估》实训课程融合理论授课与实验操作。通过从项目规划、尽职调查、模型构建、评估方法选择到报告编制的全链路体系化教学，结合实战案例与数据资产评估系统，通过课程学习，学生能掌握数据资产评估的基本技能，能正确应用《关于加强数据资产管理的指导意见》</w:t>
                        </w:r>
                        <w:r>
                          <w:rPr>
                            <w:rFonts w:ascii="宋体" w:hAnsi="宋体" w:cs="宋体" w:eastAsia="宋体"/>
                            <w:sz w:val="20"/>
                          </w:rPr>
                          <w:t>(财资〔2023〕141号)《数据资产评估指导意见》(中评协〔2023〕17号)处理各项数据资产评估业务；能进行数据资产的评估项目计划制定、现场调查与资料整理、评估方法及运用、评估报告编制与档案归档等内容；能达到企业数据资产评估岗位的技能要求；能建立全面正确的数据资产评估思维。</w:t>
                        </w:r>
                      </w:p>
                    </w:tc>
                    <w:tc>
                      <w:tcPr>
                        <w:tcW w:type="dxa" w:w="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课程内容</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《数据资产评估》课程主要包括</w:t>
                        </w:r>
                        <w:r>
                          <w:rPr>
                            <w:rFonts w:ascii="宋体" w:hAnsi="宋体" w:cs="宋体" w:eastAsia="宋体"/>
                            <w:sz w:val="20"/>
                          </w:rPr>
                          <w:t>5个单元，具体如下：</w:t>
                        </w:r>
                      </w:p>
                      <w:p>
                        <w:pPr>
                          <w:pStyle w:val="null3"/>
                          <w:jc w:val="left"/>
                        </w:pPr>
                        <w:r>
                          <w:rPr>
                            <w:rFonts w:ascii="宋体" w:hAnsi="宋体" w:cs="宋体" w:eastAsia="宋体"/>
                            <w:sz w:val="20"/>
                          </w:rPr>
                          <w:t>1</w:t>
                        </w:r>
                        <w:r>
                          <w:rPr>
                            <w:rFonts w:ascii="宋体" w:hAnsi="宋体" w:cs="宋体" w:eastAsia="宋体"/>
                            <w:sz w:val="20"/>
                          </w:rPr>
                          <w:t>.数据资产评估认知</w:t>
                        </w:r>
                      </w:p>
                      <w:p>
                        <w:pPr>
                          <w:pStyle w:val="null3"/>
                          <w:jc w:val="left"/>
                        </w:pPr>
                        <w:r>
                          <w:rPr>
                            <w:rFonts w:ascii="宋体" w:hAnsi="宋体" w:cs="宋体" w:eastAsia="宋体"/>
                            <w:sz w:val="20"/>
                          </w:rPr>
                          <w:t>1.1</w:t>
                        </w:r>
                        <w:r>
                          <w:rPr>
                            <w:rFonts w:ascii="宋体" w:hAnsi="宋体" w:cs="宋体" w:eastAsia="宋体"/>
                            <w:sz w:val="20"/>
                          </w:rPr>
                          <w:t>数据资产评估相关概念</w:t>
                        </w:r>
                      </w:p>
                      <w:p>
                        <w:pPr>
                          <w:pStyle w:val="null3"/>
                          <w:jc w:val="left"/>
                        </w:pPr>
                        <w:r>
                          <w:rPr>
                            <w:rFonts w:ascii="宋体" w:hAnsi="宋体" w:cs="宋体" w:eastAsia="宋体"/>
                            <w:sz w:val="20"/>
                          </w:rPr>
                          <w:t>1.2</w:t>
                        </w:r>
                        <w:r>
                          <w:rPr>
                            <w:rFonts w:ascii="宋体" w:hAnsi="宋体" w:cs="宋体" w:eastAsia="宋体"/>
                            <w:sz w:val="20"/>
                          </w:rPr>
                          <w:t>数据资产评估基本事项</w:t>
                        </w:r>
                      </w:p>
                      <w:p>
                        <w:pPr>
                          <w:pStyle w:val="null3"/>
                          <w:jc w:val="left"/>
                        </w:pPr>
                        <w:r>
                          <w:rPr>
                            <w:rFonts w:ascii="宋体" w:hAnsi="宋体" w:cs="宋体" w:eastAsia="宋体"/>
                            <w:sz w:val="20"/>
                          </w:rPr>
                          <w:t>1.3</w:t>
                        </w:r>
                        <w:r>
                          <w:rPr>
                            <w:rFonts w:ascii="宋体" w:hAnsi="宋体" w:cs="宋体" w:eastAsia="宋体"/>
                            <w:sz w:val="20"/>
                          </w:rPr>
                          <w:t>数据资产评估法律制度与准则</w:t>
                        </w:r>
                      </w:p>
                      <w:p>
                        <w:pPr>
                          <w:pStyle w:val="null3"/>
                          <w:jc w:val="left"/>
                        </w:pPr>
                        <w:r>
                          <w:rPr>
                            <w:rFonts w:ascii="宋体" w:hAnsi="宋体" w:cs="宋体" w:eastAsia="宋体"/>
                            <w:sz w:val="20"/>
                          </w:rPr>
                          <w:t>1.4数据资产评估发展</w:t>
                        </w:r>
                      </w:p>
                      <w:p>
                        <w:pPr>
                          <w:pStyle w:val="null3"/>
                          <w:jc w:val="left"/>
                        </w:pPr>
                        <w:r>
                          <w:rPr>
                            <w:rFonts w:ascii="宋体" w:hAnsi="宋体" w:cs="宋体" w:eastAsia="宋体"/>
                            <w:sz w:val="20"/>
                          </w:rPr>
                          <w:t>2</w:t>
                        </w:r>
                        <w:r>
                          <w:rPr>
                            <w:rFonts w:ascii="宋体" w:hAnsi="宋体" w:cs="宋体" w:eastAsia="宋体"/>
                            <w:sz w:val="20"/>
                          </w:rPr>
                          <w:t>.评估项目计划制定</w:t>
                        </w:r>
                      </w:p>
                      <w:p>
                        <w:pPr>
                          <w:pStyle w:val="null3"/>
                          <w:jc w:val="left"/>
                        </w:pPr>
                        <w:r>
                          <w:rPr>
                            <w:rFonts w:ascii="宋体" w:hAnsi="宋体" w:cs="宋体" w:eastAsia="宋体"/>
                            <w:sz w:val="20"/>
                          </w:rPr>
                          <w:t>2.1</w:t>
                        </w:r>
                        <w:r>
                          <w:rPr>
                            <w:rFonts w:ascii="宋体" w:hAnsi="宋体" w:cs="宋体" w:eastAsia="宋体"/>
                            <w:sz w:val="20"/>
                          </w:rPr>
                          <w:t>业务基本事项明确</w:t>
                        </w:r>
                      </w:p>
                      <w:p>
                        <w:pPr>
                          <w:pStyle w:val="null3"/>
                          <w:jc w:val="left"/>
                        </w:pPr>
                        <w:r>
                          <w:rPr>
                            <w:rFonts w:ascii="宋体" w:hAnsi="宋体" w:cs="宋体" w:eastAsia="宋体"/>
                            <w:sz w:val="20"/>
                          </w:rPr>
                          <w:t>2.2</w:t>
                        </w:r>
                        <w:r>
                          <w:rPr>
                            <w:rFonts w:ascii="宋体" w:hAnsi="宋体" w:cs="宋体" w:eastAsia="宋体"/>
                            <w:sz w:val="20"/>
                          </w:rPr>
                          <w:t>业务委托合同签订</w:t>
                        </w:r>
                      </w:p>
                      <w:p>
                        <w:pPr>
                          <w:pStyle w:val="null3"/>
                          <w:jc w:val="left"/>
                        </w:pPr>
                        <w:r>
                          <w:rPr>
                            <w:rFonts w:ascii="宋体" w:hAnsi="宋体" w:cs="宋体" w:eastAsia="宋体"/>
                            <w:sz w:val="20"/>
                          </w:rPr>
                          <w:t>2.3</w:t>
                        </w:r>
                        <w:r>
                          <w:rPr>
                            <w:rFonts w:ascii="宋体" w:hAnsi="宋体" w:cs="宋体" w:eastAsia="宋体"/>
                            <w:sz w:val="20"/>
                          </w:rPr>
                          <w:t>价值评估计划编制</w:t>
                        </w:r>
                      </w:p>
                      <w:p>
                        <w:pPr>
                          <w:pStyle w:val="null3"/>
                          <w:jc w:val="left"/>
                        </w:pPr>
                        <w:r>
                          <w:rPr>
                            <w:rFonts w:ascii="宋体" w:hAnsi="宋体" w:cs="宋体" w:eastAsia="宋体"/>
                            <w:sz w:val="20"/>
                          </w:rPr>
                          <w:t>3</w:t>
                        </w:r>
                        <w:r>
                          <w:rPr>
                            <w:rFonts w:ascii="宋体" w:hAnsi="宋体" w:cs="宋体" w:eastAsia="宋体"/>
                            <w:sz w:val="20"/>
                          </w:rPr>
                          <w:t>.现场调查与资料整理</w:t>
                        </w:r>
                      </w:p>
                      <w:p>
                        <w:pPr>
                          <w:pStyle w:val="null3"/>
                          <w:jc w:val="left"/>
                        </w:pPr>
                        <w:r>
                          <w:rPr>
                            <w:rFonts w:ascii="宋体" w:hAnsi="宋体" w:cs="宋体" w:eastAsia="宋体"/>
                            <w:sz w:val="20"/>
                          </w:rPr>
                          <w:t>3.1现场调查实施</w:t>
                        </w:r>
                      </w:p>
                      <w:p>
                        <w:pPr>
                          <w:pStyle w:val="null3"/>
                          <w:jc w:val="left"/>
                        </w:pPr>
                        <w:r>
                          <w:rPr>
                            <w:rFonts w:ascii="宋体" w:hAnsi="宋体" w:cs="宋体" w:eastAsia="宋体"/>
                            <w:sz w:val="20"/>
                          </w:rPr>
                          <w:t>3.2评估资料整理</w:t>
                        </w:r>
                      </w:p>
                      <w:p>
                        <w:pPr>
                          <w:pStyle w:val="null3"/>
                          <w:jc w:val="left"/>
                        </w:pPr>
                        <w:r>
                          <w:rPr>
                            <w:rFonts w:ascii="宋体" w:hAnsi="宋体" w:cs="宋体" w:eastAsia="宋体"/>
                            <w:sz w:val="20"/>
                          </w:rPr>
                          <w:t>4</w:t>
                        </w:r>
                        <w:r>
                          <w:rPr>
                            <w:rFonts w:ascii="宋体" w:hAnsi="宋体" w:cs="宋体" w:eastAsia="宋体"/>
                            <w:sz w:val="20"/>
                          </w:rPr>
                          <w:t>.数据资产评估方法及应用</w:t>
                        </w:r>
                      </w:p>
                      <w:p>
                        <w:pPr>
                          <w:pStyle w:val="null3"/>
                          <w:jc w:val="left"/>
                        </w:pPr>
                        <w:r>
                          <w:rPr>
                            <w:rFonts w:ascii="宋体" w:hAnsi="宋体" w:cs="宋体" w:eastAsia="宋体"/>
                            <w:sz w:val="20"/>
                          </w:rPr>
                          <w:t>4.1</w:t>
                        </w:r>
                        <w:r>
                          <w:rPr>
                            <w:rFonts w:ascii="宋体" w:hAnsi="宋体" w:cs="宋体" w:eastAsia="宋体"/>
                            <w:sz w:val="20"/>
                          </w:rPr>
                          <w:t>数据资产评估方法概述</w:t>
                        </w:r>
                      </w:p>
                      <w:p>
                        <w:pPr>
                          <w:pStyle w:val="null3"/>
                          <w:jc w:val="left"/>
                        </w:pPr>
                        <w:r>
                          <w:rPr>
                            <w:rFonts w:ascii="宋体" w:hAnsi="宋体" w:cs="宋体" w:eastAsia="宋体"/>
                            <w:sz w:val="20"/>
                          </w:rPr>
                          <w:t>4.2</w:t>
                        </w:r>
                        <w:r>
                          <w:rPr>
                            <w:rFonts w:ascii="宋体" w:hAnsi="宋体" w:cs="宋体" w:eastAsia="宋体"/>
                            <w:sz w:val="20"/>
                          </w:rPr>
                          <w:t>数据资产成本法评估及应用</w:t>
                        </w:r>
                      </w:p>
                      <w:p>
                        <w:pPr>
                          <w:pStyle w:val="null3"/>
                          <w:jc w:val="left"/>
                        </w:pPr>
                        <w:r>
                          <w:rPr>
                            <w:rFonts w:ascii="宋体" w:hAnsi="宋体" w:cs="宋体" w:eastAsia="宋体"/>
                            <w:sz w:val="20"/>
                          </w:rPr>
                          <w:t>4.3</w:t>
                        </w:r>
                        <w:r>
                          <w:rPr>
                            <w:rFonts w:ascii="宋体" w:hAnsi="宋体" w:cs="宋体" w:eastAsia="宋体"/>
                            <w:sz w:val="20"/>
                          </w:rPr>
                          <w:t>数据资产收益法评估及应用</w:t>
                        </w:r>
                      </w:p>
                      <w:p>
                        <w:pPr>
                          <w:pStyle w:val="null3"/>
                          <w:jc w:val="left"/>
                        </w:pPr>
                        <w:r>
                          <w:rPr>
                            <w:rFonts w:ascii="宋体" w:hAnsi="宋体" w:cs="宋体" w:eastAsia="宋体"/>
                            <w:sz w:val="20"/>
                          </w:rPr>
                          <w:t>4.4数据资产市场法评估及应用</w:t>
                        </w:r>
                      </w:p>
                      <w:p>
                        <w:pPr>
                          <w:pStyle w:val="null3"/>
                          <w:jc w:val="left"/>
                        </w:pPr>
                        <w:r>
                          <w:rPr>
                            <w:rFonts w:ascii="宋体" w:hAnsi="宋体" w:cs="宋体" w:eastAsia="宋体"/>
                            <w:sz w:val="20"/>
                          </w:rPr>
                          <w:t>5</w:t>
                        </w:r>
                        <w:r>
                          <w:rPr>
                            <w:rFonts w:ascii="宋体" w:hAnsi="宋体" w:cs="宋体" w:eastAsia="宋体"/>
                            <w:sz w:val="20"/>
                          </w:rPr>
                          <w:t>.评估报告编制与档案归档</w:t>
                        </w:r>
                      </w:p>
                      <w:p>
                        <w:pPr>
                          <w:pStyle w:val="null3"/>
                          <w:jc w:val="left"/>
                        </w:pPr>
                        <w:r>
                          <w:rPr>
                            <w:rFonts w:ascii="宋体" w:hAnsi="宋体" w:cs="宋体" w:eastAsia="宋体"/>
                            <w:sz w:val="20"/>
                          </w:rPr>
                          <w:t>5.1</w:t>
                        </w:r>
                        <w:r>
                          <w:rPr>
                            <w:rFonts w:ascii="宋体" w:hAnsi="宋体" w:cs="宋体" w:eastAsia="宋体"/>
                            <w:sz w:val="20"/>
                          </w:rPr>
                          <w:t>资产评估报告概述</w:t>
                        </w:r>
                      </w:p>
                      <w:p>
                        <w:pPr>
                          <w:pStyle w:val="null3"/>
                          <w:jc w:val="left"/>
                        </w:pPr>
                        <w:r>
                          <w:rPr>
                            <w:rFonts w:ascii="宋体" w:hAnsi="宋体" w:cs="宋体" w:eastAsia="宋体"/>
                            <w:sz w:val="20"/>
                          </w:rPr>
                          <w:t>5.2</w:t>
                        </w:r>
                        <w:r>
                          <w:rPr>
                            <w:rFonts w:ascii="宋体" w:hAnsi="宋体" w:cs="宋体" w:eastAsia="宋体"/>
                            <w:sz w:val="20"/>
                          </w:rPr>
                          <w:t>资产评估报告的基本内容</w:t>
                        </w:r>
                      </w:p>
                      <w:p>
                        <w:pPr>
                          <w:pStyle w:val="null3"/>
                          <w:jc w:val="left"/>
                        </w:pPr>
                        <w:r>
                          <w:rPr>
                            <w:rFonts w:ascii="宋体" w:hAnsi="宋体" w:cs="宋体" w:eastAsia="宋体"/>
                            <w:sz w:val="20"/>
                          </w:rPr>
                          <w:t>5.3</w:t>
                        </w:r>
                        <w:r>
                          <w:rPr>
                            <w:rFonts w:ascii="宋体" w:hAnsi="宋体" w:cs="宋体" w:eastAsia="宋体"/>
                            <w:sz w:val="20"/>
                          </w:rPr>
                          <w:t>资产评估报告编制与出具</w:t>
                        </w:r>
                      </w:p>
                      <w:p>
                        <w:pPr>
                          <w:pStyle w:val="null3"/>
                          <w:jc w:val="left"/>
                        </w:pPr>
                        <w:r>
                          <w:rPr>
                            <w:rFonts w:ascii="宋体" w:hAnsi="宋体" w:cs="宋体" w:eastAsia="宋体"/>
                            <w:sz w:val="20"/>
                          </w:rPr>
                          <w:t>5.4资产评估档案的概念与内容</w:t>
                        </w:r>
                      </w:p>
                      <w:p>
                        <w:pPr>
                          <w:pStyle w:val="null3"/>
                          <w:jc w:val="left"/>
                        </w:pPr>
                        <w:r>
                          <w:rPr>
                            <w:rFonts w:ascii="宋体" w:hAnsi="宋体" w:cs="宋体" w:eastAsia="宋体"/>
                            <w:sz w:val="20"/>
                          </w:rPr>
                          <w:t>5.5</w:t>
                        </w:r>
                        <w:r>
                          <w:rPr>
                            <w:rFonts w:ascii="宋体" w:hAnsi="宋体" w:cs="宋体" w:eastAsia="宋体"/>
                            <w:sz w:val="20"/>
                          </w:rPr>
                          <w:t>资产评估档案的整理与归档</w:t>
                        </w:r>
                      </w:p>
                    </w:tc>
                    <w:tc>
                      <w:tcPr>
                        <w:tcW w:type="dxa" w:w="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48课时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课程资源</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《数据资产评估》课程资源丰富，包含</w:t>
                        </w:r>
                        <w:r>
                          <w:rPr>
                            <w:rFonts w:ascii="宋体" w:hAnsi="宋体" w:cs="宋体" w:eastAsia="宋体"/>
                            <w:sz w:val="20"/>
                          </w:rPr>
                          <w:t>PPT、动画、视频等课程资源：</w:t>
                        </w:r>
                      </w:p>
                      <w:p>
                        <w:pPr>
                          <w:pStyle w:val="null3"/>
                          <w:jc w:val="left"/>
                        </w:pPr>
                        <w:r>
                          <w:rPr>
                            <w:rFonts w:ascii="宋体" w:hAnsi="宋体" w:cs="宋体" w:eastAsia="宋体"/>
                            <w:sz w:val="20"/>
                          </w:rPr>
                          <w:t>电子教案</w:t>
                        </w:r>
                        <w:r>
                          <w:rPr>
                            <w:rFonts w:ascii="宋体" w:hAnsi="宋体" w:cs="宋体" w:eastAsia="宋体"/>
                            <w:sz w:val="20"/>
                          </w:rPr>
                          <w:t>PPT数量不少于40个；</w:t>
                        </w:r>
                      </w:p>
                      <w:p>
                        <w:pPr>
                          <w:pStyle w:val="null3"/>
                          <w:jc w:val="left"/>
                        </w:pPr>
                        <w:r>
                          <w:rPr>
                            <w:rFonts w:ascii="宋体" w:hAnsi="宋体" w:cs="宋体" w:eastAsia="宋体"/>
                            <w:sz w:val="20"/>
                          </w:rPr>
                          <w:t>情景动画数量不少于</w:t>
                        </w:r>
                        <w:r>
                          <w:rPr>
                            <w:rFonts w:ascii="宋体" w:hAnsi="宋体" w:cs="宋体" w:eastAsia="宋体"/>
                            <w:sz w:val="20"/>
                          </w:rPr>
                          <w:t>10个；</w:t>
                        </w:r>
                      </w:p>
                      <w:p>
                        <w:pPr>
                          <w:pStyle w:val="null3"/>
                          <w:jc w:val="left"/>
                        </w:pPr>
                        <w:r>
                          <w:rPr>
                            <w:rFonts w:ascii="宋体" w:hAnsi="宋体" w:cs="宋体" w:eastAsia="宋体"/>
                            <w:sz w:val="20"/>
                          </w:rPr>
                          <w:t>视频微课数量不少于</w:t>
                        </w:r>
                        <w:r>
                          <w:rPr>
                            <w:rFonts w:ascii="宋体" w:hAnsi="宋体" w:cs="宋体" w:eastAsia="宋体"/>
                            <w:sz w:val="20"/>
                          </w:rPr>
                          <w:t>40个，每个微课时长5-15分钟；</w:t>
                        </w:r>
                      </w:p>
                      <w:p>
                        <w:pPr>
                          <w:pStyle w:val="null3"/>
                          <w:jc w:val="left"/>
                        </w:pPr>
                        <w:r>
                          <w:rPr>
                            <w:rFonts w:ascii="宋体" w:hAnsi="宋体" w:cs="宋体" w:eastAsia="宋体"/>
                            <w:sz w:val="20"/>
                          </w:rPr>
                          <w:t>富媒体、</w:t>
                        </w:r>
                        <w:r>
                          <w:rPr>
                            <w:rFonts w:ascii="宋体" w:hAnsi="宋体" w:cs="宋体" w:eastAsia="宋体"/>
                            <w:sz w:val="20"/>
                          </w:rPr>
                          <w:t>PDF、EXCEL等文件资源数量若干；</w:t>
                        </w:r>
                      </w:p>
                      <w:p>
                        <w:pPr>
                          <w:pStyle w:val="null3"/>
                          <w:jc w:val="left"/>
                        </w:pPr>
                        <w:r>
                          <w:rPr>
                            <w:rFonts w:ascii="宋体" w:hAnsi="宋体" w:cs="宋体" w:eastAsia="宋体"/>
                            <w:sz w:val="20"/>
                          </w:rPr>
                          <w:t>随堂练习客观题数量不少于</w:t>
                        </w:r>
                        <w:r>
                          <w:rPr>
                            <w:rFonts w:ascii="宋体" w:hAnsi="宋体" w:cs="宋体" w:eastAsia="宋体"/>
                            <w:sz w:val="20"/>
                          </w:rPr>
                          <w:t>200道；</w:t>
                        </w:r>
                      </w:p>
                      <w:p>
                        <w:pPr>
                          <w:pStyle w:val="null3"/>
                          <w:jc w:val="left"/>
                        </w:pPr>
                        <w:r>
                          <w:rPr>
                            <w:rFonts w:ascii="宋体" w:hAnsi="宋体" w:cs="宋体" w:eastAsia="宋体"/>
                            <w:sz w:val="20"/>
                          </w:rPr>
                          <w:t>期末测评试题</w:t>
                        </w:r>
                        <w:r>
                          <w:rPr>
                            <w:rFonts w:ascii="宋体" w:hAnsi="宋体" w:cs="宋体" w:eastAsia="宋体"/>
                            <w:sz w:val="20"/>
                          </w:rPr>
                          <w:t>3套；</w:t>
                        </w:r>
                      </w:p>
                      <w:p>
                        <w:pPr>
                          <w:pStyle w:val="null3"/>
                          <w:jc w:val="left"/>
                        </w:pPr>
                        <w:r>
                          <w:rPr>
                            <w:rFonts w:ascii="宋体" w:hAnsi="宋体" w:cs="宋体" w:eastAsia="宋体"/>
                            <w:sz w:val="20"/>
                          </w:rPr>
                          <w:t>提供课程简介、课程大纲、课时安排等教学文件及参考资料。</w:t>
                        </w:r>
                      </w:p>
                    </w:tc>
                    <w:tc>
                      <w:tcPr>
                        <w:tcW w:type="dxa" w:w="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宋体" w:hAnsi="宋体" w:cs="宋体" w:eastAsia="宋体"/>
                      <w:sz w:val="20"/>
                    </w:rPr>
                    <w:t>（三）数据资产核算实训</w:t>
                  </w:r>
                </w:p>
                <w:tbl>
                  <w:tblPr>
                    <w:tblBorders>
                      <w:top w:val="none" w:color="000000" w:sz="4"/>
                      <w:left w:val="none" w:color="000000" w:sz="4"/>
                      <w:bottom w:val="none" w:color="000000" w:sz="4"/>
                      <w:right w:val="none" w:color="000000" w:sz="4"/>
                      <w:insideH w:val="none"/>
                      <w:insideV w:val="none"/>
                    </w:tblBorders>
                  </w:tblPr>
                  <w:tblGrid>
                    <w:gridCol w:w="97"/>
                    <w:gridCol w:w="474"/>
                    <w:gridCol w:w="64"/>
                  </w:tblGrid>
                  <w:tr>
                    <w:tc>
                      <w:tcPr>
                        <w:tcW w:type="dxa" w:w="57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技术规格与参数</w:t>
                        </w:r>
                      </w:p>
                    </w:tc>
                    <w:tc>
                      <w:tcPr>
                        <w:tcW w:type="dxa" w:w="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说明</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课程简介</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《数据资产核算》实训课程培养学生数据资产成本管理和会计核算的能力，学生掌握对数据资产进行成本归集与分摊、数字资产的确认与计量、增减变动、折旧</w:t>
                        </w:r>
                        <w:r>
                          <w:rPr>
                            <w:rFonts w:ascii="宋体" w:hAnsi="宋体" w:cs="宋体" w:eastAsia="宋体"/>
                            <w:sz w:val="20"/>
                          </w:rPr>
                          <w:t>/摊销、减值损失、抵押/担保等典型数字资产管理应用，为企业实现数据资源化、资产化和资本化提供切实可行的实践路径，对改善企业财务报表结构会有一定的帮助。扩宽学生的技能领域，实现数据资源全过程管理的合规化、标准化、增值化。</w:t>
                        </w:r>
                      </w:p>
                    </w:tc>
                    <w:tc>
                      <w:tcPr>
                        <w:tcW w:type="dxa" w:w="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课程内容</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《数据资产核算》课程主要包括</w:t>
                        </w:r>
                        <w:r>
                          <w:rPr>
                            <w:rFonts w:ascii="宋体" w:hAnsi="宋体" w:cs="宋体" w:eastAsia="宋体"/>
                            <w:sz w:val="20"/>
                          </w:rPr>
                          <w:t>5个单元，具体如下：</w:t>
                        </w:r>
                      </w:p>
                      <w:p>
                        <w:pPr>
                          <w:pStyle w:val="null3"/>
                          <w:jc w:val="left"/>
                        </w:pPr>
                        <w:r>
                          <w:rPr>
                            <w:rFonts w:ascii="宋体" w:hAnsi="宋体" w:cs="宋体" w:eastAsia="宋体"/>
                            <w:sz w:val="20"/>
                          </w:rPr>
                          <w:t>1.数据资源核算认知</w:t>
                        </w:r>
                      </w:p>
                      <w:p>
                        <w:pPr>
                          <w:pStyle w:val="null3"/>
                          <w:jc w:val="left"/>
                        </w:pPr>
                        <w:r>
                          <w:rPr>
                            <w:rFonts w:ascii="宋体" w:hAnsi="宋体" w:cs="宋体" w:eastAsia="宋体"/>
                            <w:sz w:val="20"/>
                          </w:rPr>
                          <w:t>1.1数据资源核算相关概念</w:t>
                        </w:r>
                      </w:p>
                      <w:p>
                        <w:pPr>
                          <w:pStyle w:val="null3"/>
                          <w:jc w:val="left"/>
                        </w:pPr>
                        <w:r>
                          <w:rPr>
                            <w:rFonts w:ascii="宋体" w:hAnsi="宋体" w:cs="宋体" w:eastAsia="宋体"/>
                            <w:sz w:val="20"/>
                          </w:rPr>
                          <w:t>1.2企业数据资源相关会计处理基本要求</w:t>
                        </w:r>
                      </w:p>
                      <w:p>
                        <w:pPr>
                          <w:pStyle w:val="null3"/>
                          <w:jc w:val="left"/>
                        </w:pPr>
                        <w:r>
                          <w:rPr>
                            <w:rFonts w:ascii="宋体" w:hAnsi="宋体" w:cs="宋体" w:eastAsia="宋体"/>
                            <w:sz w:val="20"/>
                          </w:rPr>
                          <w:t>1.3数据资源入表基本流程</w:t>
                        </w:r>
                      </w:p>
                      <w:p>
                        <w:pPr>
                          <w:pStyle w:val="null3"/>
                          <w:jc w:val="left"/>
                        </w:pPr>
                        <w:r>
                          <w:rPr>
                            <w:rFonts w:ascii="宋体" w:hAnsi="宋体" w:cs="宋体" w:eastAsia="宋体"/>
                            <w:sz w:val="20"/>
                          </w:rPr>
                          <w:t>2.数据资产成本计算</w:t>
                        </w:r>
                      </w:p>
                      <w:p>
                        <w:pPr>
                          <w:pStyle w:val="null3"/>
                          <w:jc w:val="left"/>
                        </w:pPr>
                        <w:r>
                          <w:rPr>
                            <w:rFonts w:ascii="宋体" w:hAnsi="宋体" w:cs="宋体" w:eastAsia="宋体"/>
                            <w:sz w:val="20"/>
                          </w:rPr>
                          <w:t>2.1数据资产成本构成</w:t>
                        </w:r>
                      </w:p>
                      <w:p>
                        <w:pPr>
                          <w:pStyle w:val="null3"/>
                          <w:jc w:val="left"/>
                        </w:pPr>
                        <w:r>
                          <w:rPr>
                            <w:rFonts w:ascii="宋体" w:hAnsi="宋体" w:cs="宋体" w:eastAsia="宋体"/>
                            <w:sz w:val="20"/>
                          </w:rPr>
                          <w:t>2.2数据资源成本归集与分配</w:t>
                        </w:r>
                      </w:p>
                      <w:p>
                        <w:pPr>
                          <w:pStyle w:val="null3"/>
                          <w:jc w:val="left"/>
                        </w:pPr>
                        <w:r>
                          <w:rPr>
                            <w:rFonts w:ascii="宋体" w:hAnsi="宋体" w:cs="宋体" w:eastAsia="宋体"/>
                            <w:sz w:val="20"/>
                          </w:rPr>
                          <w:t>2.3数据资产成本核算方法</w:t>
                        </w:r>
                      </w:p>
                      <w:p>
                        <w:pPr>
                          <w:pStyle w:val="null3"/>
                          <w:jc w:val="left"/>
                        </w:pPr>
                        <w:r>
                          <w:rPr>
                            <w:rFonts w:ascii="宋体" w:hAnsi="宋体" w:cs="宋体" w:eastAsia="宋体"/>
                            <w:sz w:val="20"/>
                          </w:rPr>
                          <w:t>3.数据资源存货核算</w:t>
                        </w:r>
                      </w:p>
                      <w:p>
                        <w:pPr>
                          <w:pStyle w:val="null3"/>
                          <w:jc w:val="left"/>
                        </w:pPr>
                        <w:r>
                          <w:rPr>
                            <w:rFonts w:ascii="宋体" w:hAnsi="宋体" w:cs="宋体" w:eastAsia="宋体"/>
                            <w:sz w:val="20"/>
                          </w:rPr>
                          <w:t>3.1数据资源存货依据准则</w:t>
                        </w:r>
                      </w:p>
                      <w:p>
                        <w:pPr>
                          <w:pStyle w:val="null3"/>
                          <w:jc w:val="left"/>
                        </w:pPr>
                        <w:r>
                          <w:rPr>
                            <w:rFonts w:ascii="宋体" w:hAnsi="宋体" w:cs="宋体" w:eastAsia="宋体"/>
                            <w:sz w:val="20"/>
                          </w:rPr>
                          <w:t>3.2数据资源存货确认</w:t>
                        </w:r>
                      </w:p>
                      <w:p>
                        <w:pPr>
                          <w:pStyle w:val="null3"/>
                          <w:jc w:val="left"/>
                        </w:pPr>
                        <w:r>
                          <w:rPr>
                            <w:rFonts w:ascii="宋体" w:hAnsi="宋体" w:cs="宋体" w:eastAsia="宋体"/>
                            <w:sz w:val="20"/>
                          </w:rPr>
                          <w:t>3.3数据资源存货初始计量</w:t>
                        </w:r>
                      </w:p>
                      <w:p>
                        <w:pPr>
                          <w:pStyle w:val="null3"/>
                          <w:jc w:val="left"/>
                        </w:pPr>
                        <w:r>
                          <w:rPr>
                            <w:rFonts w:ascii="宋体" w:hAnsi="宋体" w:cs="宋体" w:eastAsia="宋体"/>
                            <w:sz w:val="20"/>
                          </w:rPr>
                          <w:t>3.4数据资源存货后续计量</w:t>
                        </w:r>
                      </w:p>
                      <w:p>
                        <w:pPr>
                          <w:pStyle w:val="null3"/>
                          <w:jc w:val="left"/>
                        </w:pPr>
                        <w:r>
                          <w:rPr>
                            <w:rFonts w:ascii="宋体" w:hAnsi="宋体" w:cs="宋体" w:eastAsia="宋体"/>
                            <w:sz w:val="20"/>
                          </w:rPr>
                          <w:t>4.数据资源无形资产核算</w:t>
                        </w:r>
                      </w:p>
                      <w:p>
                        <w:pPr>
                          <w:pStyle w:val="null3"/>
                          <w:jc w:val="left"/>
                        </w:pPr>
                        <w:r>
                          <w:rPr>
                            <w:rFonts w:ascii="宋体" w:hAnsi="宋体" w:cs="宋体" w:eastAsia="宋体"/>
                            <w:sz w:val="20"/>
                          </w:rPr>
                          <w:t>4.1数据资源存货依据准则</w:t>
                        </w:r>
                      </w:p>
                      <w:p>
                        <w:pPr>
                          <w:pStyle w:val="null3"/>
                          <w:jc w:val="left"/>
                        </w:pPr>
                        <w:r>
                          <w:rPr>
                            <w:rFonts w:ascii="宋体" w:hAnsi="宋体" w:cs="宋体" w:eastAsia="宋体"/>
                            <w:sz w:val="20"/>
                          </w:rPr>
                          <w:t>4.2数据资源无形资产确认</w:t>
                        </w:r>
                      </w:p>
                      <w:p>
                        <w:pPr>
                          <w:pStyle w:val="null3"/>
                          <w:jc w:val="left"/>
                        </w:pPr>
                        <w:r>
                          <w:rPr>
                            <w:rFonts w:ascii="宋体" w:hAnsi="宋体" w:cs="宋体" w:eastAsia="宋体"/>
                            <w:sz w:val="20"/>
                          </w:rPr>
                          <w:t>4.3数据资源无形资产初始计量</w:t>
                        </w:r>
                      </w:p>
                      <w:p>
                        <w:pPr>
                          <w:pStyle w:val="null3"/>
                          <w:jc w:val="left"/>
                        </w:pPr>
                        <w:r>
                          <w:rPr>
                            <w:rFonts w:ascii="宋体" w:hAnsi="宋体" w:cs="宋体" w:eastAsia="宋体"/>
                            <w:sz w:val="20"/>
                          </w:rPr>
                          <w:t>4.4数据资源无形资产后续计量</w:t>
                        </w:r>
                      </w:p>
                      <w:p>
                        <w:pPr>
                          <w:pStyle w:val="null3"/>
                          <w:jc w:val="left"/>
                        </w:pPr>
                        <w:r>
                          <w:rPr>
                            <w:rFonts w:ascii="宋体" w:hAnsi="宋体" w:cs="宋体" w:eastAsia="宋体"/>
                            <w:sz w:val="20"/>
                          </w:rPr>
                          <w:t>5.列报与披露</w:t>
                        </w:r>
                      </w:p>
                      <w:p>
                        <w:pPr>
                          <w:pStyle w:val="null3"/>
                          <w:jc w:val="left"/>
                        </w:pPr>
                        <w:r>
                          <w:rPr>
                            <w:rFonts w:ascii="宋体" w:hAnsi="宋体" w:cs="宋体" w:eastAsia="宋体"/>
                            <w:sz w:val="20"/>
                          </w:rPr>
                          <w:t>5.1列报</w:t>
                        </w:r>
                      </w:p>
                      <w:p>
                        <w:pPr>
                          <w:pStyle w:val="null3"/>
                          <w:jc w:val="left"/>
                        </w:pPr>
                        <w:r>
                          <w:rPr>
                            <w:rFonts w:ascii="宋体" w:hAnsi="宋体" w:cs="宋体" w:eastAsia="宋体"/>
                            <w:sz w:val="20"/>
                          </w:rPr>
                          <w:t>5.2披露</w:t>
                        </w:r>
                      </w:p>
                    </w:tc>
                    <w:tc>
                      <w:tcPr>
                        <w:tcW w:type="dxa" w:w="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48课时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课程资源</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《数据资产核算》课程资源丰富，包含</w:t>
                        </w:r>
                        <w:r>
                          <w:rPr>
                            <w:rFonts w:ascii="宋体" w:hAnsi="宋体" w:cs="宋体" w:eastAsia="宋体"/>
                            <w:sz w:val="20"/>
                          </w:rPr>
                          <w:t>PPT、动画、视频等课程资源：</w:t>
                        </w:r>
                      </w:p>
                      <w:p>
                        <w:pPr>
                          <w:pStyle w:val="null3"/>
                          <w:jc w:val="left"/>
                        </w:pPr>
                        <w:r>
                          <w:rPr>
                            <w:rFonts w:ascii="宋体" w:hAnsi="宋体" w:cs="宋体" w:eastAsia="宋体"/>
                            <w:sz w:val="20"/>
                          </w:rPr>
                          <w:t>电子教案</w:t>
                        </w:r>
                        <w:r>
                          <w:rPr>
                            <w:rFonts w:ascii="宋体" w:hAnsi="宋体" w:cs="宋体" w:eastAsia="宋体"/>
                            <w:sz w:val="20"/>
                          </w:rPr>
                          <w:t>PPT数量不少于15个；</w:t>
                        </w:r>
                      </w:p>
                      <w:p>
                        <w:pPr>
                          <w:pStyle w:val="null3"/>
                          <w:jc w:val="left"/>
                        </w:pPr>
                        <w:r>
                          <w:rPr>
                            <w:rFonts w:ascii="宋体" w:hAnsi="宋体" w:cs="宋体" w:eastAsia="宋体"/>
                            <w:sz w:val="20"/>
                          </w:rPr>
                          <w:t>情景动画数量不少于</w:t>
                        </w:r>
                        <w:r>
                          <w:rPr>
                            <w:rFonts w:ascii="宋体" w:hAnsi="宋体" w:cs="宋体" w:eastAsia="宋体"/>
                            <w:sz w:val="20"/>
                          </w:rPr>
                          <w:t>10个；</w:t>
                        </w:r>
                      </w:p>
                      <w:p>
                        <w:pPr>
                          <w:pStyle w:val="null3"/>
                          <w:jc w:val="left"/>
                        </w:pPr>
                        <w:r>
                          <w:rPr>
                            <w:rFonts w:ascii="宋体" w:hAnsi="宋体" w:cs="宋体" w:eastAsia="宋体"/>
                            <w:sz w:val="20"/>
                          </w:rPr>
                          <w:t>视频微课数量不少于</w:t>
                        </w:r>
                        <w:r>
                          <w:rPr>
                            <w:rFonts w:ascii="宋体" w:hAnsi="宋体" w:cs="宋体" w:eastAsia="宋体"/>
                            <w:sz w:val="20"/>
                          </w:rPr>
                          <w:t>30个，每个微课时长5-15分钟；</w:t>
                        </w:r>
                      </w:p>
                      <w:p>
                        <w:pPr>
                          <w:pStyle w:val="null3"/>
                          <w:jc w:val="left"/>
                        </w:pPr>
                        <w:r>
                          <w:rPr>
                            <w:rFonts w:ascii="宋体" w:hAnsi="宋体" w:cs="宋体" w:eastAsia="宋体"/>
                            <w:sz w:val="20"/>
                          </w:rPr>
                          <w:t>富媒体、</w:t>
                        </w:r>
                        <w:r>
                          <w:rPr>
                            <w:rFonts w:ascii="宋体" w:hAnsi="宋体" w:cs="宋体" w:eastAsia="宋体"/>
                            <w:sz w:val="20"/>
                          </w:rPr>
                          <w:t>PDF、EXCEL等文件资源数量若干；</w:t>
                        </w:r>
                      </w:p>
                      <w:p>
                        <w:pPr>
                          <w:pStyle w:val="null3"/>
                          <w:jc w:val="left"/>
                        </w:pPr>
                        <w:r>
                          <w:rPr>
                            <w:rFonts w:ascii="宋体" w:hAnsi="宋体" w:cs="宋体" w:eastAsia="宋体"/>
                            <w:sz w:val="20"/>
                          </w:rPr>
                          <w:t>随堂练习客观题数量不少于</w:t>
                        </w:r>
                        <w:r>
                          <w:rPr>
                            <w:rFonts w:ascii="宋体" w:hAnsi="宋体" w:cs="宋体" w:eastAsia="宋体"/>
                            <w:sz w:val="20"/>
                          </w:rPr>
                          <w:t>120道；</w:t>
                        </w:r>
                      </w:p>
                      <w:p>
                        <w:pPr>
                          <w:pStyle w:val="null3"/>
                          <w:jc w:val="left"/>
                        </w:pPr>
                        <w:r>
                          <w:rPr>
                            <w:rFonts w:ascii="宋体" w:hAnsi="宋体" w:cs="宋体" w:eastAsia="宋体"/>
                            <w:sz w:val="20"/>
                          </w:rPr>
                          <w:t>期末测评试题</w:t>
                        </w:r>
                        <w:r>
                          <w:rPr>
                            <w:rFonts w:ascii="宋体" w:hAnsi="宋体" w:cs="宋体" w:eastAsia="宋体"/>
                            <w:sz w:val="20"/>
                          </w:rPr>
                          <w:t>3套；</w:t>
                        </w:r>
                      </w:p>
                      <w:p>
                        <w:pPr>
                          <w:pStyle w:val="null3"/>
                          <w:jc w:val="left"/>
                        </w:pPr>
                        <w:r>
                          <w:rPr>
                            <w:rFonts w:ascii="宋体" w:hAnsi="宋体" w:cs="宋体" w:eastAsia="宋体"/>
                            <w:sz w:val="20"/>
                          </w:rPr>
                          <w:t>提供课程简介、课程大纲、课时安排等教学文件及参考资料。</w:t>
                        </w:r>
                      </w:p>
                    </w:tc>
                    <w:tc>
                      <w:tcPr>
                        <w:tcW w:type="dxa" w:w="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宋体" w:hAnsi="宋体" w:cs="宋体" w:eastAsia="宋体"/>
                      <w:sz w:val="20"/>
                    </w:rPr>
                    <w:t>（四）财务大数据开发与应用</w:t>
                  </w:r>
                </w:p>
                <w:tbl>
                  <w:tblPr>
                    <w:tblBorders>
                      <w:top w:val="none" w:color="000000" w:sz="4"/>
                      <w:left w:val="none" w:color="000000" w:sz="4"/>
                      <w:bottom w:val="none" w:color="000000" w:sz="4"/>
                      <w:right w:val="none" w:color="000000" w:sz="4"/>
                      <w:insideH w:val="none"/>
                      <w:insideV w:val="none"/>
                    </w:tblBorders>
                  </w:tblPr>
                  <w:tblGrid>
                    <w:gridCol w:w="97"/>
                    <w:gridCol w:w="474"/>
                    <w:gridCol w:w="64"/>
                  </w:tblGrid>
                  <w:tr>
                    <w:tc>
                      <w:tcPr>
                        <w:tcW w:type="dxa" w:w="57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技术规格与参数</w:t>
                        </w:r>
                      </w:p>
                    </w:tc>
                    <w:tc>
                      <w:tcPr>
                        <w:tcW w:type="dxa" w:w="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说明</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课程简介</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《财务大数据开发与应用》实训课程依托</w:t>
                        </w:r>
                        <w:r>
                          <w:rPr>
                            <w:rFonts w:ascii="宋体" w:hAnsi="宋体" w:cs="宋体" w:eastAsia="宋体"/>
                            <w:sz w:val="20"/>
                          </w:rPr>
                          <w:t>企业</w:t>
                        </w:r>
                        <w:r>
                          <w:rPr>
                            <w:rFonts w:ascii="宋体" w:hAnsi="宋体" w:cs="宋体" w:eastAsia="宋体"/>
                            <w:sz w:val="20"/>
                          </w:rPr>
                          <w:t>数据资产管理创新实践中心及多年积累的</w:t>
                        </w:r>
                        <w:r>
                          <w:rPr>
                            <w:rFonts w:ascii="宋体" w:hAnsi="宋体" w:cs="宋体" w:eastAsia="宋体"/>
                            <w:sz w:val="20"/>
                          </w:rPr>
                          <w:t>30余万家企业真实数据，以学生能力培养为主线，通过数据开发、数模港、元宇宙教学空间等平台系统，为零基础大数据技术师生设计，以“任务教学”和“做中学”为理念，让初学者快速掌握数据采集、数据预处理、数据挖掘与分析、数据分析报告撰写等大数据技术。力求最大化财务大数据的开发和应用潜力。旨在打造一个现代化的财务大数据开发与应用平台，激发创新思维，展现数据的真正价值，更能有效挖掘和发挥数据资产的潜力，实现数据对业务的持续赋能。通过本课程，学生将掌握大数据技术的运用，培养的自主学习、问题分析和运用大数据技术解决问题的能力，以适应人工智能时代的需求。</w:t>
                        </w:r>
                      </w:p>
                    </w:tc>
                    <w:tc>
                      <w:tcPr>
                        <w:tcW w:type="dxa" w:w="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课程内容</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《财务大数据开发与应用》课程主要包括</w:t>
                        </w:r>
                        <w:r>
                          <w:rPr>
                            <w:rFonts w:ascii="宋体" w:hAnsi="宋体" w:cs="宋体" w:eastAsia="宋体"/>
                            <w:sz w:val="20"/>
                          </w:rPr>
                          <w:t>7个单元，具体如下：</w:t>
                        </w:r>
                      </w:p>
                      <w:p>
                        <w:pPr>
                          <w:pStyle w:val="null3"/>
                          <w:jc w:val="left"/>
                        </w:pPr>
                        <w:r>
                          <w:rPr>
                            <w:rFonts w:ascii="宋体" w:hAnsi="宋体" w:cs="宋体" w:eastAsia="宋体"/>
                            <w:sz w:val="20"/>
                          </w:rPr>
                          <w:t>1.概述</w:t>
                        </w:r>
                      </w:p>
                      <w:p>
                        <w:pPr>
                          <w:pStyle w:val="null3"/>
                          <w:jc w:val="left"/>
                        </w:pPr>
                        <w:r>
                          <w:rPr>
                            <w:rFonts w:ascii="宋体" w:hAnsi="宋体" w:cs="宋体" w:eastAsia="宋体"/>
                            <w:sz w:val="20"/>
                          </w:rPr>
                          <w:t>1.1源起背景</w:t>
                        </w:r>
                      </w:p>
                      <w:p>
                        <w:pPr>
                          <w:pStyle w:val="null3"/>
                          <w:jc w:val="left"/>
                        </w:pPr>
                        <w:r>
                          <w:rPr>
                            <w:rFonts w:ascii="宋体" w:hAnsi="宋体" w:cs="宋体" w:eastAsia="宋体"/>
                            <w:sz w:val="20"/>
                          </w:rPr>
                          <w:t>1.2有关概念</w:t>
                        </w:r>
                      </w:p>
                      <w:p>
                        <w:pPr>
                          <w:pStyle w:val="null3"/>
                          <w:jc w:val="left"/>
                        </w:pPr>
                        <w:r>
                          <w:rPr>
                            <w:rFonts w:ascii="宋体" w:hAnsi="宋体" w:cs="宋体" w:eastAsia="宋体"/>
                            <w:sz w:val="20"/>
                          </w:rPr>
                          <w:t>1.3数据开发相关活动</w:t>
                        </w:r>
                      </w:p>
                      <w:p>
                        <w:pPr>
                          <w:pStyle w:val="null3"/>
                          <w:jc w:val="left"/>
                        </w:pPr>
                        <w:r>
                          <w:rPr>
                            <w:rFonts w:ascii="宋体" w:hAnsi="宋体" w:cs="宋体" w:eastAsia="宋体"/>
                            <w:sz w:val="20"/>
                          </w:rPr>
                          <w:t>1.4财务数据应用场景</w:t>
                        </w:r>
                      </w:p>
                      <w:p>
                        <w:pPr>
                          <w:pStyle w:val="null3"/>
                          <w:jc w:val="left"/>
                        </w:pPr>
                        <w:r>
                          <w:rPr>
                            <w:rFonts w:ascii="宋体" w:hAnsi="宋体" w:cs="宋体" w:eastAsia="宋体"/>
                            <w:sz w:val="20"/>
                          </w:rPr>
                          <w:t>1.5数据管理相关活动</w:t>
                        </w:r>
                      </w:p>
                      <w:p>
                        <w:pPr>
                          <w:pStyle w:val="null3"/>
                          <w:jc w:val="left"/>
                        </w:pPr>
                        <w:r>
                          <w:rPr>
                            <w:rFonts w:ascii="宋体" w:hAnsi="宋体" w:cs="宋体" w:eastAsia="宋体"/>
                            <w:sz w:val="20"/>
                          </w:rPr>
                          <w:t>2.数据采集与存储</w:t>
                        </w:r>
                      </w:p>
                      <w:p>
                        <w:pPr>
                          <w:pStyle w:val="null3"/>
                          <w:jc w:val="left"/>
                        </w:pPr>
                        <w:r>
                          <w:rPr>
                            <w:rFonts w:ascii="宋体" w:hAnsi="宋体" w:cs="宋体" w:eastAsia="宋体"/>
                            <w:sz w:val="20"/>
                          </w:rPr>
                          <w:t>2.1文件数据采集</w:t>
                        </w:r>
                      </w:p>
                      <w:p>
                        <w:pPr>
                          <w:pStyle w:val="null3"/>
                          <w:jc w:val="left"/>
                        </w:pPr>
                        <w:r>
                          <w:rPr>
                            <w:rFonts w:ascii="宋体" w:hAnsi="宋体" w:cs="宋体" w:eastAsia="宋体"/>
                            <w:sz w:val="20"/>
                          </w:rPr>
                          <w:t>2.2数据库数据采集</w:t>
                        </w:r>
                      </w:p>
                      <w:p>
                        <w:pPr>
                          <w:pStyle w:val="null3"/>
                          <w:jc w:val="left"/>
                        </w:pPr>
                        <w:r>
                          <w:rPr>
                            <w:rFonts w:ascii="宋体" w:hAnsi="宋体" w:cs="宋体" w:eastAsia="宋体"/>
                            <w:sz w:val="20"/>
                          </w:rPr>
                          <w:t>2.3网页数据采集</w:t>
                        </w:r>
                      </w:p>
                      <w:p>
                        <w:pPr>
                          <w:pStyle w:val="null3"/>
                          <w:jc w:val="left"/>
                        </w:pPr>
                        <w:r>
                          <w:rPr>
                            <w:rFonts w:ascii="宋体" w:hAnsi="宋体" w:cs="宋体" w:eastAsia="宋体"/>
                            <w:sz w:val="20"/>
                          </w:rPr>
                          <w:t>2.4数据存储</w:t>
                        </w:r>
                      </w:p>
                      <w:p>
                        <w:pPr>
                          <w:pStyle w:val="null3"/>
                          <w:jc w:val="left"/>
                        </w:pPr>
                        <w:r>
                          <w:rPr>
                            <w:rFonts w:ascii="宋体" w:hAnsi="宋体" w:cs="宋体" w:eastAsia="宋体"/>
                            <w:sz w:val="20"/>
                          </w:rPr>
                          <w:t>3.数据预处理与数据汇聚</w:t>
                        </w:r>
                      </w:p>
                      <w:p>
                        <w:pPr>
                          <w:pStyle w:val="null3"/>
                          <w:jc w:val="left"/>
                        </w:pPr>
                        <w:r>
                          <w:rPr>
                            <w:rFonts w:ascii="宋体" w:hAnsi="宋体" w:cs="宋体" w:eastAsia="宋体"/>
                            <w:sz w:val="20"/>
                          </w:rPr>
                          <w:t>3.1数据抽取</w:t>
                        </w:r>
                      </w:p>
                      <w:p>
                        <w:pPr>
                          <w:pStyle w:val="null3"/>
                          <w:jc w:val="left"/>
                        </w:pPr>
                        <w:r>
                          <w:rPr>
                            <w:rFonts w:ascii="宋体" w:hAnsi="宋体" w:cs="宋体" w:eastAsia="宋体"/>
                            <w:sz w:val="20"/>
                          </w:rPr>
                          <w:t>3.2数据转换</w:t>
                        </w:r>
                      </w:p>
                      <w:p>
                        <w:pPr>
                          <w:pStyle w:val="null3"/>
                          <w:jc w:val="left"/>
                        </w:pPr>
                        <w:r>
                          <w:rPr>
                            <w:rFonts w:ascii="宋体" w:hAnsi="宋体" w:cs="宋体" w:eastAsia="宋体"/>
                            <w:sz w:val="20"/>
                          </w:rPr>
                          <w:t>3.3数据清洗</w:t>
                        </w:r>
                      </w:p>
                      <w:p>
                        <w:pPr>
                          <w:pStyle w:val="null3"/>
                          <w:jc w:val="left"/>
                        </w:pPr>
                        <w:r>
                          <w:rPr>
                            <w:rFonts w:ascii="宋体" w:hAnsi="宋体" w:cs="宋体" w:eastAsia="宋体"/>
                            <w:sz w:val="20"/>
                          </w:rPr>
                          <w:t>3.4数据汇聚</w:t>
                        </w:r>
                      </w:p>
                      <w:p>
                        <w:pPr>
                          <w:pStyle w:val="null3"/>
                          <w:jc w:val="left"/>
                        </w:pPr>
                        <w:r>
                          <w:rPr>
                            <w:rFonts w:ascii="宋体" w:hAnsi="宋体" w:cs="宋体" w:eastAsia="宋体"/>
                            <w:sz w:val="20"/>
                          </w:rPr>
                          <w:t>4.数据分析与挖掘</w:t>
                        </w:r>
                      </w:p>
                      <w:p>
                        <w:pPr>
                          <w:pStyle w:val="null3"/>
                          <w:jc w:val="left"/>
                        </w:pPr>
                        <w:r>
                          <w:rPr>
                            <w:rFonts w:ascii="宋体" w:hAnsi="宋体" w:cs="宋体" w:eastAsia="宋体"/>
                            <w:sz w:val="20"/>
                          </w:rPr>
                          <w:t>4.1需求分析</w:t>
                        </w:r>
                      </w:p>
                      <w:p>
                        <w:pPr>
                          <w:pStyle w:val="null3"/>
                          <w:jc w:val="left"/>
                        </w:pPr>
                        <w:r>
                          <w:rPr>
                            <w:rFonts w:ascii="宋体" w:hAnsi="宋体" w:cs="宋体" w:eastAsia="宋体"/>
                            <w:sz w:val="20"/>
                          </w:rPr>
                          <w:t>4.2数据分析</w:t>
                        </w:r>
                      </w:p>
                      <w:p>
                        <w:pPr>
                          <w:pStyle w:val="null3"/>
                          <w:jc w:val="left"/>
                        </w:pPr>
                        <w:r>
                          <w:rPr>
                            <w:rFonts w:ascii="宋体" w:hAnsi="宋体" w:cs="宋体" w:eastAsia="宋体"/>
                            <w:sz w:val="20"/>
                          </w:rPr>
                          <w:t>4.3数据建模</w:t>
                        </w:r>
                      </w:p>
                      <w:p>
                        <w:pPr>
                          <w:pStyle w:val="null3"/>
                          <w:jc w:val="left"/>
                        </w:pPr>
                        <w:r>
                          <w:rPr>
                            <w:rFonts w:ascii="宋体" w:hAnsi="宋体" w:cs="宋体" w:eastAsia="宋体"/>
                            <w:sz w:val="20"/>
                          </w:rPr>
                          <w:t>4.4数据挖掘与算法</w:t>
                        </w:r>
                      </w:p>
                      <w:p>
                        <w:pPr>
                          <w:pStyle w:val="null3"/>
                          <w:jc w:val="left"/>
                        </w:pPr>
                        <w:r>
                          <w:rPr>
                            <w:rFonts w:ascii="宋体" w:hAnsi="宋体" w:cs="宋体" w:eastAsia="宋体"/>
                            <w:sz w:val="20"/>
                          </w:rPr>
                          <w:t>4.5模型优化与应用</w:t>
                        </w:r>
                      </w:p>
                      <w:p>
                        <w:pPr>
                          <w:pStyle w:val="null3"/>
                          <w:jc w:val="left"/>
                        </w:pPr>
                        <w:r>
                          <w:rPr>
                            <w:rFonts w:ascii="宋体" w:hAnsi="宋体" w:cs="宋体" w:eastAsia="宋体"/>
                            <w:sz w:val="20"/>
                          </w:rPr>
                          <w:t>5.数据可视化</w:t>
                        </w:r>
                      </w:p>
                      <w:p>
                        <w:pPr>
                          <w:pStyle w:val="null3"/>
                          <w:jc w:val="left"/>
                        </w:pPr>
                        <w:r>
                          <w:rPr>
                            <w:rFonts w:ascii="宋体" w:hAnsi="宋体" w:cs="宋体" w:eastAsia="宋体"/>
                            <w:sz w:val="20"/>
                          </w:rPr>
                          <w:t>5.1数据可视化概述</w:t>
                        </w:r>
                      </w:p>
                      <w:p>
                        <w:pPr>
                          <w:pStyle w:val="null3"/>
                          <w:jc w:val="left"/>
                        </w:pPr>
                        <w:r>
                          <w:rPr>
                            <w:rFonts w:ascii="宋体" w:hAnsi="宋体" w:cs="宋体" w:eastAsia="宋体"/>
                            <w:sz w:val="20"/>
                          </w:rPr>
                          <w:t>5.2数据可视化初探</w:t>
                        </w:r>
                      </w:p>
                      <w:p>
                        <w:pPr>
                          <w:pStyle w:val="null3"/>
                          <w:jc w:val="left"/>
                        </w:pPr>
                        <w:r>
                          <w:rPr>
                            <w:rFonts w:ascii="宋体" w:hAnsi="宋体" w:cs="宋体" w:eastAsia="宋体"/>
                            <w:sz w:val="20"/>
                          </w:rPr>
                          <w:t>5.3可视化综合大屏设计</w:t>
                        </w:r>
                      </w:p>
                      <w:p>
                        <w:pPr>
                          <w:pStyle w:val="null3"/>
                          <w:jc w:val="left"/>
                        </w:pPr>
                        <w:r>
                          <w:rPr>
                            <w:rFonts w:ascii="宋体" w:hAnsi="宋体" w:cs="宋体" w:eastAsia="宋体"/>
                            <w:sz w:val="20"/>
                          </w:rPr>
                          <w:t>6.财务数据模型开发与应用</w:t>
                        </w:r>
                      </w:p>
                      <w:p>
                        <w:pPr>
                          <w:pStyle w:val="null3"/>
                          <w:jc w:val="left"/>
                        </w:pPr>
                        <w:r>
                          <w:rPr>
                            <w:rFonts w:ascii="宋体" w:hAnsi="宋体" w:cs="宋体" w:eastAsia="宋体"/>
                            <w:sz w:val="20"/>
                          </w:rPr>
                          <w:t>6.1数据模型概述</w:t>
                        </w:r>
                      </w:p>
                      <w:p>
                        <w:pPr>
                          <w:pStyle w:val="null3"/>
                          <w:jc w:val="left"/>
                        </w:pPr>
                        <w:r>
                          <w:rPr>
                            <w:rFonts w:ascii="宋体" w:hAnsi="宋体" w:cs="宋体" w:eastAsia="宋体"/>
                            <w:sz w:val="20"/>
                          </w:rPr>
                          <w:t>6.2企业经营分析模型</w:t>
                        </w:r>
                      </w:p>
                      <w:p>
                        <w:pPr>
                          <w:pStyle w:val="null3"/>
                          <w:jc w:val="left"/>
                        </w:pPr>
                        <w:r>
                          <w:rPr>
                            <w:rFonts w:ascii="宋体" w:hAnsi="宋体" w:cs="宋体" w:eastAsia="宋体"/>
                            <w:sz w:val="20"/>
                          </w:rPr>
                          <w:t>6.3企业资产分析模型</w:t>
                        </w:r>
                      </w:p>
                      <w:p>
                        <w:pPr>
                          <w:pStyle w:val="null3"/>
                          <w:jc w:val="left"/>
                        </w:pPr>
                        <w:r>
                          <w:rPr>
                            <w:rFonts w:ascii="宋体" w:hAnsi="宋体" w:cs="宋体" w:eastAsia="宋体"/>
                            <w:sz w:val="20"/>
                          </w:rPr>
                          <w:t>6.4企业财务分析模型</w:t>
                        </w:r>
                      </w:p>
                      <w:p>
                        <w:pPr>
                          <w:pStyle w:val="null3"/>
                          <w:jc w:val="left"/>
                        </w:pPr>
                        <w:r>
                          <w:rPr>
                            <w:rFonts w:ascii="宋体" w:hAnsi="宋体" w:cs="宋体" w:eastAsia="宋体"/>
                            <w:sz w:val="20"/>
                          </w:rPr>
                          <w:t>6.5企业税务分析模型</w:t>
                        </w:r>
                      </w:p>
                      <w:p>
                        <w:pPr>
                          <w:pStyle w:val="null3"/>
                          <w:jc w:val="left"/>
                        </w:pPr>
                        <w:r>
                          <w:rPr>
                            <w:rFonts w:ascii="宋体" w:hAnsi="宋体" w:cs="宋体" w:eastAsia="宋体"/>
                            <w:sz w:val="20"/>
                          </w:rPr>
                          <w:t>7.财务报告自动生成</w:t>
                        </w:r>
                      </w:p>
                      <w:p>
                        <w:pPr>
                          <w:pStyle w:val="null3"/>
                          <w:jc w:val="left"/>
                        </w:pPr>
                        <w:r>
                          <w:rPr>
                            <w:rFonts w:ascii="宋体" w:hAnsi="宋体" w:cs="宋体" w:eastAsia="宋体"/>
                            <w:sz w:val="20"/>
                          </w:rPr>
                          <w:t>7.1财务报告知识图谱</w:t>
                        </w:r>
                      </w:p>
                      <w:p>
                        <w:pPr>
                          <w:pStyle w:val="null3"/>
                          <w:jc w:val="left"/>
                        </w:pPr>
                        <w:r>
                          <w:rPr>
                            <w:rFonts w:ascii="宋体" w:hAnsi="宋体" w:cs="宋体" w:eastAsia="宋体"/>
                            <w:sz w:val="20"/>
                          </w:rPr>
                          <w:t>7.2 AI Agent 架构设计</w:t>
                        </w:r>
                      </w:p>
                      <w:p>
                        <w:pPr>
                          <w:pStyle w:val="null3"/>
                          <w:jc w:val="left"/>
                        </w:pPr>
                        <w:r>
                          <w:rPr>
                            <w:rFonts w:ascii="宋体" w:hAnsi="宋体" w:cs="宋体" w:eastAsia="宋体"/>
                            <w:sz w:val="20"/>
                          </w:rPr>
                          <w:t>7.3基于大模型的报告生成</w:t>
                        </w:r>
                      </w:p>
                      <w:p>
                        <w:pPr>
                          <w:pStyle w:val="null3"/>
                          <w:jc w:val="left"/>
                        </w:pPr>
                        <w:r>
                          <w:rPr>
                            <w:rFonts w:ascii="宋体" w:hAnsi="宋体" w:cs="宋体" w:eastAsia="宋体"/>
                            <w:sz w:val="20"/>
                          </w:rPr>
                          <w:t>7.4报告优化</w:t>
                        </w:r>
                      </w:p>
                    </w:tc>
                    <w:tc>
                      <w:tcPr>
                        <w:tcW w:type="dxa" w:w="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48课时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课程资源</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《财务大数据开发与应用》课程资源丰富，包含</w:t>
                        </w:r>
                        <w:r>
                          <w:rPr>
                            <w:rFonts w:ascii="宋体" w:hAnsi="宋体" w:cs="宋体" w:eastAsia="宋体"/>
                            <w:sz w:val="20"/>
                          </w:rPr>
                          <w:t>PPT、动画、视频等课程资源：</w:t>
                        </w:r>
                      </w:p>
                      <w:p>
                        <w:pPr>
                          <w:pStyle w:val="null3"/>
                          <w:jc w:val="left"/>
                        </w:pPr>
                        <w:r>
                          <w:rPr>
                            <w:rFonts w:ascii="宋体" w:hAnsi="宋体" w:cs="宋体" w:eastAsia="宋体"/>
                            <w:sz w:val="20"/>
                          </w:rPr>
                          <w:t>电子教案</w:t>
                        </w:r>
                        <w:r>
                          <w:rPr>
                            <w:rFonts w:ascii="宋体" w:hAnsi="宋体" w:cs="宋体" w:eastAsia="宋体"/>
                            <w:sz w:val="20"/>
                          </w:rPr>
                          <w:t>PPT数量不少于50个；</w:t>
                        </w:r>
                      </w:p>
                      <w:p>
                        <w:pPr>
                          <w:pStyle w:val="null3"/>
                          <w:jc w:val="left"/>
                        </w:pPr>
                        <w:r>
                          <w:rPr>
                            <w:rFonts w:ascii="宋体" w:hAnsi="宋体" w:cs="宋体" w:eastAsia="宋体"/>
                            <w:sz w:val="20"/>
                          </w:rPr>
                          <w:t>情景动画数量不少于</w:t>
                        </w:r>
                        <w:r>
                          <w:rPr>
                            <w:rFonts w:ascii="宋体" w:hAnsi="宋体" w:cs="宋体" w:eastAsia="宋体"/>
                            <w:sz w:val="20"/>
                          </w:rPr>
                          <w:t>15个；</w:t>
                        </w:r>
                      </w:p>
                      <w:p>
                        <w:pPr>
                          <w:pStyle w:val="null3"/>
                          <w:jc w:val="left"/>
                        </w:pPr>
                        <w:r>
                          <w:rPr>
                            <w:rFonts w:ascii="宋体" w:hAnsi="宋体" w:cs="宋体" w:eastAsia="宋体"/>
                            <w:sz w:val="20"/>
                          </w:rPr>
                          <w:t>视频微课数量不少于</w:t>
                        </w:r>
                        <w:r>
                          <w:rPr>
                            <w:rFonts w:ascii="宋体" w:hAnsi="宋体" w:cs="宋体" w:eastAsia="宋体"/>
                            <w:sz w:val="20"/>
                          </w:rPr>
                          <w:t>50个，每个微课时长5-15分钟；</w:t>
                        </w:r>
                      </w:p>
                      <w:p>
                        <w:pPr>
                          <w:pStyle w:val="null3"/>
                          <w:jc w:val="left"/>
                        </w:pPr>
                        <w:r>
                          <w:rPr>
                            <w:rFonts w:ascii="宋体" w:hAnsi="宋体" w:cs="宋体" w:eastAsia="宋体"/>
                            <w:sz w:val="20"/>
                          </w:rPr>
                          <w:t>富媒体、</w:t>
                        </w:r>
                        <w:r>
                          <w:rPr>
                            <w:rFonts w:ascii="宋体" w:hAnsi="宋体" w:cs="宋体" w:eastAsia="宋体"/>
                            <w:sz w:val="20"/>
                          </w:rPr>
                          <w:t>PDF、EXCEL等文件资源数量若干；</w:t>
                        </w:r>
                      </w:p>
                      <w:p>
                        <w:pPr>
                          <w:pStyle w:val="null3"/>
                          <w:jc w:val="left"/>
                        </w:pPr>
                        <w:r>
                          <w:rPr>
                            <w:rFonts w:ascii="宋体" w:hAnsi="宋体" w:cs="宋体" w:eastAsia="宋体"/>
                            <w:sz w:val="20"/>
                          </w:rPr>
                          <w:t>随堂练习客观题数量不少于</w:t>
                        </w:r>
                        <w:r>
                          <w:rPr>
                            <w:rFonts w:ascii="宋体" w:hAnsi="宋体" w:cs="宋体" w:eastAsia="宋体"/>
                            <w:sz w:val="20"/>
                          </w:rPr>
                          <w:t>150道；</w:t>
                        </w:r>
                      </w:p>
                      <w:p>
                        <w:pPr>
                          <w:pStyle w:val="null3"/>
                          <w:jc w:val="left"/>
                        </w:pPr>
                        <w:r>
                          <w:rPr>
                            <w:rFonts w:ascii="宋体" w:hAnsi="宋体" w:cs="宋体" w:eastAsia="宋体"/>
                            <w:sz w:val="20"/>
                          </w:rPr>
                          <w:t>期末测评试题</w:t>
                        </w:r>
                        <w:r>
                          <w:rPr>
                            <w:rFonts w:ascii="宋体" w:hAnsi="宋体" w:cs="宋体" w:eastAsia="宋体"/>
                            <w:sz w:val="20"/>
                          </w:rPr>
                          <w:t>3套；</w:t>
                        </w:r>
                      </w:p>
                      <w:p>
                        <w:pPr>
                          <w:pStyle w:val="null3"/>
                          <w:jc w:val="left"/>
                        </w:pPr>
                        <w:r>
                          <w:rPr>
                            <w:rFonts w:ascii="宋体" w:hAnsi="宋体" w:cs="宋体" w:eastAsia="宋体"/>
                            <w:sz w:val="20"/>
                          </w:rPr>
                          <w:t>提供课程简介、课程大纲、课时安排等教学文件及参考资料。</w:t>
                        </w:r>
                      </w:p>
                    </w:tc>
                    <w:tc>
                      <w:tcPr>
                        <w:tcW w:type="dxa" w:w="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宋体" w:hAnsi="宋体" w:cs="宋体" w:eastAsia="宋体"/>
                      <w:sz w:val="20"/>
                    </w:rPr>
                    <w:t>（五）数据资产管理综合实训平台</w:t>
                  </w:r>
                </w:p>
                <w:tbl>
                  <w:tblPr>
                    <w:tblBorders>
                      <w:top w:val="none" w:color="000000" w:sz="4"/>
                      <w:left w:val="none" w:color="000000" w:sz="4"/>
                      <w:bottom w:val="none" w:color="000000" w:sz="4"/>
                      <w:right w:val="none" w:color="000000" w:sz="4"/>
                      <w:insideH w:val="none"/>
                      <w:insideV w:val="none"/>
                    </w:tblBorders>
                  </w:tblPr>
                  <w:tblGrid>
                    <w:gridCol w:w="97"/>
                    <w:gridCol w:w="474"/>
                    <w:gridCol w:w="64"/>
                  </w:tblGrid>
                  <w:tr>
                    <w:tc>
                      <w:tcPr>
                        <w:tcW w:type="dxa" w:w="57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技术规格与参数</w:t>
                        </w:r>
                      </w:p>
                    </w:tc>
                    <w:tc>
                      <w:tcPr>
                        <w:tcW w:type="dxa" w:w="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说明</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课程简介</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《数据资产管理综合实训平台》依托</w:t>
                        </w:r>
                        <w:r>
                          <w:rPr>
                            <w:rFonts w:ascii="宋体" w:hAnsi="宋体" w:cs="宋体" w:eastAsia="宋体"/>
                            <w:sz w:val="20"/>
                          </w:rPr>
                          <w:t>企业</w:t>
                        </w:r>
                        <w:r>
                          <w:rPr>
                            <w:rFonts w:ascii="宋体" w:hAnsi="宋体" w:cs="宋体" w:eastAsia="宋体"/>
                            <w:sz w:val="20"/>
                          </w:rPr>
                          <w:t>数据资产管理创新实践中心及多年积累的</w:t>
                        </w:r>
                        <w:r>
                          <w:rPr>
                            <w:rFonts w:ascii="宋体" w:hAnsi="宋体" w:cs="宋体" w:eastAsia="宋体"/>
                            <w:sz w:val="20"/>
                          </w:rPr>
                          <w:t>30余万家企业真实数据，以学生能力培养为主线，以“任务教学”和“做中学”为理念，让初学者快速数据资产管理全生命周期的相关技能，以综合实训的方式打造一个数据资源开发与应用、数据资产管理、数据资产质量评价、数据资产评估、数据资产核算的综合项目，激发学生创新思维，展现数据的真正价值，更能有效挖掘和发挥数据资产的潜力，实现数据对业务的持续赋能。</w:t>
                        </w:r>
                      </w:p>
                    </w:tc>
                    <w:tc>
                      <w:tcPr>
                        <w:tcW w:type="dxa" w:w="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课程内容</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《数据资产管理综合实训平台》课程主要包括</w:t>
                        </w:r>
                        <w:r>
                          <w:rPr>
                            <w:rFonts w:ascii="宋体" w:hAnsi="宋体" w:cs="宋体" w:eastAsia="宋体"/>
                            <w:sz w:val="20"/>
                          </w:rPr>
                          <w:t>5个单元，具体如下：</w:t>
                        </w:r>
                      </w:p>
                      <w:p>
                        <w:pPr>
                          <w:pStyle w:val="null3"/>
                          <w:jc w:val="left"/>
                        </w:pPr>
                        <w:r>
                          <w:rPr>
                            <w:rFonts w:ascii="宋体" w:hAnsi="宋体" w:cs="宋体" w:eastAsia="宋体"/>
                            <w:sz w:val="20"/>
                          </w:rPr>
                          <w:t>1.数据资源开发与应用</w:t>
                        </w:r>
                      </w:p>
                      <w:p>
                        <w:pPr>
                          <w:pStyle w:val="null3"/>
                          <w:jc w:val="left"/>
                        </w:pPr>
                        <w:r>
                          <w:rPr>
                            <w:rFonts w:ascii="宋体" w:hAnsi="宋体" w:cs="宋体" w:eastAsia="宋体"/>
                            <w:sz w:val="20"/>
                          </w:rPr>
                          <w:t>1.1数据采集与存储</w:t>
                        </w:r>
                      </w:p>
                      <w:p>
                        <w:pPr>
                          <w:pStyle w:val="null3"/>
                          <w:jc w:val="left"/>
                        </w:pPr>
                        <w:r>
                          <w:rPr>
                            <w:rFonts w:ascii="宋体" w:hAnsi="宋体" w:cs="宋体" w:eastAsia="宋体"/>
                            <w:sz w:val="20"/>
                          </w:rPr>
                          <w:t>1.2数据预处理与数据汇聚</w:t>
                        </w:r>
                      </w:p>
                      <w:p>
                        <w:pPr>
                          <w:pStyle w:val="null3"/>
                          <w:jc w:val="left"/>
                        </w:pPr>
                        <w:r>
                          <w:rPr>
                            <w:rFonts w:ascii="宋体" w:hAnsi="宋体" w:cs="宋体" w:eastAsia="宋体"/>
                            <w:sz w:val="20"/>
                          </w:rPr>
                          <w:t>1.3数据分析与挖掘</w:t>
                        </w:r>
                      </w:p>
                      <w:p>
                        <w:pPr>
                          <w:pStyle w:val="null3"/>
                          <w:jc w:val="left"/>
                        </w:pPr>
                        <w:r>
                          <w:rPr>
                            <w:rFonts w:ascii="宋体" w:hAnsi="宋体" w:cs="宋体" w:eastAsia="宋体"/>
                            <w:sz w:val="20"/>
                          </w:rPr>
                          <w:t>1.4数据可视化</w:t>
                        </w:r>
                      </w:p>
                      <w:p>
                        <w:pPr>
                          <w:pStyle w:val="null3"/>
                          <w:jc w:val="left"/>
                        </w:pPr>
                        <w:r>
                          <w:rPr>
                            <w:rFonts w:ascii="宋体" w:hAnsi="宋体" w:cs="宋体" w:eastAsia="宋体"/>
                            <w:sz w:val="20"/>
                          </w:rPr>
                          <w:t>1.5数据模型开发与应用</w:t>
                        </w:r>
                      </w:p>
                      <w:p>
                        <w:pPr>
                          <w:pStyle w:val="null3"/>
                          <w:jc w:val="left"/>
                        </w:pPr>
                        <w:r>
                          <w:rPr>
                            <w:rFonts w:ascii="宋体" w:hAnsi="宋体" w:cs="宋体" w:eastAsia="宋体"/>
                            <w:sz w:val="20"/>
                          </w:rPr>
                          <w:t>1.6数据分析报告自动生成</w:t>
                        </w:r>
                      </w:p>
                      <w:p>
                        <w:pPr>
                          <w:pStyle w:val="null3"/>
                          <w:jc w:val="left"/>
                        </w:pPr>
                        <w:r>
                          <w:rPr>
                            <w:rFonts w:ascii="宋体" w:hAnsi="宋体" w:cs="宋体" w:eastAsia="宋体"/>
                            <w:sz w:val="20"/>
                          </w:rPr>
                          <w:t>2.数据资产管理</w:t>
                        </w:r>
                      </w:p>
                      <w:p>
                        <w:pPr>
                          <w:pStyle w:val="null3"/>
                          <w:jc w:val="left"/>
                        </w:pPr>
                        <w:r>
                          <w:rPr>
                            <w:rFonts w:ascii="宋体" w:hAnsi="宋体" w:cs="宋体" w:eastAsia="宋体"/>
                            <w:sz w:val="20"/>
                          </w:rPr>
                          <w:t>2.1数据资源管理</w:t>
                        </w:r>
                      </w:p>
                      <w:p>
                        <w:pPr>
                          <w:pStyle w:val="null3"/>
                          <w:jc w:val="left"/>
                        </w:pPr>
                        <w:r>
                          <w:rPr>
                            <w:rFonts w:ascii="宋体" w:hAnsi="宋体" w:cs="宋体" w:eastAsia="宋体"/>
                            <w:sz w:val="20"/>
                          </w:rPr>
                          <w:t>2.2数据标准管理</w:t>
                        </w:r>
                      </w:p>
                      <w:p>
                        <w:pPr>
                          <w:pStyle w:val="null3"/>
                          <w:jc w:val="left"/>
                        </w:pPr>
                        <w:r>
                          <w:rPr>
                            <w:rFonts w:ascii="宋体" w:hAnsi="宋体" w:cs="宋体" w:eastAsia="宋体"/>
                            <w:sz w:val="20"/>
                          </w:rPr>
                          <w:t>2.3数据资产卡片管理</w:t>
                        </w:r>
                      </w:p>
                      <w:p>
                        <w:pPr>
                          <w:pStyle w:val="null3"/>
                          <w:jc w:val="left"/>
                        </w:pPr>
                        <w:r>
                          <w:rPr>
                            <w:rFonts w:ascii="宋体" w:hAnsi="宋体" w:cs="宋体" w:eastAsia="宋体"/>
                            <w:sz w:val="20"/>
                          </w:rPr>
                          <w:t>2.4数据资产登记</w:t>
                        </w:r>
                      </w:p>
                      <w:p>
                        <w:pPr>
                          <w:pStyle w:val="null3"/>
                          <w:jc w:val="left"/>
                        </w:pPr>
                        <w:r>
                          <w:rPr>
                            <w:rFonts w:ascii="宋体" w:hAnsi="宋体" w:cs="宋体" w:eastAsia="宋体"/>
                            <w:sz w:val="20"/>
                          </w:rPr>
                          <w:t>2.5数据资产使用</w:t>
                        </w:r>
                      </w:p>
                      <w:p>
                        <w:pPr>
                          <w:pStyle w:val="null3"/>
                          <w:jc w:val="left"/>
                        </w:pPr>
                        <w:r>
                          <w:rPr>
                            <w:rFonts w:ascii="宋体" w:hAnsi="宋体" w:cs="宋体" w:eastAsia="宋体"/>
                            <w:sz w:val="20"/>
                          </w:rPr>
                          <w:t>2.6数据资产流通</w:t>
                        </w:r>
                      </w:p>
                      <w:p>
                        <w:pPr>
                          <w:pStyle w:val="null3"/>
                          <w:jc w:val="left"/>
                        </w:pPr>
                        <w:r>
                          <w:rPr>
                            <w:rFonts w:ascii="宋体" w:hAnsi="宋体" w:cs="宋体" w:eastAsia="宋体"/>
                            <w:sz w:val="20"/>
                          </w:rPr>
                          <w:t>2.7数据资产质押与入股</w:t>
                        </w:r>
                      </w:p>
                      <w:p>
                        <w:pPr>
                          <w:pStyle w:val="null3"/>
                          <w:jc w:val="left"/>
                        </w:pPr>
                        <w:r>
                          <w:rPr>
                            <w:rFonts w:ascii="宋体" w:hAnsi="宋体" w:cs="宋体" w:eastAsia="宋体"/>
                            <w:sz w:val="20"/>
                          </w:rPr>
                          <w:t>2.8数据资产变更与销毁</w:t>
                        </w:r>
                      </w:p>
                      <w:p>
                        <w:pPr>
                          <w:pStyle w:val="null3"/>
                          <w:jc w:val="left"/>
                        </w:pPr>
                        <w:r>
                          <w:rPr>
                            <w:rFonts w:ascii="宋体" w:hAnsi="宋体" w:cs="宋体" w:eastAsia="宋体"/>
                            <w:sz w:val="20"/>
                          </w:rPr>
                          <w:t>3.数据资产质量评价</w:t>
                        </w:r>
                      </w:p>
                      <w:p>
                        <w:pPr>
                          <w:pStyle w:val="null3"/>
                          <w:jc w:val="left"/>
                        </w:pPr>
                        <w:r>
                          <w:rPr>
                            <w:rFonts w:ascii="宋体" w:hAnsi="宋体" w:cs="宋体" w:eastAsia="宋体"/>
                            <w:sz w:val="20"/>
                          </w:rPr>
                          <w:t>3.1数据资源获取</w:t>
                        </w:r>
                      </w:p>
                      <w:p>
                        <w:pPr>
                          <w:pStyle w:val="null3"/>
                          <w:jc w:val="left"/>
                        </w:pPr>
                        <w:r>
                          <w:rPr>
                            <w:rFonts w:ascii="宋体" w:hAnsi="宋体" w:cs="宋体" w:eastAsia="宋体"/>
                            <w:sz w:val="20"/>
                          </w:rPr>
                          <w:t>3.2数据质量评价的内容</w:t>
                        </w:r>
                      </w:p>
                      <w:p>
                        <w:pPr>
                          <w:pStyle w:val="null3"/>
                          <w:jc w:val="left"/>
                        </w:pPr>
                        <w:r>
                          <w:rPr>
                            <w:rFonts w:ascii="宋体" w:hAnsi="宋体" w:cs="宋体" w:eastAsia="宋体"/>
                            <w:sz w:val="20"/>
                          </w:rPr>
                          <w:t>3.3数据质量评价实施</w:t>
                        </w:r>
                      </w:p>
                      <w:p>
                        <w:pPr>
                          <w:pStyle w:val="null3"/>
                          <w:jc w:val="left"/>
                        </w:pPr>
                        <w:r>
                          <w:rPr>
                            <w:rFonts w:ascii="宋体" w:hAnsi="宋体" w:cs="宋体" w:eastAsia="宋体"/>
                            <w:sz w:val="20"/>
                          </w:rPr>
                          <w:t>3.4数据质量评价报告编制</w:t>
                        </w:r>
                      </w:p>
                      <w:p>
                        <w:pPr>
                          <w:pStyle w:val="null3"/>
                          <w:jc w:val="left"/>
                        </w:pPr>
                        <w:r>
                          <w:rPr>
                            <w:rFonts w:ascii="宋体" w:hAnsi="宋体" w:cs="宋体" w:eastAsia="宋体"/>
                            <w:sz w:val="20"/>
                          </w:rPr>
                          <w:t>3.5数据质量评价的改进和提升</w:t>
                        </w:r>
                      </w:p>
                      <w:p>
                        <w:pPr>
                          <w:pStyle w:val="null3"/>
                          <w:jc w:val="left"/>
                        </w:pPr>
                        <w:r>
                          <w:rPr>
                            <w:rFonts w:ascii="宋体" w:hAnsi="宋体" w:cs="宋体" w:eastAsia="宋体"/>
                            <w:sz w:val="20"/>
                          </w:rPr>
                          <w:t>4.数据资产评估</w:t>
                        </w:r>
                      </w:p>
                      <w:p>
                        <w:pPr>
                          <w:pStyle w:val="null3"/>
                          <w:jc w:val="left"/>
                        </w:pPr>
                        <w:r>
                          <w:rPr>
                            <w:rFonts w:ascii="宋体" w:hAnsi="宋体" w:cs="宋体" w:eastAsia="宋体"/>
                            <w:sz w:val="20"/>
                          </w:rPr>
                          <w:t>4.1数据资产评估项目计划制定</w:t>
                        </w:r>
                      </w:p>
                      <w:p>
                        <w:pPr>
                          <w:pStyle w:val="null3"/>
                          <w:jc w:val="left"/>
                        </w:pPr>
                        <w:r>
                          <w:rPr>
                            <w:rFonts w:ascii="宋体" w:hAnsi="宋体" w:cs="宋体" w:eastAsia="宋体"/>
                            <w:sz w:val="20"/>
                          </w:rPr>
                          <w:t>4.2数据资产评估方法及应用</w:t>
                        </w:r>
                      </w:p>
                      <w:p>
                        <w:pPr>
                          <w:pStyle w:val="null3"/>
                          <w:jc w:val="left"/>
                        </w:pPr>
                        <w:r>
                          <w:rPr>
                            <w:rFonts w:ascii="宋体" w:hAnsi="宋体" w:cs="宋体" w:eastAsia="宋体"/>
                            <w:sz w:val="20"/>
                          </w:rPr>
                          <w:t>4.3评估报告编制与档案归档</w:t>
                        </w:r>
                      </w:p>
                      <w:p>
                        <w:pPr>
                          <w:pStyle w:val="null3"/>
                          <w:jc w:val="left"/>
                        </w:pPr>
                        <w:r>
                          <w:rPr>
                            <w:rFonts w:ascii="宋体" w:hAnsi="宋体" w:cs="宋体" w:eastAsia="宋体"/>
                            <w:sz w:val="20"/>
                          </w:rPr>
                          <w:t>5.数据资产核算</w:t>
                        </w:r>
                      </w:p>
                      <w:p>
                        <w:pPr>
                          <w:pStyle w:val="null3"/>
                          <w:jc w:val="left"/>
                        </w:pPr>
                        <w:r>
                          <w:rPr>
                            <w:rFonts w:ascii="宋体" w:hAnsi="宋体" w:cs="宋体" w:eastAsia="宋体"/>
                            <w:sz w:val="20"/>
                          </w:rPr>
                          <w:t>5.1数据资产成本计算</w:t>
                        </w:r>
                      </w:p>
                      <w:p>
                        <w:pPr>
                          <w:pStyle w:val="null3"/>
                          <w:jc w:val="left"/>
                        </w:pPr>
                        <w:r>
                          <w:rPr>
                            <w:rFonts w:ascii="宋体" w:hAnsi="宋体" w:cs="宋体" w:eastAsia="宋体"/>
                            <w:sz w:val="20"/>
                          </w:rPr>
                          <w:t>5.2数据资源存货核算</w:t>
                        </w:r>
                      </w:p>
                      <w:p>
                        <w:pPr>
                          <w:pStyle w:val="null3"/>
                          <w:jc w:val="left"/>
                        </w:pPr>
                        <w:r>
                          <w:rPr>
                            <w:rFonts w:ascii="宋体" w:hAnsi="宋体" w:cs="宋体" w:eastAsia="宋体"/>
                            <w:sz w:val="20"/>
                          </w:rPr>
                          <w:t>5.3数据资源无形资产核算</w:t>
                        </w:r>
                      </w:p>
                      <w:p>
                        <w:pPr>
                          <w:pStyle w:val="null3"/>
                          <w:jc w:val="left"/>
                        </w:pPr>
                        <w:r>
                          <w:rPr>
                            <w:rFonts w:ascii="宋体" w:hAnsi="宋体" w:cs="宋体" w:eastAsia="宋体"/>
                            <w:sz w:val="20"/>
                          </w:rPr>
                          <w:t>5.4数据资产列报与披露</w:t>
                        </w:r>
                      </w:p>
                    </w:tc>
                    <w:tc>
                      <w:tcPr>
                        <w:tcW w:type="dxa" w:w="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48课时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课程资源</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数据资源开发与应用，实训任务不少于</w:t>
                        </w:r>
                        <w:r>
                          <w:rPr>
                            <w:rFonts w:ascii="宋体" w:hAnsi="宋体" w:cs="宋体" w:eastAsia="宋体"/>
                            <w:sz w:val="20"/>
                          </w:rPr>
                          <w:t>40个。</w:t>
                        </w:r>
                      </w:p>
                      <w:p>
                        <w:pPr>
                          <w:pStyle w:val="null3"/>
                          <w:jc w:val="left"/>
                        </w:pPr>
                        <w:r>
                          <w:rPr>
                            <w:rFonts w:ascii="宋体" w:hAnsi="宋体" w:cs="宋体" w:eastAsia="宋体"/>
                            <w:sz w:val="20"/>
                          </w:rPr>
                          <w:t>数据资产管理，实训任务不少于</w:t>
                        </w:r>
                        <w:r>
                          <w:rPr>
                            <w:rFonts w:ascii="宋体" w:hAnsi="宋体" w:cs="宋体" w:eastAsia="宋体"/>
                            <w:sz w:val="20"/>
                          </w:rPr>
                          <w:t>5个。</w:t>
                        </w:r>
                      </w:p>
                      <w:p>
                        <w:pPr>
                          <w:pStyle w:val="null3"/>
                          <w:jc w:val="left"/>
                        </w:pPr>
                        <w:r>
                          <w:rPr>
                            <w:rFonts w:ascii="宋体" w:hAnsi="宋体" w:cs="宋体" w:eastAsia="宋体"/>
                            <w:sz w:val="20"/>
                          </w:rPr>
                          <w:t>数据资产质量评价，实训任务不少于</w:t>
                        </w:r>
                        <w:r>
                          <w:rPr>
                            <w:rFonts w:ascii="宋体" w:hAnsi="宋体" w:cs="宋体" w:eastAsia="宋体"/>
                            <w:sz w:val="20"/>
                          </w:rPr>
                          <w:t>5个。</w:t>
                        </w:r>
                      </w:p>
                      <w:p>
                        <w:pPr>
                          <w:pStyle w:val="null3"/>
                          <w:jc w:val="left"/>
                        </w:pPr>
                        <w:r>
                          <w:rPr>
                            <w:rFonts w:ascii="宋体" w:hAnsi="宋体" w:cs="宋体" w:eastAsia="宋体"/>
                            <w:sz w:val="20"/>
                          </w:rPr>
                          <w:t>数据资产评估，实训任务不少于</w:t>
                        </w:r>
                        <w:r>
                          <w:rPr>
                            <w:rFonts w:ascii="宋体" w:hAnsi="宋体" w:cs="宋体" w:eastAsia="宋体"/>
                            <w:sz w:val="20"/>
                          </w:rPr>
                          <w:t>5个。</w:t>
                        </w:r>
                      </w:p>
                      <w:p>
                        <w:pPr>
                          <w:pStyle w:val="null3"/>
                          <w:jc w:val="left"/>
                        </w:pPr>
                        <w:r>
                          <w:rPr>
                            <w:rFonts w:ascii="宋体" w:hAnsi="宋体" w:cs="宋体" w:eastAsia="宋体"/>
                            <w:sz w:val="20"/>
                          </w:rPr>
                          <w:t>数据资产核算，实训任务不少于</w:t>
                        </w:r>
                        <w:r>
                          <w:rPr>
                            <w:rFonts w:ascii="宋体" w:hAnsi="宋体" w:cs="宋体" w:eastAsia="宋体"/>
                            <w:sz w:val="20"/>
                          </w:rPr>
                          <w:t>15个。</w:t>
                        </w:r>
                      </w:p>
                    </w:tc>
                    <w:tc>
                      <w:tcPr>
                        <w:tcW w:type="dxa" w:w="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宋体" w:hAnsi="宋体" w:cs="宋体" w:eastAsia="宋体"/>
                      <w:sz w:val="20"/>
                    </w:rPr>
                    <w:t>（六）数据资产质量评价</w:t>
                  </w:r>
                </w:p>
                <w:tbl>
                  <w:tblPr>
                    <w:tblBorders>
                      <w:top w:val="none" w:color="000000" w:sz="4"/>
                      <w:left w:val="none" w:color="000000" w:sz="4"/>
                      <w:bottom w:val="none" w:color="000000" w:sz="4"/>
                      <w:right w:val="none" w:color="000000" w:sz="4"/>
                      <w:insideH w:val="none"/>
                      <w:insideV w:val="none"/>
                    </w:tblBorders>
                  </w:tblPr>
                  <w:tblGrid>
                    <w:gridCol w:w="97"/>
                    <w:gridCol w:w="474"/>
                    <w:gridCol w:w="64"/>
                  </w:tblGrid>
                  <w:tr>
                    <w:tc>
                      <w:tcPr>
                        <w:tcW w:type="dxa" w:w="57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技术规格与参数</w:t>
                        </w:r>
                      </w:p>
                    </w:tc>
                    <w:tc>
                      <w:tcPr>
                        <w:tcW w:type="dxa" w:w="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说明</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课程简介</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据资产质量评价》实训课程基于企业级数据质量评价创新实践平台，结合真实的企业数据资产评估案例，通过建立质量评价项目、选取评价数据范围、选择评价指标和配置规则、评价数据质量、生成质量评价报告等实验项目，让学生在实践中掌握数据质量评价的基本能力，能正确应用《关于加强数据资产管理的指导意见》</w:t>
                        </w:r>
                        <w:r>
                          <w:rPr>
                            <w:rFonts w:ascii="宋体" w:hAnsi="宋体" w:cs="宋体" w:eastAsia="宋体"/>
                            <w:sz w:val="20"/>
                          </w:rPr>
                          <w:t>(财资〔2023〕141号)《数据资产评估指导意见》(中评协〔2023〕17号)处理全流程数据质量评价业务，达到企业数据质量评价岗位的能力要求，能建立全面正确的数据质量评价思维。通过本课程，学生将掌握大数据、人工智能技术解决实际数据资产质量评价的能力，以适应数字经济时代的需求。</w:t>
                        </w:r>
                      </w:p>
                    </w:tc>
                    <w:tc>
                      <w:tcPr>
                        <w:tcW w:type="dxa" w:w="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课程内容</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1.数据资产质量评价概述</w:t>
                        </w:r>
                      </w:p>
                      <w:p>
                        <w:pPr>
                          <w:pStyle w:val="null3"/>
                          <w:jc w:val="left"/>
                        </w:pPr>
                        <w:r>
                          <w:rPr>
                            <w:rFonts w:ascii="宋体" w:hAnsi="宋体" w:cs="宋体" w:eastAsia="宋体"/>
                            <w:sz w:val="20"/>
                          </w:rPr>
                          <w:t>1.1数据资产的概念与重要性</w:t>
                        </w:r>
                      </w:p>
                      <w:p>
                        <w:pPr>
                          <w:pStyle w:val="null3"/>
                          <w:jc w:val="left"/>
                        </w:pPr>
                        <w:r>
                          <w:rPr>
                            <w:rFonts w:ascii="宋体" w:hAnsi="宋体" w:cs="宋体" w:eastAsia="宋体"/>
                            <w:sz w:val="20"/>
                          </w:rPr>
                          <w:t>1.2数据质量的标准与维度</w:t>
                        </w:r>
                      </w:p>
                      <w:p>
                        <w:pPr>
                          <w:pStyle w:val="null3"/>
                          <w:jc w:val="left"/>
                        </w:pPr>
                        <w:r>
                          <w:rPr>
                            <w:rFonts w:ascii="宋体" w:hAnsi="宋体" w:cs="宋体" w:eastAsia="宋体"/>
                            <w:sz w:val="20"/>
                          </w:rPr>
                          <w:t>1.3数据质量评价的目的与意义</w:t>
                        </w:r>
                      </w:p>
                      <w:p>
                        <w:pPr>
                          <w:pStyle w:val="null3"/>
                          <w:jc w:val="left"/>
                        </w:pPr>
                        <w:r>
                          <w:rPr>
                            <w:rFonts w:ascii="宋体" w:hAnsi="宋体" w:cs="宋体" w:eastAsia="宋体"/>
                            <w:sz w:val="20"/>
                          </w:rPr>
                          <w:t>1.4国内外数据质量评价标准简介</w:t>
                        </w:r>
                      </w:p>
                      <w:p>
                        <w:pPr>
                          <w:pStyle w:val="null3"/>
                          <w:jc w:val="left"/>
                        </w:pPr>
                        <w:r>
                          <w:rPr>
                            <w:rFonts w:ascii="宋体" w:hAnsi="宋体" w:cs="宋体" w:eastAsia="宋体"/>
                            <w:sz w:val="20"/>
                          </w:rPr>
                          <w:t>2.质量评价计划制定</w:t>
                        </w:r>
                      </w:p>
                      <w:p>
                        <w:pPr>
                          <w:pStyle w:val="null3"/>
                          <w:jc w:val="left"/>
                        </w:pPr>
                        <w:r>
                          <w:rPr>
                            <w:rFonts w:ascii="宋体" w:hAnsi="宋体" w:cs="宋体" w:eastAsia="宋体"/>
                            <w:sz w:val="20"/>
                          </w:rPr>
                          <w:t>2.1业务基本事项明确</w:t>
                        </w:r>
                      </w:p>
                      <w:p>
                        <w:pPr>
                          <w:pStyle w:val="null3"/>
                          <w:jc w:val="left"/>
                        </w:pPr>
                        <w:r>
                          <w:rPr>
                            <w:rFonts w:ascii="宋体" w:hAnsi="宋体" w:cs="宋体" w:eastAsia="宋体"/>
                            <w:sz w:val="20"/>
                          </w:rPr>
                          <w:t>2.2项目背景调查</w:t>
                        </w:r>
                      </w:p>
                      <w:p>
                        <w:pPr>
                          <w:pStyle w:val="null3"/>
                          <w:jc w:val="left"/>
                        </w:pPr>
                        <w:r>
                          <w:rPr>
                            <w:rFonts w:ascii="宋体" w:hAnsi="宋体" w:cs="宋体" w:eastAsia="宋体"/>
                            <w:sz w:val="20"/>
                          </w:rPr>
                          <w:t>2.3业务委托合同签订</w:t>
                        </w:r>
                      </w:p>
                      <w:p>
                        <w:pPr>
                          <w:pStyle w:val="null3"/>
                          <w:jc w:val="left"/>
                        </w:pPr>
                        <w:r>
                          <w:rPr>
                            <w:rFonts w:ascii="宋体" w:hAnsi="宋体" w:cs="宋体" w:eastAsia="宋体"/>
                            <w:sz w:val="20"/>
                          </w:rPr>
                          <w:t>2.4质量评价计划编制</w:t>
                        </w:r>
                      </w:p>
                      <w:p>
                        <w:pPr>
                          <w:pStyle w:val="null3"/>
                          <w:jc w:val="left"/>
                        </w:pPr>
                        <w:r>
                          <w:rPr>
                            <w:rFonts w:ascii="宋体" w:hAnsi="宋体" w:cs="宋体" w:eastAsia="宋体"/>
                            <w:sz w:val="20"/>
                          </w:rPr>
                          <w:t>3.现场调查与资料整理</w:t>
                        </w:r>
                      </w:p>
                      <w:p>
                        <w:pPr>
                          <w:pStyle w:val="null3"/>
                          <w:jc w:val="left"/>
                        </w:pPr>
                        <w:r>
                          <w:rPr>
                            <w:rFonts w:ascii="宋体" w:hAnsi="宋体" w:cs="宋体" w:eastAsia="宋体"/>
                            <w:sz w:val="20"/>
                          </w:rPr>
                          <w:t>3.1数据源识别与验证</w:t>
                        </w:r>
                      </w:p>
                      <w:p>
                        <w:pPr>
                          <w:pStyle w:val="null3"/>
                          <w:jc w:val="left"/>
                        </w:pPr>
                        <w:r>
                          <w:rPr>
                            <w:rFonts w:ascii="宋体" w:hAnsi="宋体" w:cs="宋体" w:eastAsia="宋体"/>
                            <w:sz w:val="20"/>
                          </w:rPr>
                          <w:t>3.2数据收集方法论</w:t>
                        </w:r>
                      </w:p>
                      <w:p>
                        <w:pPr>
                          <w:pStyle w:val="null3"/>
                          <w:jc w:val="left"/>
                        </w:pPr>
                        <w:r>
                          <w:rPr>
                            <w:rFonts w:ascii="宋体" w:hAnsi="宋体" w:cs="宋体" w:eastAsia="宋体"/>
                            <w:sz w:val="20"/>
                          </w:rPr>
                          <w:t>3.3数据清洗与预处理</w:t>
                        </w:r>
                      </w:p>
                      <w:p>
                        <w:pPr>
                          <w:pStyle w:val="null3"/>
                          <w:jc w:val="left"/>
                        </w:pPr>
                        <w:r>
                          <w:rPr>
                            <w:rFonts w:ascii="宋体" w:hAnsi="宋体" w:cs="宋体" w:eastAsia="宋体"/>
                            <w:sz w:val="20"/>
                          </w:rPr>
                          <w:t>3.4文档与元数据管理</w:t>
                        </w:r>
                      </w:p>
                      <w:p>
                        <w:pPr>
                          <w:pStyle w:val="null3"/>
                          <w:jc w:val="left"/>
                        </w:pPr>
                        <w:r>
                          <w:rPr>
                            <w:rFonts w:ascii="宋体" w:hAnsi="宋体" w:cs="宋体" w:eastAsia="宋体"/>
                            <w:sz w:val="20"/>
                          </w:rPr>
                          <w:t>4.数据质量评价实施</w:t>
                        </w:r>
                      </w:p>
                      <w:p>
                        <w:pPr>
                          <w:pStyle w:val="null3"/>
                          <w:jc w:val="left"/>
                        </w:pPr>
                        <w:r>
                          <w:rPr>
                            <w:rFonts w:ascii="宋体" w:hAnsi="宋体" w:cs="宋体" w:eastAsia="宋体"/>
                            <w:sz w:val="20"/>
                          </w:rPr>
                          <w:t>4.1评价指标体系的构建</w:t>
                        </w:r>
                      </w:p>
                      <w:p>
                        <w:pPr>
                          <w:pStyle w:val="null3"/>
                          <w:jc w:val="left"/>
                        </w:pPr>
                        <w:r>
                          <w:rPr>
                            <w:rFonts w:ascii="宋体" w:hAnsi="宋体" w:cs="宋体" w:eastAsia="宋体"/>
                            <w:sz w:val="20"/>
                          </w:rPr>
                          <w:t>4.2评价规则的定义和规则库建立</w:t>
                        </w:r>
                      </w:p>
                      <w:p>
                        <w:pPr>
                          <w:pStyle w:val="null3"/>
                          <w:jc w:val="left"/>
                        </w:pPr>
                        <w:r>
                          <w:rPr>
                            <w:rFonts w:ascii="宋体" w:hAnsi="宋体" w:cs="宋体" w:eastAsia="宋体"/>
                            <w:sz w:val="20"/>
                          </w:rPr>
                          <w:t>4.3评价方法的选择</w:t>
                        </w:r>
                      </w:p>
                      <w:p>
                        <w:pPr>
                          <w:pStyle w:val="null3"/>
                          <w:jc w:val="left"/>
                        </w:pPr>
                        <w:r>
                          <w:rPr>
                            <w:rFonts w:ascii="宋体" w:hAnsi="宋体" w:cs="宋体" w:eastAsia="宋体"/>
                            <w:sz w:val="20"/>
                          </w:rPr>
                          <w:t>4.4评价标准与权重的设定</w:t>
                        </w:r>
                      </w:p>
                      <w:p>
                        <w:pPr>
                          <w:pStyle w:val="null3"/>
                          <w:jc w:val="left"/>
                        </w:pPr>
                        <w:r>
                          <w:rPr>
                            <w:rFonts w:ascii="宋体" w:hAnsi="宋体" w:cs="宋体" w:eastAsia="宋体"/>
                            <w:sz w:val="20"/>
                          </w:rPr>
                          <w:t>5.数据质量评价运营监控</w:t>
                        </w:r>
                      </w:p>
                      <w:p>
                        <w:pPr>
                          <w:pStyle w:val="null3"/>
                          <w:jc w:val="left"/>
                        </w:pPr>
                        <w:r>
                          <w:rPr>
                            <w:rFonts w:ascii="宋体" w:hAnsi="宋体" w:cs="宋体" w:eastAsia="宋体"/>
                            <w:sz w:val="20"/>
                          </w:rPr>
                          <w:t>5.1监控机制的设计与实施</w:t>
                        </w:r>
                      </w:p>
                      <w:p>
                        <w:pPr>
                          <w:pStyle w:val="null3"/>
                          <w:jc w:val="left"/>
                        </w:pPr>
                        <w:r>
                          <w:rPr>
                            <w:rFonts w:ascii="宋体" w:hAnsi="宋体" w:cs="宋体" w:eastAsia="宋体"/>
                            <w:sz w:val="20"/>
                          </w:rPr>
                          <w:t>5.2数据质量问题的跟踪与处理</w:t>
                        </w:r>
                      </w:p>
                      <w:p>
                        <w:pPr>
                          <w:pStyle w:val="null3"/>
                          <w:jc w:val="left"/>
                        </w:pPr>
                        <w:r>
                          <w:rPr>
                            <w:rFonts w:ascii="宋体" w:hAnsi="宋体" w:cs="宋体" w:eastAsia="宋体"/>
                            <w:sz w:val="20"/>
                          </w:rPr>
                          <w:t>5.3监控结果的反馈与改进</w:t>
                        </w:r>
                      </w:p>
                      <w:p>
                        <w:pPr>
                          <w:pStyle w:val="null3"/>
                          <w:jc w:val="left"/>
                        </w:pPr>
                        <w:r>
                          <w:rPr>
                            <w:rFonts w:ascii="宋体" w:hAnsi="宋体" w:cs="宋体" w:eastAsia="宋体"/>
                            <w:sz w:val="20"/>
                          </w:rPr>
                          <w:t>6.质量评价报告编制与档案归档</w:t>
                        </w:r>
                      </w:p>
                      <w:p>
                        <w:pPr>
                          <w:pStyle w:val="null3"/>
                          <w:jc w:val="left"/>
                        </w:pPr>
                        <w:r>
                          <w:rPr>
                            <w:rFonts w:ascii="宋体" w:hAnsi="宋体" w:cs="宋体" w:eastAsia="宋体"/>
                            <w:sz w:val="20"/>
                          </w:rPr>
                          <w:t>6.1质量评价报告编制的标准与要求</w:t>
                        </w:r>
                      </w:p>
                      <w:p>
                        <w:pPr>
                          <w:pStyle w:val="null3"/>
                          <w:jc w:val="left"/>
                        </w:pPr>
                        <w:r>
                          <w:rPr>
                            <w:rFonts w:ascii="宋体" w:hAnsi="宋体" w:cs="宋体" w:eastAsia="宋体"/>
                            <w:sz w:val="20"/>
                          </w:rPr>
                          <w:t>6.2质量评价报告内容的组织与撰写</w:t>
                        </w:r>
                      </w:p>
                      <w:p>
                        <w:pPr>
                          <w:pStyle w:val="null3"/>
                          <w:jc w:val="left"/>
                        </w:pPr>
                        <w:r>
                          <w:rPr>
                            <w:rFonts w:ascii="宋体" w:hAnsi="宋体" w:cs="宋体" w:eastAsia="宋体"/>
                            <w:sz w:val="20"/>
                          </w:rPr>
                          <w:t>6.3质量评价报告审核与发布</w:t>
                        </w:r>
                      </w:p>
                      <w:p>
                        <w:pPr>
                          <w:pStyle w:val="null3"/>
                          <w:jc w:val="left"/>
                        </w:pPr>
                        <w:r>
                          <w:rPr>
                            <w:rFonts w:ascii="宋体" w:hAnsi="宋体" w:cs="宋体" w:eastAsia="宋体"/>
                            <w:sz w:val="20"/>
                          </w:rPr>
                          <w:t>6.4质量评价档案的整理与归档</w:t>
                        </w:r>
                      </w:p>
                    </w:tc>
                    <w:tc>
                      <w:tcPr>
                        <w:tcW w:type="dxa" w:w="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48课时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课程资源</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《数据资产质量评价》实训课程资源丰富，包含</w:t>
                        </w:r>
                        <w:r>
                          <w:rPr>
                            <w:rFonts w:ascii="宋体" w:hAnsi="宋体" w:cs="宋体" w:eastAsia="宋体"/>
                            <w:sz w:val="20"/>
                          </w:rPr>
                          <w:t>PPT、动画、视频等课程资源：</w:t>
                        </w:r>
                      </w:p>
                      <w:p>
                        <w:pPr>
                          <w:pStyle w:val="null3"/>
                          <w:jc w:val="left"/>
                        </w:pPr>
                        <w:r>
                          <w:rPr>
                            <w:rFonts w:ascii="宋体" w:hAnsi="宋体" w:cs="宋体" w:eastAsia="宋体"/>
                            <w:sz w:val="20"/>
                          </w:rPr>
                          <w:t>电子教案</w:t>
                        </w:r>
                        <w:r>
                          <w:rPr>
                            <w:rFonts w:ascii="宋体" w:hAnsi="宋体" w:cs="宋体" w:eastAsia="宋体"/>
                            <w:sz w:val="20"/>
                          </w:rPr>
                          <w:t>PPT数量不少于30个；</w:t>
                        </w:r>
                      </w:p>
                      <w:p>
                        <w:pPr>
                          <w:pStyle w:val="null3"/>
                          <w:jc w:val="left"/>
                        </w:pPr>
                        <w:r>
                          <w:rPr>
                            <w:rFonts w:ascii="宋体" w:hAnsi="宋体" w:cs="宋体" w:eastAsia="宋体"/>
                            <w:sz w:val="20"/>
                          </w:rPr>
                          <w:t>情景动画数量不少于</w:t>
                        </w:r>
                        <w:r>
                          <w:rPr>
                            <w:rFonts w:ascii="宋体" w:hAnsi="宋体" w:cs="宋体" w:eastAsia="宋体"/>
                            <w:sz w:val="20"/>
                          </w:rPr>
                          <w:t>10个；</w:t>
                        </w:r>
                      </w:p>
                      <w:p>
                        <w:pPr>
                          <w:pStyle w:val="null3"/>
                          <w:jc w:val="left"/>
                        </w:pPr>
                        <w:r>
                          <w:rPr>
                            <w:rFonts w:ascii="宋体" w:hAnsi="宋体" w:cs="宋体" w:eastAsia="宋体"/>
                            <w:sz w:val="20"/>
                          </w:rPr>
                          <w:t>视频微课数量不少于</w:t>
                        </w:r>
                        <w:r>
                          <w:rPr>
                            <w:rFonts w:ascii="宋体" w:hAnsi="宋体" w:cs="宋体" w:eastAsia="宋体"/>
                            <w:sz w:val="20"/>
                          </w:rPr>
                          <w:t>30个，每个微课时长5-15分钟；</w:t>
                        </w:r>
                      </w:p>
                      <w:p>
                        <w:pPr>
                          <w:pStyle w:val="null3"/>
                          <w:jc w:val="left"/>
                        </w:pPr>
                        <w:r>
                          <w:rPr>
                            <w:rFonts w:ascii="宋体" w:hAnsi="宋体" w:cs="宋体" w:eastAsia="宋体"/>
                            <w:sz w:val="20"/>
                          </w:rPr>
                          <w:t>富媒体、</w:t>
                        </w:r>
                        <w:r>
                          <w:rPr>
                            <w:rFonts w:ascii="宋体" w:hAnsi="宋体" w:cs="宋体" w:eastAsia="宋体"/>
                            <w:sz w:val="20"/>
                          </w:rPr>
                          <w:t>PDF、EXCEL等文件资源数量若干；</w:t>
                        </w:r>
                      </w:p>
                      <w:p>
                        <w:pPr>
                          <w:pStyle w:val="null3"/>
                          <w:jc w:val="left"/>
                        </w:pPr>
                        <w:r>
                          <w:rPr>
                            <w:rFonts w:ascii="宋体" w:hAnsi="宋体" w:cs="宋体" w:eastAsia="宋体"/>
                            <w:sz w:val="20"/>
                          </w:rPr>
                          <w:t>随堂练习客观题数量不少于</w:t>
                        </w:r>
                        <w:r>
                          <w:rPr>
                            <w:rFonts w:ascii="宋体" w:hAnsi="宋体" w:cs="宋体" w:eastAsia="宋体"/>
                            <w:sz w:val="20"/>
                          </w:rPr>
                          <w:t>150道；</w:t>
                        </w:r>
                      </w:p>
                      <w:p>
                        <w:pPr>
                          <w:pStyle w:val="null3"/>
                          <w:jc w:val="left"/>
                        </w:pPr>
                        <w:r>
                          <w:rPr>
                            <w:rFonts w:ascii="宋体" w:hAnsi="宋体" w:cs="宋体" w:eastAsia="宋体"/>
                            <w:sz w:val="20"/>
                          </w:rPr>
                          <w:t>期末测评试题</w:t>
                        </w:r>
                        <w:r>
                          <w:rPr>
                            <w:rFonts w:ascii="宋体" w:hAnsi="宋体" w:cs="宋体" w:eastAsia="宋体"/>
                            <w:sz w:val="20"/>
                          </w:rPr>
                          <w:t>3套；</w:t>
                        </w:r>
                      </w:p>
                      <w:p>
                        <w:pPr>
                          <w:pStyle w:val="null3"/>
                          <w:jc w:val="left"/>
                        </w:pPr>
                        <w:r>
                          <w:rPr>
                            <w:rFonts w:ascii="宋体" w:hAnsi="宋体" w:cs="宋体" w:eastAsia="宋体"/>
                            <w:sz w:val="20"/>
                          </w:rPr>
                          <w:t>提供课程简介、课程大纲、课时安排等教学文件及参考资料。</w:t>
                        </w:r>
                      </w:p>
                    </w:tc>
                    <w:tc>
                      <w:tcPr>
                        <w:tcW w:type="dxa" w:w="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宋体" w:hAnsi="宋体" w:cs="宋体" w:eastAsia="宋体"/>
                      <w:sz w:val="20"/>
                    </w:rPr>
                    <w:t>四、初级会计职称考试资源系统</w:t>
                  </w:r>
                </w:p>
                <w:p>
                  <w:pPr>
                    <w:pStyle w:val="null3"/>
                    <w:jc w:val="left"/>
                  </w:pPr>
                  <w:r>
                    <w:rPr>
                      <w:rFonts w:ascii="宋体" w:hAnsi="宋体" w:cs="宋体" w:eastAsia="宋体"/>
                      <w:sz w:val="20"/>
                    </w:rPr>
                    <w:t>（一）功能</w:t>
                  </w:r>
                </w:p>
                <w:p>
                  <w:pPr>
                    <w:pStyle w:val="null3"/>
                    <w:jc w:val="left"/>
                  </w:pPr>
                  <w:r>
                    <w:rPr>
                      <w:rFonts w:ascii="宋体" w:hAnsi="宋体" w:cs="宋体" w:eastAsia="宋体"/>
                      <w:sz w:val="20"/>
                    </w:rPr>
                    <w:t>1、建设功能</w:t>
                  </w:r>
                </w:p>
                <w:p>
                  <w:pPr>
                    <w:pStyle w:val="null3"/>
                    <w:jc w:val="left"/>
                  </w:pPr>
                  <w:r>
                    <w:rPr>
                      <w:rFonts w:ascii="宋体" w:hAnsi="宋体" w:cs="宋体" w:eastAsia="宋体"/>
                      <w:sz w:val="20"/>
                    </w:rPr>
                    <w:t>1)支持教师自行创建课程，可以自建一门独立课程，也可以复制引用平台方提供的优秀课程。教师可根据需要对课程内容进行维护，支持用户引用各级各类资源搭建和重组课程；内容包括：课程介绍，章节内容，库管理，教师团队管理；可以统计该课程的使用情况和内容的详细情况；</w:t>
                  </w:r>
                </w:p>
                <w:p>
                  <w:pPr>
                    <w:pStyle w:val="null3"/>
                    <w:jc w:val="left"/>
                  </w:pPr>
                  <w:r>
                    <w:rPr>
                      <w:rFonts w:ascii="宋体" w:hAnsi="宋体" w:cs="宋体" w:eastAsia="宋体"/>
                      <w:sz w:val="20"/>
                    </w:rPr>
                    <w:t>2)▲提供教学资源库功能，可根据章节、资源类型、媒体类型进行检索，同时资源内容可以根据名称搜索，根据上传时间选择排序。资源类别包括：知识精讲课程、应用拓展课程、课程讲义、讨论及思考题、案例、拓展资源；媒体类型包括：文本类（ DOC、XLS、DOCX、XLSX、PDF）、视频类、PPT演示文稿（PPTX、PPT）、图片图形类和网络链接等；支持上传视频功能，支持小于300M格式为MP4的视频上传，并可将视频发送到资源库中使用，在上传资源库时可设置课程、章节、知识点归属信息，自主编辑视频名称；支持多种类型和格式的资源上传，提供10G资源空间让学校进行使用；</w:t>
                  </w:r>
                </w:p>
                <w:p>
                  <w:pPr>
                    <w:pStyle w:val="null3"/>
                    <w:jc w:val="left"/>
                  </w:pPr>
                  <w:r>
                    <w:rPr>
                      <w:rFonts w:ascii="宋体" w:hAnsi="宋体" w:cs="宋体" w:eastAsia="宋体"/>
                      <w:sz w:val="20"/>
                    </w:rPr>
                    <w:t>3)▲提供课程活动库功能：教师可以根据章节、活动类别、活动类型筛选活动，根据上传时间选择排序；活动类型包括：头脑风暴、分组任务、随堂测等；活动类别包括：讨论、破冰、实践、调查、测试、拓展、实训；</w:t>
                  </w:r>
                </w:p>
                <w:p>
                  <w:pPr>
                    <w:pStyle w:val="null3"/>
                    <w:jc w:val="left"/>
                  </w:pPr>
                  <w:r>
                    <w:rPr>
                      <w:rFonts w:ascii="宋体" w:hAnsi="宋体" w:cs="宋体" w:eastAsia="宋体"/>
                      <w:sz w:val="20"/>
                    </w:rPr>
                    <w:t>4)▲提供题库管理功能：可以根据课程章节，题目类型进行检索，根据上传时间选择排序，题目类别包括：单选题、多选题、不定项、判断题等；教师可以自主创建单选题、多选题、不定项、判断题等题目。支持多种题型的编辑，支持在线编辑试题中的图片。</w:t>
                  </w:r>
                </w:p>
                <w:p>
                  <w:pPr>
                    <w:pStyle w:val="null3"/>
                    <w:jc w:val="left"/>
                  </w:pPr>
                  <w:r>
                    <w:rPr>
                      <w:rFonts w:ascii="宋体" w:hAnsi="宋体" w:cs="宋体" w:eastAsia="宋体"/>
                      <w:sz w:val="20"/>
                    </w:rPr>
                    <w:t>2、教学功能</w:t>
                  </w:r>
                </w:p>
                <w:p>
                  <w:pPr>
                    <w:pStyle w:val="null3"/>
                    <w:jc w:val="left"/>
                  </w:pPr>
                  <w:r>
                    <w:rPr>
                      <w:rFonts w:ascii="宋体" w:hAnsi="宋体" w:cs="宋体" w:eastAsia="宋体"/>
                      <w:sz w:val="20"/>
                    </w:rPr>
                    <w:t>1)支持用户自行管理学生、教师账号，可注册添加或删除学生、教师账号。提供学院/系/行政班管理：学校管理员可以根据学校的实际情况，修改学院/系/行政班，提供不超过5000个账号的用户开通权限；</w:t>
                  </w:r>
                </w:p>
                <w:p>
                  <w:pPr>
                    <w:pStyle w:val="null3"/>
                    <w:jc w:val="left"/>
                  </w:pPr>
                  <w:r>
                    <w:rPr>
                      <w:rFonts w:ascii="宋体" w:hAnsi="宋体" w:cs="宋体" w:eastAsia="宋体"/>
                      <w:sz w:val="20"/>
                    </w:rPr>
                    <w:t>2)提供备课功能，教师可根据需要选择上课日期提前进行备课，可选取资源库、活动库中的内容进行备课，教师可上传课堂讲义PPT，在在线PPT中插入活动和资料。上课时可直接在平台调用展示，同时根据课堂进度直接开始相关活动和展示资料进行多形式的线上+线下的课堂互动；</w:t>
                  </w:r>
                </w:p>
                <w:p>
                  <w:pPr>
                    <w:pStyle w:val="null3"/>
                    <w:jc w:val="left"/>
                  </w:pPr>
                  <w:r>
                    <w:rPr>
                      <w:rFonts w:ascii="宋体" w:hAnsi="宋体" w:cs="宋体" w:eastAsia="宋体"/>
                      <w:sz w:val="20"/>
                    </w:rPr>
                    <w:t>3)提供课程章节开放管理功能，教师可以根据教学进度设置教学视频的开通时间，也可以根据需要修改开通时间；</w:t>
                  </w:r>
                </w:p>
                <w:p>
                  <w:pPr>
                    <w:pStyle w:val="null3"/>
                    <w:jc w:val="left"/>
                  </w:pPr>
                  <w:r>
                    <w:rPr>
                      <w:rFonts w:ascii="宋体" w:hAnsi="宋体" w:cs="宋体" w:eastAsia="宋体"/>
                      <w:sz w:val="20"/>
                    </w:rPr>
                    <w:t>4)▲提供作业布置功能。教师根据授课内容，自主选择考核知识点、设置题量自主发布作业。习题可以由老师自己选取，也可以根据设置的出题方案抽取；支持同一套试卷学生的试卷知识点考点一致，但题目随机不同；支持老师设置学生能否查看答案，交卷后查看答案，还是到截止时间后查看答案或者边做边看答案；支持老师设置作业是否限时，若到达限制时间后是否统一强制交卷还是每人作答固定时间后交卷；支持老师设置学生作答次数，答题次数最大为5次。老师同时可以保存作业，复制作业，可查看班级成绩单、查看单个学生成绩以及他个人作答详情，支持老师强制提交和打回学生作答；</w:t>
                  </w:r>
                </w:p>
                <w:p>
                  <w:pPr>
                    <w:pStyle w:val="null3"/>
                    <w:jc w:val="left"/>
                  </w:pPr>
                  <w:r>
                    <w:rPr>
                      <w:rFonts w:ascii="宋体" w:hAnsi="宋体" w:cs="宋体" w:eastAsia="宋体"/>
                      <w:sz w:val="20"/>
                    </w:rPr>
                    <w:t>5)▲提供考试布置功能。教师根据授课内容，自主选择考核知识点、设置题量自主发布考试。习题可以由老师自己选取，也可以根据设置的出题方案抽取；支持同一套试卷学生的试卷知识点考点一致，但题目随机不同；支持老师设置学生能否查看答案，交卷后查看答案，还是到截止时间后查看答案或者边做边看答案；支持老师设置考试是否限时，若到达限制时间后是否统一强制交卷还是每人作答固定时间后交卷；支持老师设置学生作答次数，答题次数最大为5次。老师同时可以保存考试，复制考试，可查看班级成绩单、查看单个学生成绩以及个人作答详情，支持老师强制提交和打回学生作答；</w:t>
                  </w:r>
                </w:p>
                <w:p>
                  <w:pPr>
                    <w:pStyle w:val="null3"/>
                    <w:jc w:val="left"/>
                  </w:pPr>
                  <w:r>
                    <w:rPr>
                      <w:rFonts w:ascii="宋体" w:hAnsi="宋体" w:cs="宋体" w:eastAsia="宋体"/>
                      <w:sz w:val="20"/>
                    </w:rPr>
                    <w:t>6)提供学生学习情况查询功能，支持多个维度的数据统计包括：作业考试成绩、课程学习成绩、课堂互动成绩，学员平时成绩和整体综合的总成绩。</w:t>
                  </w:r>
                </w:p>
                <w:p>
                  <w:pPr>
                    <w:pStyle w:val="null3"/>
                    <w:jc w:val="left"/>
                  </w:pPr>
                  <w:r>
                    <w:rPr>
                      <w:rFonts w:ascii="宋体" w:hAnsi="宋体" w:cs="宋体" w:eastAsia="宋体"/>
                      <w:sz w:val="20"/>
                    </w:rPr>
                    <w:t>①　作业考试成绩：教师可查看班级成绩单、查看单个学生成绩以及个人作答详情，支持老师强制提交和打回学生作答。支持多维度导出成绩用于教学备案；</w:t>
                  </w:r>
                </w:p>
                <w:p>
                  <w:pPr>
                    <w:pStyle w:val="null3"/>
                    <w:jc w:val="left"/>
                  </w:pPr>
                  <w:r>
                    <w:rPr>
                      <w:rFonts w:ascii="宋体" w:hAnsi="宋体" w:cs="宋体" w:eastAsia="宋体"/>
                      <w:sz w:val="20"/>
                    </w:rPr>
                    <w:t>②　课程学习成绩：视频学习时长和章节练习两个维度统计。教师可按照视频查看班级整体时长和听课进度、查看单个学生听课情况；教师可依据某个练习查看班级成绩单、查看单个学生成绩以及个人作答详情。支持多维度导出成绩用于教学备案；</w:t>
                  </w:r>
                </w:p>
                <w:p>
                  <w:pPr>
                    <w:pStyle w:val="null3"/>
                    <w:jc w:val="left"/>
                  </w:pPr>
                  <w:r>
                    <w:rPr>
                      <w:rFonts w:ascii="宋体" w:hAnsi="宋体" w:cs="宋体" w:eastAsia="宋体"/>
                      <w:sz w:val="20"/>
                    </w:rPr>
                    <w:t>③　课堂互动成绩：可以查看学生的各项考核成绩，包括课堂活动、考勤统计和课堂提问；支持导出各项成绩表格；</w:t>
                  </w:r>
                </w:p>
                <w:p>
                  <w:pPr>
                    <w:pStyle w:val="null3"/>
                    <w:jc w:val="left"/>
                  </w:pPr>
                  <w:r>
                    <w:rPr>
                      <w:rFonts w:ascii="宋体" w:hAnsi="宋体" w:cs="宋体" w:eastAsia="宋体"/>
                      <w:sz w:val="20"/>
                    </w:rPr>
                    <w:t>④　学员平时成绩：以学生个人维度查看学生线上学习情况和线下课堂详情。</w:t>
                  </w:r>
                </w:p>
                <w:p>
                  <w:pPr>
                    <w:pStyle w:val="null3"/>
                    <w:jc w:val="left"/>
                  </w:pPr>
                  <w:r>
                    <w:rPr>
                      <w:rFonts w:ascii="宋体" w:hAnsi="宋体" w:cs="宋体" w:eastAsia="宋体"/>
                      <w:sz w:val="20"/>
                    </w:rPr>
                    <w:t>⑤　学员总成绩：老师可以分别设置作业、考试、线上课程学习、线下翻转课堂等各项考核的权重比例计算学员的期末总成绩。另外可以导入线下考试等其他成绩参与折算。</w:t>
                  </w:r>
                </w:p>
                <w:p>
                  <w:pPr>
                    <w:pStyle w:val="null3"/>
                    <w:jc w:val="left"/>
                  </w:pPr>
                  <w:r>
                    <w:rPr>
                      <w:rFonts w:ascii="宋体" w:hAnsi="宋体" w:cs="宋体" w:eastAsia="宋体"/>
                      <w:sz w:val="20"/>
                    </w:rPr>
                    <w:t>7)提供丰富的签到管理功能，有传统点名考勤、数字码考勤、手势考勤和定位签到，可查看应到、出勤、缺勤以及早退、迟到、事假等各种出勤状态，统计班级出勤情况；可以针对某一考勤查看导出已签到、未签到学生名单；</w:t>
                  </w:r>
                </w:p>
                <w:p>
                  <w:pPr>
                    <w:pStyle w:val="null3"/>
                    <w:jc w:val="left"/>
                  </w:pPr>
                  <w:r>
                    <w:rPr>
                      <w:rFonts w:ascii="宋体" w:hAnsi="宋体" w:cs="宋体" w:eastAsia="宋体"/>
                      <w:sz w:val="20"/>
                    </w:rPr>
                    <w:t>8)提供丰富的课堂活动功能：</w:t>
                  </w:r>
                </w:p>
                <w:p>
                  <w:pPr>
                    <w:pStyle w:val="null3"/>
                    <w:jc w:val="left"/>
                  </w:pPr>
                  <w:r>
                    <w:rPr>
                      <w:rFonts w:ascii="宋体" w:hAnsi="宋体" w:cs="宋体" w:eastAsia="宋体"/>
                      <w:sz w:val="20"/>
                    </w:rPr>
                    <w:t>①　随堂测验，老师可以启动随堂测试，将选择好的题目通过教学平台推送到学生的手机上，学生做完题目提交后，老师可以查看做题结果，可查看每个题目的正确率，也可单独查看某个学生整体的作答情况；</w:t>
                  </w:r>
                </w:p>
                <w:p>
                  <w:pPr>
                    <w:pStyle w:val="null3"/>
                    <w:jc w:val="left"/>
                  </w:pPr>
                  <w:r>
                    <w:rPr>
                      <w:rFonts w:ascii="宋体" w:hAnsi="宋体" w:cs="宋体" w:eastAsia="宋体"/>
                      <w:sz w:val="20"/>
                    </w:rPr>
                    <w:t>②　分组活动，老师可以启动分组活动，学生可以按照设置好分组方案进组也可以自由进组或者随机分组，小组成员合力完成作答，后可教师评分，也可小组间学生互评；</w:t>
                  </w:r>
                </w:p>
                <w:p>
                  <w:pPr>
                    <w:pStyle w:val="null3"/>
                    <w:jc w:val="left"/>
                  </w:pPr>
                  <w:r>
                    <w:rPr>
                      <w:rFonts w:ascii="宋体" w:hAnsi="宋体" w:cs="宋体" w:eastAsia="宋体"/>
                      <w:sz w:val="20"/>
                    </w:rPr>
                    <w:t>③　头脑风暴，老师可以启动头脑风暴，学生每个人发表自己的见解，老师可以展示与大家分享，学生可以对彼此的成果进行评论；</w:t>
                  </w:r>
                </w:p>
                <w:p>
                  <w:pPr>
                    <w:pStyle w:val="null3"/>
                    <w:jc w:val="left"/>
                  </w:pPr>
                  <w:r>
                    <w:rPr>
                      <w:rFonts w:ascii="宋体" w:hAnsi="宋体" w:cs="宋体" w:eastAsia="宋体"/>
                      <w:sz w:val="20"/>
                    </w:rPr>
                    <w:t>④　问卷调查，老师可以启动问卷调查，支持选择问卷或者简答问卷。</w:t>
                  </w:r>
                </w:p>
                <w:p>
                  <w:pPr>
                    <w:pStyle w:val="null3"/>
                    <w:jc w:val="left"/>
                  </w:pPr>
                  <w:r>
                    <w:rPr>
                      <w:rFonts w:ascii="宋体" w:hAnsi="宋体" w:cs="宋体" w:eastAsia="宋体"/>
                      <w:sz w:val="20"/>
                    </w:rPr>
                    <w:t>9)提供消息公告管理功能，老师可以向学生发布公告、通知、学习提醒等信息；</w:t>
                  </w:r>
                </w:p>
                <w:p>
                  <w:pPr>
                    <w:pStyle w:val="null3"/>
                    <w:jc w:val="left"/>
                  </w:pPr>
                  <w:r>
                    <w:rPr>
                      <w:rFonts w:ascii="宋体" w:hAnsi="宋体" w:cs="宋体" w:eastAsia="宋体"/>
                      <w:sz w:val="20"/>
                    </w:rPr>
                    <w:t>10)提供随机提问功能和点名功能，在课堂上随机抽取或者选择幸运之星，与学生互动，可以根据学生的作答情况进行奖惩；</w:t>
                  </w:r>
                </w:p>
                <w:p>
                  <w:pPr>
                    <w:pStyle w:val="null3"/>
                    <w:jc w:val="left"/>
                  </w:pPr>
                  <w:r>
                    <w:rPr>
                      <w:rFonts w:ascii="宋体" w:hAnsi="宋体" w:cs="宋体" w:eastAsia="宋体"/>
                      <w:sz w:val="20"/>
                    </w:rPr>
                    <w:t>11)学习监测：展示教学班级中的详细情况，比如：用户趋势、学习监测、作业考试、疑点难点、学生排行等行为记录，方便老师了解用户学习活跃程度；</w:t>
                  </w:r>
                </w:p>
                <w:p>
                  <w:pPr>
                    <w:pStyle w:val="null3"/>
                    <w:jc w:val="left"/>
                  </w:pPr>
                  <w:r>
                    <w:rPr>
                      <w:rFonts w:ascii="宋体" w:hAnsi="宋体" w:cs="宋体" w:eastAsia="宋体"/>
                      <w:sz w:val="20"/>
                    </w:rPr>
                    <w:t>12)提供实训课程管理：教师可以查看已授权的第三方应用课程的详细情况。教师可以进行第三方课程的班级管理，包括班级信息，学生管理，实习成绩；班级信息：可以维护教学班级的名称，权限，开课时间；学生管理：教师可以对班级里学生进行添加或者移除；实习成绩：可以查看学生第三方课程的成绩；</w:t>
                  </w:r>
                </w:p>
                <w:p>
                  <w:pPr>
                    <w:pStyle w:val="null3"/>
                    <w:jc w:val="left"/>
                  </w:pPr>
                  <w:r>
                    <w:rPr>
                      <w:rFonts w:ascii="宋体" w:hAnsi="宋体" w:cs="宋体" w:eastAsia="宋体"/>
                      <w:sz w:val="20"/>
                    </w:rPr>
                    <w:t>13)提供直播间管理：教师可以根据自己的需要创建和管理直播间，可根据教学需要创建不超过5个直播间，提供直播排班管理：教师可以根据自己的需要创建直播排班计划，开启直播入口。直播支持观看回放；</w:t>
                  </w:r>
                </w:p>
                <w:p>
                  <w:pPr>
                    <w:pStyle w:val="null3"/>
                    <w:jc w:val="left"/>
                  </w:pPr>
                  <w:r>
                    <w:rPr>
                      <w:rFonts w:ascii="宋体" w:hAnsi="宋体" w:cs="宋体" w:eastAsia="宋体"/>
                      <w:sz w:val="20"/>
                    </w:rPr>
                    <w:t>14)提供学校门户网址建设：学校管理员可以根据学校的实际情况，修改学校简介，学校logo，学校形象图等；</w:t>
                  </w:r>
                </w:p>
                <w:p>
                  <w:pPr>
                    <w:pStyle w:val="null3"/>
                    <w:jc w:val="left"/>
                  </w:pPr>
                  <w:r>
                    <w:rPr>
                      <w:rFonts w:ascii="宋体" w:hAnsi="宋体" w:cs="宋体" w:eastAsia="宋体"/>
                      <w:sz w:val="20"/>
                    </w:rPr>
                    <w:t>15)提供大数据看板：学校管理可以看到学校的整体概况，师生活跃度，教学资源等信息的线性图、柱状图、饼状图。</w:t>
                  </w:r>
                </w:p>
                <w:p>
                  <w:pPr>
                    <w:pStyle w:val="null3"/>
                    <w:jc w:val="left"/>
                  </w:pPr>
                  <w:r>
                    <w:rPr>
                      <w:rFonts w:ascii="宋体" w:hAnsi="宋体" w:cs="宋体" w:eastAsia="宋体"/>
                      <w:sz w:val="20"/>
                    </w:rPr>
                    <w:t>3、学习功能</w:t>
                  </w:r>
                </w:p>
                <w:p>
                  <w:pPr>
                    <w:pStyle w:val="null3"/>
                    <w:jc w:val="left"/>
                  </w:pPr>
                  <w:r>
                    <w:rPr>
                      <w:rFonts w:ascii="宋体" w:hAnsi="宋体" w:cs="宋体" w:eastAsia="宋体"/>
                      <w:sz w:val="20"/>
                    </w:rPr>
                    <w:t>1)提供听课功能，支持在线学习视频课程，教学视频尺寸不小于1280×720；提供播放速度调节功能，可根据观看习惯，自由选择合适自己的播放速度；</w:t>
                  </w:r>
                </w:p>
                <w:p>
                  <w:pPr>
                    <w:pStyle w:val="null3"/>
                    <w:jc w:val="left"/>
                  </w:pPr>
                  <w:r>
                    <w:rPr>
                      <w:rFonts w:ascii="宋体" w:hAnsi="宋体" w:cs="宋体" w:eastAsia="宋体"/>
                      <w:sz w:val="20"/>
                    </w:rPr>
                    <w:t>2)提供作业功能，学生在完成教师端布置的作业后可以获得分数用于统计期末总成绩；</w:t>
                  </w:r>
                </w:p>
                <w:p>
                  <w:pPr>
                    <w:pStyle w:val="null3"/>
                    <w:jc w:val="left"/>
                  </w:pPr>
                  <w:r>
                    <w:rPr>
                      <w:rFonts w:ascii="宋体" w:hAnsi="宋体" w:cs="宋体" w:eastAsia="宋体"/>
                      <w:sz w:val="20"/>
                    </w:rPr>
                    <w:t>3)具备考试功能，学生在完成教师端布置的试卷后可以获得分数用于统计期末总成绩；</w:t>
                  </w:r>
                </w:p>
                <w:p>
                  <w:pPr>
                    <w:pStyle w:val="null3"/>
                    <w:jc w:val="left"/>
                  </w:pPr>
                  <w:r>
                    <w:rPr>
                      <w:rFonts w:ascii="宋体" w:hAnsi="宋体" w:cs="宋体" w:eastAsia="宋体"/>
                      <w:sz w:val="20"/>
                    </w:rPr>
                    <w:t>4)支持课堂互动功能，可参加老师发布的各类活动，可以组间相互评分，同学互相评论。</w:t>
                  </w:r>
                </w:p>
                <w:p>
                  <w:pPr>
                    <w:pStyle w:val="null3"/>
                    <w:jc w:val="left"/>
                  </w:pPr>
                  <w:r>
                    <w:rPr>
                      <w:rFonts w:ascii="宋体" w:hAnsi="宋体" w:cs="宋体" w:eastAsia="宋体"/>
                      <w:sz w:val="20"/>
                    </w:rPr>
                    <w:t>4、APP功能参数</w:t>
                  </w:r>
                </w:p>
                <w:p>
                  <w:pPr>
                    <w:pStyle w:val="null3"/>
                    <w:jc w:val="left"/>
                  </w:pPr>
                  <w:r>
                    <w:rPr>
                      <w:rFonts w:ascii="宋体" w:hAnsi="宋体" w:cs="宋体" w:eastAsia="宋体"/>
                      <w:sz w:val="20"/>
                    </w:rPr>
                    <w:t>1)APP支持手机等移动终端学习功能，可以利用手机学习课程内视频、文档，完成随堂测、作业、考试等功能；</w:t>
                  </w:r>
                </w:p>
                <w:p>
                  <w:pPr>
                    <w:pStyle w:val="null3"/>
                    <w:jc w:val="left"/>
                  </w:pPr>
                  <w:r>
                    <w:rPr>
                      <w:rFonts w:ascii="宋体" w:hAnsi="宋体" w:cs="宋体" w:eastAsia="宋体"/>
                      <w:sz w:val="20"/>
                    </w:rPr>
                    <w:t>2)App支持学生参与多种形式的课堂活动：问卷调查、头脑风暴、分组任务、随堂测验等。</w:t>
                  </w:r>
                </w:p>
                <w:p>
                  <w:pPr>
                    <w:pStyle w:val="null3"/>
                    <w:jc w:val="left"/>
                  </w:pPr>
                  <w:r>
                    <w:rPr>
                      <w:rFonts w:ascii="宋体" w:hAnsi="宋体" w:cs="宋体" w:eastAsia="宋体"/>
                      <w:sz w:val="20"/>
                    </w:rPr>
                    <w:t>3)打开APP实现四种形式的在线签到，传统点名考勤、数字考勤、手势考勤、GPS定位考勤，帮助老师自动统计学生出勤情况；</w:t>
                  </w:r>
                </w:p>
                <w:p>
                  <w:pPr>
                    <w:pStyle w:val="null3"/>
                    <w:jc w:val="left"/>
                  </w:pPr>
                  <w:r>
                    <w:rPr>
                      <w:rFonts w:ascii="宋体" w:hAnsi="宋体" w:cs="宋体" w:eastAsia="宋体"/>
                      <w:sz w:val="20"/>
                    </w:rPr>
                    <w:t>4)APP可记录学习情况，学生可按课程查看各个视频的学习进度，并提供学生平时学习情况统计和线下课堂表现详情，学生的各项学习活动均有分值记录，作为期末成绩考核依据；5)支持手机在线看课功能，提供倍速看课。</w:t>
                  </w:r>
                </w:p>
                <w:p>
                  <w:pPr>
                    <w:pStyle w:val="null3"/>
                    <w:jc w:val="left"/>
                  </w:pPr>
                  <w:r>
                    <w:rPr>
                      <w:rFonts w:ascii="宋体" w:hAnsi="宋体" w:cs="宋体" w:eastAsia="宋体"/>
                      <w:sz w:val="20"/>
                    </w:rPr>
                    <w:t>（二）平台业务参数指标</w:t>
                  </w:r>
                </w:p>
                <w:p>
                  <w:pPr>
                    <w:pStyle w:val="null3"/>
                    <w:jc w:val="left"/>
                  </w:pPr>
                  <w:r>
                    <w:rPr>
                      <w:rFonts w:ascii="宋体" w:hAnsi="宋体" w:cs="宋体" w:eastAsia="宋体"/>
                      <w:sz w:val="20"/>
                    </w:rPr>
                    <w:t>1、高清视频课程</w:t>
                  </w:r>
                </w:p>
                <w:p>
                  <w:pPr>
                    <w:pStyle w:val="null3"/>
                    <w:jc w:val="left"/>
                  </w:pPr>
                  <w:r>
                    <w:rPr>
                      <w:rFonts w:ascii="宋体" w:hAnsi="宋体" w:cs="宋体" w:eastAsia="宋体"/>
                      <w:sz w:val="20"/>
                    </w:rPr>
                    <w:t>（</w:t>
                  </w:r>
                  <w:r>
                    <w:rPr>
                      <w:rFonts w:ascii="宋体" w:hAnsi="宋体" w:cs="宋体" w:eastAsia="宋体"/>
                      <w:sz w:val="20"/>
                    </w:rPr>
                    <w:t>1）平台包含初级会计实务、经济法基础两门课程，基础班、习题班、冲刺班共三个班次全套视频课程，课程根据最新的考试大纲进行框架搭建。</w:t>
                  </w:r>
                </w:p>
                <w:p>
                  <w:pPr>
                    <w:pStyle w:val="null3"/>
                    <w:jc w:val="left"/>
                  </w:pPr>
                  <w:r>
                    <w:rPr>
                      <w:rFonts w:ascii="宋体" w:hAnsi="宋体" w:cs="宋体" w:eastAsia="宋体"/>
                      <w:sz w:val="20"/>
                    </w:rPr>
                    <w:t>基础班：基础学习阶段。紧扣教材大纲，逐章系统讲解。</w:t>
                  </w:r>
                </w:p>
                <w:p>
                  <w:pPr>
                    <w:pStyle w:val="null3"/>
                    <w:jc w:val="left"/>
                  </w:pPr>
                  <w:r>
                    <w:rPr>
                      <w:rFonts w:ascii="宋体" w:hAnsi="宋体" w:cs="宋体" w:eastAsia="宋体"/>
                      <w:sz w:val="20"/>
                    </w:rPr>
                    <w:t>习题班：强化提高阶段。剖析解题思路，掌握做题技巧。</w:t>
                  </w:r>
                </w:p>
                <w:p>
                  <w:pPr>
                    <w:pStyle w:val="null3"/>
                    <w:jc w:val="left"/>
                  </w:pPr>
                  <w:r>
                    <w:rPr>
                      <w:rFonts w:ascii="宋体" w:hAnsi="宋体" w:cs="宋体" w:eastAsia="宋体"/>
                      <w:sz w:val="20"/>
                    </w:rPr>
                    <w:t>冲刺班：考前冲刺阶段。点拨考试思路，核心考点梳理，识别考试陷阱。</w:t>
                  </w:r>
                </w:p>
                <w:p>
                  <w:pPr>
                    <w:pStyle w:val="null3"/>
                    <w:jc w:val="left"/>
                  </w:pPr>
                  <w:r>
                    <w:rPr>
                      <w:rFonts w:ascii="宋体" w:hAnsi="宋体" w:cs="宋体" w:eastAsia="宋体"/>
                      <w:sz w:val="20"/>
                    </w:rPr>
                    <w:t>（</w:t>
                  </w:r>
                  <w:r>
                    <w:rPr>
                      <w:rFonts w:ascii="宋体" w:hAnsi="宋体" w:cs="宋体" w:eastAsia="宋体"/>
                      <w:sz w:val="20"/>
                    </w:rPr>
                    <w:t>2）初级会计实务课程</w:t>
                  </w:r>
                </w:p>
                <w:p>
                  <w:pPr>
                    <w:pStyle w:val="null3"/>
                    <w:jc w:val="left"/>
                  </w:pPr>
                  <w:r>
                    <w:rPr>
                      <w:rFonts w:ascii="宋体" w:hAnsi="宋体" w:cs="宋体" w:eastAsia="宋体"/>
                      <w:sz w:val="20"/>
                    </w:rPr>
                    <w:t>1)基础班：课程内容共计8章不少于90知识点；</w:t>
                  </w:r>
                </w:p>
                <w:p>
                  <w:pPr>
                    <w:pStyle w:val="null3"/>
                    <w:jc w:val="left"/>
                  </w:pPr>
                  <w:r>
                    <w:rPr>
                      <w:rFonts w:ascii="宋体" w:hAnsi="宋体" w:cs="宋体" w:eastAsia="宋体"/>
                      <w:sz w:val="20"/>
                    </w:rPr>
                    <w:t>2)习题班：课程内容共计8章不少于25个知识点；</w:t>
                  </w:r>
                </w:p>
                <w:p>
                  <w:pPr>
                    <w:pStyle w:val="null3"/>
                    <w:jc w:val="left"/>
                  </w:pPr>
                  <w:r>
                    <w:rPr>
                      <w:rFonts w:ascii="宋体" w:hAnsi="宋体" w:cs="宋体" w:eastAsia="宋体"/>
                      <w:sz w:val="20"/>
                    </w:rPr>
                    <w:t>3)冲刺班：课程内容共计8章不少于10个知识点；</w:t>
                  </w:r>
                </w:p>
                <w:p>
                  <w:pPr>
                    <w:pStyle w:val="null3"/>
                    <w:jc w:val="left"/>
                  </w:pPr>
                  <w:r>
                    <w:rPr>
                      <w:rFonts w:ascii="宋体" w:hAnsi="宋体" w:cs="宋体" w:eastAsia="宋体"/>
                      <w:sz w:val="20"/>
                    </w:rPr>
                    <w:t>4)名师组织建设的三个班次视频课程，视频教学总时长不少于90个小时；</w:t>
                  </w:r>
                </w:p>
                <w:p>
                  <w:pPr>
                    <w:pStyle w:val="null3"/>
                    <w:jc w:val="left"/>
                  </w:pPr>
                  <w:r>
                    <w:rPr>
                      <w:rFonts w:ascii="宋体" w:hAnsi="宋体" w:cs="宋体" w:eastAsia="宋体"/>
                      <w:sz w:val="20"/>
                    </w:rPr>
                    <w:t>5)不少于1500页知识点PPT。</w:t>
                  </w:r>
                </w:p>
                <w:p>
                  <w:pPr>
                    <w:pStyle w:val="null3"/>
                    <w:jc w:val="left"/>
                  </w:pPr>
                  <w:r>
                    <w:rPr>
                      <w:rFonts w:ascii="宋体" w:hAnsi="宋体" w:cs="宋体" w:eastAsia="宋体"/>
                      <w:sz w:val="20"/>
                    </w:rPr>
                    <w:t>（</w:t>
                  </w:r>
                  <w:r>
                    <w:rPr>
                      <w:rFonts w:ascii="宋体" w:hAnsi="宋体" w:cs="宋体" w:eastAsia="宋体"/>
                      <w:sz w:val="20"/>
                    </w:rPr>
                    <w:t>3）经济法基础课程</w:t>
                  </w:r>
                </w:p>
                <w:p>
                  <w:pPr>
                    <w:pStyle w:val="null3"/>
                    <w:jc w:val="left"/>
                  </w:pPr>
                  <w:r>
                    <w:rPr>
                      <w:rFonts w:ascii="宋体" w:hAnsi="宋体" w:cs="宋体" w:eastAsia="宋体"/>
                      <w:sz w:val="20"/>
                    </w:rPr>
                    <w:t>1)基础版：课程内容共计8章不少于90个知识点；</w:t>
                  </w:r>
                </w:p>
                <w:p>
                  <w:pPr>
                    <w:pStyle w:val="null3"/>
                    <w:jc w:val="left"/>
                  </w:pPr>
                  <w:r>
                    <w:rPr>
                      <w:rFonts w:ascii="宋体" w:hAnsi="宋体" w:cs="宋体" w:eastAsia="宋体"/>
                      <w:sz w:val="20"/>
                    </w:rPr>
                    <w:t>2)习题班：课程内容共计8章不少于25个知识点；</w:t>
                  </w:r>
                </w:p>
                <w:p>
                  <w:pPr>
                    <w:pStyle w:val="null3"/>
                    <w:jc w:val="left"/>
                  </w:pPr>
                  <w:r>
                    <w:rPr>
                      <w:rFonts w:ascii="宋体" w:hAnsi="宋体" w:cs="宋体" w:eastAsia="宋体"/>
                      <w:sz w:val="20"/>
                    </w:rPr>
                    <w:t>3)冲刺班：课程内容共计8章不少于10个知识点；</w:t>
                  </w:r>
                </w:p>
                <w:p>
                  <w:pPr>
                    <w:pStyle w:val="null3"/>
                    <w:jc w:val="left"/>
                  </w:pPr>
                  <w:r>
                    <w:rPr>
                      <w:rFonts w:ascii="宋体" w:hAnsi="宋体" w:cs="宋体" w:eastAsia="宋体"/>
                      <w:sz w:val="20"/>
                    </w:rPr>
                    <w:t>4)名师组织建设的三个班次视频课程，视频教学总时长不少于90个小时；</w:t>
                  </w:r>
                </w:p>
                <w:p>
                  <w:pPr>
                    <w:pStyle w:val="null3"/>
                    <w:jc w:val="left"/>
                  </w:pPr>
                  <w:r>
                    <w:rPr>
                      <w:rFonts w:ascii="宋体" w:hAnsi="宋体" w:cs="宋体" w:eastAsia="宋体"/>
                      <w:sz w:val="20"/>
                    </w:rPr>
                    <w:t>5)不少于1500页知识点PPT。</w:t>
                  </w:r>
                </w:p>
                <w:p>
                  <w:pPr>
                    <w:pStyle w:val="null3"/>
                    <w:jc w:val="left"/>
                  </w:pPr>
                  <w:r>
                    <w:rPr>
                      <w:rFonts w:ascii="宋体" w:hAnsi="宋体" w:cs="宋体" w:eastAsia="宋体"/>
                      <w:sz w:val="20"/>
                    </w:rPr>
                    <w:t>2、直播回放课程</w:t>
                  </w:r>
                </w:p>
                <w:p>
                  <w:pPr>
                    <w:pStyle w:val="null3"/>
                    <w:jc w:val="left"/>
                  </w:pPr>
                  <w:r>
                    <w:rPr>
                      <w:rFonts w:ascii="宋体" w:hAnsi="宋体" w:cs="宋体" w:eastAsia="宋体"/>
                      <w:sz w:val="20"/>
                    </w:rPr>
                    <w:t>平台包含专题直播辅导</w:t>
                  </w:r>
                  <w:r>
                    <w:rPr>
                      <w:rFonts w:ascii="宋体" w:hAnsi="宋体" w:cs="宋体" w:eastAsia="宋体"/>
                      <w:sz w:val="20"/>
                    </w:rPr>
                    <w:t>+考前串讲直播：面授的效果+网络的便捷。针对高频考点开展直播辅导，主要解决考试中的重点和难点问题，对学生的提问进行针对性的解答。</w:t>
                  </w:r>
                </w:p>
                <w:p>
                  <w:pPr>
                    <w:pStyle w:val="null3"/>
                    <w:jc w:val="left"/>
                  </w:pPr>
                  <w:r>
                    <w:rPr>
                      <w:rFonts w:ascii="宋体" w:hAnsi="宋体" w:cs="宋体" w:eastAsia="宋体"/>
                      <w:sz w:val="20"/>
                    </w:rPr>
                    <w:t>同时提供直播回放课程，可供无限次回放学习；直播辅导共</w:t>
                  </w:r>
                  <w:r>
                    <w:rPr>
                      <w:rFonts w:ascii="宋体" w:hAnsi="宋体" w:cs="宋体" w:eastAsia="宋体"/>
                      <w:sz w:val="20"/>
                    </w:rPr>
                    <w:t>20次，共计40小时，其中《初级会计实务》10次共20小时、《经济法基础》10次共20小时。加深对高频考点及重难点的理解，帮助学生避开雷区，瞄准考点。</w:t>
                  </w:r>
                </w:p>
                <w:p>
                  <w:pPr>
                    <w:pStyle w:val="null3"/>
                    <w:jc w:val="left"/>
                  </w:pPr>
                  <w:r>
                    <w:rPr>
                      <w:rFonts w:ascii="宋体" w:hAnsi="宋体" w:cs="宋体" w:eastAsia="宋体"/>
                      <w:sz w:val="20"/>
                    </w:rPr>
                    <w:t>3、题库资源</w:t>
                  </w:r>
                </w:p>
                <w:p>
                  <w:pPr>
                    <w:pStyle w:val="null3"/>
                    <w:jc w:val="left"/>
                  </w:pPr>
                  <w:r>
                    <w:rPr>
                      <w:rFonts w:ascii="宋体" w:hAnsi="宋体" w:cs="宋体" w:eastAsia="宋体"/>
                      <w:sz w:val="20"/>
                    </w:rPr>
                    <w:t>（</w:t>
                  </w:r>
                  <w:r>
                    <w:rPr>
                      <w:rFonts w:ascii="宋体" w:hAnsi="宋体" w:cs="宋体" w:eastAsia="宋体"/>
                      <w:sz w:val="20"/>
                    </w:rPr>
                    <w:t>1）平台包含《初级会计实务》、《经济法基础》两门课程题库资源，题库根据年度初级会计职称考试大纲进行框架搭建；</w:t>
                  </w:r>
                </w:p>
                <w:p>
                  <w:pPr>
                    <w:pStyle w:val="null3"/>
                    <w:jc w:val="left"/>
                  </w:pPr>
                  <w:r>
                    <w:rPr>
                      <w:rFonts w:ascii="宋体" w:hAnsi="宋体" w:cs="宋体" w:eastAsia="宋体"/>
                      <w:sz w:val="20"/>
                    </w:rPr>
                    <w:t>（</w:t>
                  </w:r>
                  <w:r>
                    <w:rPr>
                      <w:rFonts w:ascii="宋体" w:hAnsi="宋体" w:cs="宋体" w:eastAsia="宋体"/>
                      <w:sz w:val="20"/>
                    </w:rPr>
                    <w:t>2）两门课程均含章节练习题库及标准模拟试卷，初级会计实务不少于2800道，经济法基础不少于2000道；</w:t>
                  </w:r>
                </w:p>
                <w:p>
                  <w:pPr>
                    <w:pStyle w:val="null3"/>
                    <w:jc w:val="left"/>
                  </w:pPr>
                  <w:r>
                    <w:rPr>
                      <w:rFonts w:ascii="宋体" w:hAnsi="宋体" w:cs="宋体" w:eastAsia="宋体"/>
                      <w:sz w:val="20"/>
                    </w:rPr>
                    <w:t>（</w:t>
                  </w:r>
                  <w:r>
                    <w:rPr>
                      <w:rFonts w:ascii="宋体" w:hAnsi="宋体" w:cs="宋体" w:eastAsia="宋体"/>
                      <w:sz w:val="20"/>
                    </w:rPr>
                    <w:t>3）两门课程题库需全面覆盖年度初级会计职称考试大纲所有知识点；</w:t>
                  </w:r>
                </w:p>
                <w:p>
                  <w:pPr>
                    <w:pStyle w:val="null3"/>
                    <w:jc w:val="left"/>
                  </w:pPr>
                  <w:r>
                    <w:rPr>
                      <w:rFonts w:ascii="宋体" w:hAnsi="宋体" w:cs="宋体" w:eastAsia="宋体"/>
                      <w:sz w:val="20"/>
                    </w:rPr>
                    <w:t>（</w:t>
                  </w:r>
                  <w:r>
                    <w:rPr>
                      <w:rFonts w:ascii="宋体" w:hAnsi="宋体" w:cs="宋体" w:eastAsia="宋体"/>
                      <w:sz w:val="20"/>
                    </w:rPr>
                    <w:t>4）题库中的各个题目需要配置正确答案，重难点题目需要配置答案解析，每道题目均可按章节知识点进行管理；</w:t>
                  </w:r>
                </w:p>
                <w:p>
                  <w:pPr>
                    <w:pStyle w:val="null3"/>
                    <w:jc w:val="left"/>
                  </w:pPr>
                  <w:r>
                    <w:rPr>
                      <w:rFonts w:ascii="宋体" w:hAnsi="宋体" w:cs="宋体" w:eastAsia="宋体"/>
                      <w:sz w:val="20"/>
                    </w:rPr>
                    <w:t>（</w:t>
                  </w:r>
                  <w:r>
                    <w:rPr>
                      <w:rFonts w:ascii="宋体" w:hAnsi="宋体" w:cs="宋体" w:eastAsia="宋体"/>
                      <w:sz w:val="20"/>
                    </w:rPr>
                    <w:t>5）两门课程题库根据老师教学及学生练习的需要进行细分设计，于平台中划分为测试卷、考前模拟试卷每门课程各三套。</w:t>
                  </w:r>
                </w:p>
                <w:p>
                  <w:pPr>
                    <w:pStyle w:val="null3"/>
                    <w:jc w:val="left"/>
                  </w:pPr>
                  <w:r>
                    <w:rPr>
                      <w:rFonts w:ascii="宋体" w:hAnsi="宋体" w:cs="宋体" w:eastAsia="宋体"/>
                      <w:sz w:val="20"/>
                    </w:rPr>
                    <w:t>4、学习资料</w:t>
                  </w:r>
                </w:p>
                <w:p>
                  <w:pPr>
                    <w:pStyle w:val="null3"/>
                    <w:jc w:val="left"/>
                  </w:pPr>
                  <w:r>
                    <w:rPr>
                      <w:rFonts w:ascii="宋体" w:hAnsi="宋体" w:cs="宋体" w:eastAsia="宋体"/>
                      <w:sz w:val="20"/>
                    </w:rPr>
                    <w:t>（</w:t>
                  </w:r>
                  <w:r>
                    <w:rPr>
                      <w:rFonts w:ascii="宋体" w:hAnsi="宋体" w:cs="宋体" w:eastAsia="宋体"/>
                      <w:sz w:val="20"/>
                    </w:rPr>
                    <w:t>1）教材变动解析2份，不少于20页；</w:t>
                  </w:r>
                </w:p>
                <w:p>
                  <w:pPr>
                    <w:pStyle w:val="null3"/>
                    <w:jc w:val="left"/>
                  </w:pPr>
                  <w:r>
                    <w:rPr>
                      <w:rFonts w:ascii="宋体" w:hAnsi="宋体" w:cs="宋体" w:eastAsia="宋体"/>
                      <w:sz w:val="20"/>
                    </w:rPr>
                    <w:t>（</w:t>
                  </w:r>
                  <w:r>
                    <w:rPr>
                      <w:rFonts w:ascii="宋体" w:hAnsi="宋体" w:cs="宋体" w:eastAsia="宋体"/>
                      <w:sz w:val="20"/>
                    </w:rPr>
                    <w:t>2）学习计划表1份，不少于3页；</w:t>
                  </w:r>
                </w:p>
                <w:p>
                  <w:pPr>
                    <w:pStyle w:val="null3"/>
                    <w:jc w:val="left"/>
                  </w:pPr>
                  <w:r>
                    <w:rPr>
                      <w:rFonts w:ascii="宋体" w:hAnsi="宋体" w:cs="宋体" w:eastAsia="宋体"/>
                      <w:sz w:val="20"/>
                    </w:rPr>
                    <w:t>（</w:t>
                  </w:r>
                  <w:r>
                    <w:rPr>
                      <w:rFonts w:ascii="宋体" w:hAnsi="宋体" w:cs="宋体" w:eastAsia="宋体"/>
                      <w:sz w:val="20"/>
                    </w:rPr>
                    <w:t>3）备考干货4份，不少于40页，包含常用公式+会计分录+必备法条；</w:t>
                  </w:r>
                </w:p>
                <w:p>
                  <w:pPr>
                    <w:pStyle w:val="null3"/>
                    <w:jc w:val="left"/>
                  </w:pPr>
                  <w:r>
                    <w:rPr>
                      <w:rFonts w:ascii="宋体" w:hAnsi="宋体" w:cs="宋体" w:eastAsia="宋体"/>
                      <w:sz w:val="20"/>
                    </w:rPr>
                    <w:t>（</w:t>
                  </w:r>
                  <w:r>
                    <w:rPr>
                      <w:rFonts w:ascii="宋体" w:hAnsi="宋体" w:cs="宋体" w:eastAsia="宋体"/>
                      <w:sz w:val="20"/>
                    </w:rPr>
                    <w:t>4）思维导图2份，不少于16页，包含每章知识点，厘清考点脉络；</w:t>
                  </w:r>
                </w:p>
                <w:p>
                  <w:pPr>
                    <w:pStyle w:val="null3"/>
                    <w:jc w:val="left"/>
                  </w:pPr>
                  <w:r>
                    <w:rPr>
                      <w:rFonts w:ascii="宋体" w:hAnsi="宋体" w:cs="宋体" w:eastAsia="宋体"/>
                      <w:sz w:val="20"/>
                    </w:rPr>
                    <w:t>（</w:t>
                  </w:r>
                  <w:r>
                    <w:rPr>
                      <w:rFonts w:ascii="宋体" w:hAnsi="宋体" w:cs="宋体" w:eastAsia="宋体"/>
                      <w:sz w:val="20"/>
                    </w:rPr>
                    <w:t>5）高频考点2份，不少于150页。</w:t>
                  </w:r>
                </w:p>
                <w:p>
                  <w:pPr>
                    <w:pStyle w:val="null3"/>
                    <w:jc w:val="left"/>
                  </w:pPr>
                  <w:r>
                    <w:rPr>
                      <w:rFonts w:ascii="宋体" w:hAnsi="宋体" w:cs="宋体" w:eastAsia="宋体"/>
                      <w:sz w:val="20"/>
                    </w:rPr>
                    <w:t>5、初级会计职称无纸化模考系统</w:t>
                  </w:r>
                </w:p>
                <w:p>
                  <w:pPr>
                    <w:pStyle w:val="null3"/>
                    <w:jc w:val="left"/>
                  </w:pPr>
                  <w:r>
                    <w:rPr>
                      <w:rFonts w:ascii="宋体" w:hAnsi="宋体" w:cs="宋体" w:eastAsia="宋体"/>
                      <w:sz w:val="20"/>
                    </w:rPr>
                    <w:t>（</w:t>
                  </w:r>
                  <w:r>
                    <w:rPr>
                      <w:rFonts w:ascii="宋体" w:hAnsi="宋体" w:cs="宋体" w:eastAsia="宋体"/>
                      <w:sz w:val="20"/>
                    </w:rPr>
                    <w:t>1）无纸化模考系统包含初级会计实务、经济法基础两门课程模考；</w:t>
                  </w:r>
                </w:p>
                <w:p>
                  <w:pPr>
                    <w:pStyle w:val="null3"/>
                    <w:jc w:val="left"/>
                  </w:pPr>
                  <w:r>
                    <w:rPr>
                      <w:rFonts w:ascii="宋体" w:hAnsi="宋体" w:cs="宋体" w:eastAsia="宋体"/>
                      <w:sz w:val="20"/>
                    </w:rPr>
                    <w:t>（</w:t>
                  </w:r>
                  <w:r>
                    <w:rPr>
                      <w:rFonts w:ascii="宋体" w:hAnsi="宋体" w:cs="宋体" w:eastAsia="宋体"/>
                      <w:sz w:val="20"/>
                    </w:rPr>
                    <w:t>2）学生可通过选择“模拟考试”形式进行模拟练习，系统按初级会计职称考试要求的时间、题型、题量进行随机组卷。学生模拟考试平台操作，感觉真实的考试环境；</w:t>
                  </w:r>
                </w:p>
                <w:p>
                  <w:pPr>
                    <w:pStyle w:val="null3"/>
                    <w:jc w:val="left"/>
                  </w:pPr>
                  <w:r>
                    <w:rPr>
                      <w:rFonts w:ascii="宋体" w:hAnsi="宋体" w:cs="宋体" w:eastAsia="宋体"/>
                      <w:sz w:val="20"/>
                    </w:rPr>
                    <w:t>（</w:t>
                  </w:r>
                  <w:r>
                    <w:rPr>
                      <w:rFonts w:ascii="宋体" w:hAnsi="宋体" w:cs="宋体" w:eastAsia="宋体"/>
                      <w:sz w:val="20"/>
                    </w:rPr>
                    <w:t>3）学生可通过选择“按章练习”形式进行模拟练习，通过按章或者按节的方式，根据自己的需求，对时间、题型、题量进行设置，系统根据设置完成随机组卷。学生模拟考试平台操作，感觉真实的考试环境；</w:t>
                  </w:r>
                </w:p>
                <w:p>
                  <w:pPr>
                    <w:pStyle w:val="null3"/>
                    <w:jc w:val="left"/>
                  </w:pPr>
                  <w:r>
                    <w:rPr>
                      <w:rFonts w:ascii="宋体" w:hAnsi="宋体" w:cs="宋体" w:eastAsia="宋体"/>
                      <w:sz w:val="20"/>
                    </w:rPr>
                    <w:t>（</w:t>
                  </w:r>
                  <w:r>
                    <w:rPr>
                      <w:rFonts w:ascii="宋体" w:hAnsi="宋体" w:cs="宋体" w:eastAsia="宋体"/>
                      <w:sz w:val="20"/>
                    </w:rPr>
                    <w:t>4）题库紧扣教学大纲和考试要求，全面覆盖各类知识点；</w:t>
                  </w:r>
                </w:p>
                <w:p>
                  <w:pPr>
                    <w:pStyle w:val="null3"/>
                    <w:jc w:val="left"/>
                  </w:pPr>
                  <w:r>
                    <w:rPr>
                      <w:rFonts w:ascii="宋体" w:hAnsi="宋体" w:cs="宋体" w:eastAsia="宋体"/>
                      <w:sz w:val="20"/>
                    </w:rPr>
                    <w:t>（</w:t>
                  </w:r>
                  <w:r>
                    <w:rPr>
                      <w:rFonts w:ascii="宋体" w:hAnsi="宋体" w:cs="宋体" w:eastAsia="宋体"/>
                      <w:sz w:val="20"/>
                    </w:rPr>
                    <w:t>5）学生可通过“练习记录”，查看“模拟考试”“按章练习”已完成的做题结果，根据做题结果评估掌握情况，并可通过查看相关题析，进一步加深知识点的理解；学生也可对该试卷进行反复重做练习，提高对知识点的掌握程度；</w:t>
                  </w:r>
                </w:p>
                <w:p>
                  <w:pPr>
                    <w:pStyle w:val="null3"/>
                    <w:jc w:val="left"/>
                  </w:pPr>
                  <w:r>
                    <w:rPr>
                      <w:rFonts w:ascii="宋体" w:hAnsi="宋体" w:cs="宋体" w:eastAsia="宋体"/>
                      <w:sz w:val="20"/>
                    </w:rPr>
                    <w:t>（</w:t>
                  </w:r>
                  <w:r>
                    <w:rPr>
                      <w:rFonts w:ascii="宋体" w:hAnsi="宋体" w:cs="宋体" w:eastAsia="宋体"/>
                      <w:sz w:val="20"/>
                    </w:rPr>
                    <w:t>6）学生可通过“考试动态”模块，查看各地发布的相关考试实时信息；</w:t>
                  </w:r>
                </w:p>
                <w:p>
                  <w:pPr>
                    <w:pStyle w:val="null3"/>
                    <w:jc w:val="left"/>
                  </w:pPr>
                  <w:r>
                    <w:rPr>
                      <w:rFonts w:ascii="宋体" w:hAnsi="宋体" w:cs="宋体" w:eastAsia="宋体"/>
                      <w:sz w:val="20"/>
                    </w:rPr>
                    <w:t>（</w:t>
                  </w:r>
                  <w:r>
                    <w:rPr>
                      <w:rFonts w:ascii="宋体" w:hAnsi="宋体" w:cs="宋体" w:eastAsia="宋体"/>
                      <w:sz w:val="20"/>
                    </w:rPr>
                    <w:t>7）学生可通过“考试论坛”模块，查看全国各地学员的学习心得讨论；</w:t>
                  </w:r>
                </w:p>
                <w:p>
                  <w:pPr>
                    <w:pStyle w:val="null3"/>
                    <w:jc w:val="left"/>
                  </w:pPr>
                  <w:r>
                    <w:rPr>
                      <w:rFonts w:ascii="宋体" w:hAnsi="宋体" w:cs="宋体" w:eastAsia="宋体"/>
                      <w:sz w:val="20"/>
                    </w:rPr>
                    <w:t>（</w:t>
                  </w:r>
                  <w:r>
                    <w:rPr>
                      <w:rFonts w:ascii="宋体" w:hAnsi="宋体" w:cs="宋体" w:eastAsia="宋体"/>
                      <w:sz w:val="20"/>
                    </w:rPr>
                    <w:t>8）学生可通过“政策信息”模块，查看各地发布的政策实时信息；</w:t>
                  </w:r>
                </w:p>
                <w:p>
                  <w:pPr>
                    <w:pStyle w:val="null3"/>
                    <w:jc w:val="left"/>
                  </w:pPr>
                  <w:r>
                    <w:rPr>
                      <w:rFonts w:ascii="宋体" w:hAnsi="宋体" w:cs="宋体" w:eastAsia="宋体"/>
                      <w:sz w:val="20"/>
                    </w:rPr>
                    <w:t>学生可通过</w:t>
                  </w:r>
                  <w:r>
                    <w:rPr>
                      <w:rFonts w:ascii="宋体" w:hAnsi="宋体" w:cs="宋体" w:eastAsia="宋体"/>
                      <w:sz w:val="20"/>
                    </w:rPr>
                    <w:t>“考试大纲”模块，可了解考试大纲的变化及对比情况。</w:t>
                  </w:r>
                </w:p>
                <w:p>
                  <w:pPr>
                    <w:pStyle w:val="null3"/>
                    <w:jc w:val="left"/>
                  </w:pPr>
                  <w:r>
                    <w:rPr>
                      <w:rFonts w:ascii="宋体" w:hAnsi="宋体" w:cs="宋体" w:eastAsia="宋体"/>
                      <w:sz w:val="20"/>
                    </w:rPr>
                    <w:t>五、配套设备及环境建设</w:t>
                  </w:r>
                </w:p>
                <w:tbl>
                  <w:tblPr>
                    <w:tblBorders>
                      <w:top w:val="none" w:color="000000" w:sz="4"/>
                      <w:left w:val="none" w:color="000000" w:sz="4"/>
                      <w:bottom w:val="none" w:color="000000" w:sz="4"/>
                      <w:right w:val="none" w:color="000000" w:sz="4"/>
                      <w:insideH w:val="none"/>
                      <w:insideV w:val="none"/>
                    </w:tblBorders>
                  </w:tblPr>
                  <w:tblGrid>
                    <w:gridCol w:w="521"/>
                    <w:gridCol w:w="114"/>
                  </w:tblGrid>
                  <w:tr>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技术参数</w:t>
                        </w:r>
                      </w:p>
                    </w:tc>
                    <w:tc>
                      <w:tcPr>
                        <w:tcW w:type="dxa" w:w="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数量</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椅架：优质实木，经过防潮、防虫处理，表面涂有环保清漆，呈现自然木质纹理与光泽；</w:t>
                        </w:r>
                      </w:p>
                      <w:p>
                        <w:pPr>
                          <w:pStyle w:val="null3"/>
                          <w:jc w:val="both"/>
                        </w:pPr>
                        <w:r>
                          <w:rPr>
                            <w:rFonts w:ascii="宋体" w:hAnsi="宋体" w:cs="宋体" w:eastAsia="宋体"/>
                            <w:sz w:val="20"/>
                          </w:rPr>
                          <w:t>座面：高回弹海绵，密度为</w:t>
                        </w:r>
                        <w:r>
                          <w:rPr>
                            <w:rFonts w:ascii="宋体" w:hAnsi="宋体" w:cs="宋体" w:eastAsia="宋体"/>
                            <w:sz w:val="20"/>
                          </w:rPr>
                          <w:t>45kg/m³，外包深灰色透气皮革，具有良好的耐磨性与亲肤性；</w:t>
                        </w:r>
                      </w:p>
                      <w:p>
                        <w:pPr>
                          <w:pStyle w:val="null3"/>
                          <w:jc w:val="both"/>
                        </w:pPr>
                        <w:r>
                          <w:rPr>
                            <w:rFonts w:ascii="宋体" w:hAnsi="宋体" w:cs="宋体" w:eastAsia="宋体"/>
                            <w:sz w:val="20"/>
                          </w:rPr>
                          <w:t>靠背：采用透气网布材质，抗拉强度高，能够有效分散背部压力，保持舒适干爽；</w:t>
                        </w:r>
                      </w:p>
                      <w:p>
                        <w:pPr>
                          <w:pStyle w:val="null3"/>
                          <w:jc w:val="both"/>
                        </w:pPr>
                        <w:r>
                          <w:rPr>
                            <w:rFonts w:ascii="宋体" w:hAnsi="宋体" w:cs="宋体" w:eastAsia="宋体"/>
                            <w:sz w:val="20"/>
                          </w:rPr>
                          <w:t>尺寸</w:t>
                        </w:r>
                        <w:r>
                          <w:rPr>
                            <w:rFonts w:ascii="宋体" w:hAnsi="宋体" w:cs="宋体" w:eastAsia="宋体"/>
                            <w:sz w:val="20"/>
                          </w:rPr>
                          <w:t>:450mm*450mm*880mm（长*宽*高）；</w:t>
                        </w:r>
                      </w:p>
                      <w:p>
                        <w:pPr>
                          <w:pStyle w:val="null3"/>
                          <w:jc w:val="both"/>
                        </w:pPr>
                        <w:r>
                          <w:rPr>
                            <w:rFonts w:ascii="宋体" w:hAnsi="宋体" w:cs="宋体" w:eastAsia="宋体"/>
                            <w:sz w:val="20"/>
                          </w:rPr>
                          <w:t>提供板材环保认证，甲醛放量</w:t>
                        </w:r>
                        <w:r>
                          <w:rPr>
                            <w:rFonts w:ascii="宋体" w:hAnsi="宋体" w:cs="宋体" w:eastAsia="宋体"/>
                            <w:sz w:val="20"/>
                          </w:rPr>
                          <w:t>3mg/100g，E1级标准。</w:t>
                        </w:r>
                      </w:p>
                    </w:tc>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50把</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尺寸：</w:t>
                        </w:r>
                        <w:r>
                          <w:rPr>
                            <w:rFonts w:ascii="宋体" w:hAnsi="宋体" w:cs="宋体" w:eastAsia="宋体"/>
                            <w:sz w:val="20"/>
                          </w:rPr>
                          <w:t>1000mm*宽1000mm*750mm（长*宽*高）；</w:t>
                        </w:r>
                      </w:p>
                      <w:p>
                        <w:pPr>
                          <w:pStyle w:val="null3"/>
                          <w:jc w:val="both"/>
                        </w:pPr>
                        <w:r>
                          <w:rPr>
                            <w:rFonts w:ascii="宋体" w:hAnsi="宋体" w:cs="宋体" w:eastAsia="宋体"/>
                            <w:sz w:val="20"/>
                          </w:rPr>
                          <w:t>形状：圆形；</w:t>
                        </w:r>
                      </w:p>
                      <w:p>
                        <w:pPr>
                          <w:pStyle w:val="null3"/>
                          <w:jc w:val="both"/>
                        </w:pPr>
                        <w:r>
                          <w:rPr>
                            <w:rFonts w:ascii="宋体" w:hAnsi="宋体" w:cs="宋体" w:eastAsia="宋体"/>
                            <w:sz w:val="20"/>
                          </w:rPr>
                          <w:t>材质：木质。</w:t>
                        </w:r>
                      </w:p>
                    </w:tc>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17套</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制冷制热设备，选用面积</w:t>
                        </w:r>
                        <w:r>
                          <w:rPr>
                            <w:rFonts w:ascii="宋体" w:hAnsi="宋体" w:cs="宋体" w:eastAsia="宋体"/>
                            <w:sz w:val="20"/>
                          </w:rPr>
                          <w:t>40</w:t>
                        </w:r>
                        <w:r>
                          <w:rPr>
                            <w:rFonts w:ascii="宋体" w:hAnsi="宋体" w:cs="宋体" w:eastAsia="宋体"/>
                            <w:sz w:val="20"/>
                          </w:rPr>
                          <w:t>－</w:t>
                        </w:r>
                        <w:r>
                          <w:rPr>
                            <w:rFonts w:ascii="宋体" w:hAnsi="宋体" w:cs="宋体" w:eastAsia="宋体"/>
                            <w:sz w:val="20"/>
                          </w:rPr>
                          <w:t>50平米；制冷量：7300W</w:t>
                        </w:r>
                        <w:r>
                          <w:br/>
                        </w:r>
                        <w:r>
                          <w:rPr>
                            <w:rFonts w:ascii="宋体" w:hAnsi="宋体" w:cs="宋体" w:eastAsia="宋体"/>
                            <w:sz w:val="20"/>
                          </w:rPr>
                          <w:t>制热量</w:t>
                        </w:r>
                        <w:r>
                          <w:rPr>
                            <w:rFonts w:ascii="宋体" w:hAnsi="宋体" w:cs="宋体" w:eastAsia="宋体"/>
                            <w:sz w:val="20"/>
                          </w:rPr>
                          <w:t>8000W；内机噪音:&lt;42 Db(A)；效能等级3级</w:t>
                        </w:r>
                        <w:r>
                          <w:br/>
                        </w:r>
                        <w:r>
                          <w:rPr>
                            <w:rFonts w:ascii="宋体" w:hAnsi="宋体" w:cs="宋体" w:eastAsia="宋体"/>
                            <w:sz w:val="20"/>
                          </w:rPr>
                          <w:t>支持四面扫风和除湿功能。</w:t>
                        </w:r>
                      </w:p>
                    </w:tc>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2台</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制冷制热设备，选用面积</w:t>
                        </w:r>
                        <w:r>
                          <w:rPr>
                            <w:rFonts w:ascii="宋体" w:hAnsi="宋体" w:cs="宋体" w:eastAsia="宋体"/>
                            <w:sz w:val="20"/>
                          </w:rPr>
                          <w:t>30平米以内；制冷量：7300W</w:t>
                        </w:r>
                        <w:r>
                          <w:br/>
                        </w:r>
                        <w:r>
                          <w:rPr>
                            <w:rFonts w:ascii="宋体" w:hAnsi="宋体" w:cs="宋体" w:eastAsia="宋体"/>
                            <w:sz w:val="20"/>
                          </w:rPr>
                          <w:t>制热量</w:t>
                        </w:r>
                        <w:r>
                          <w:rPr>
                            <w:rFonts w:ascii="宋体" w:hAnsi="宋体" w:cs="宋体" w:eastAsia="宋体"/>
                            <w:sz w:val="20"/>
                          </w:rPr>
                          <w:t>8000W；内机噪音:&lt;42 Db(A)；效能等级3级</w:t>
                        </w:r>
                        <w:r>
                          <w:br/>
                        </w:r>
                        <w:r>
                          <w:rPr>
                            <w:rFonts w:ascii="宋体" w:hAnsi="宋体" w:cs="宋体" w:eastAsia="宋体"/>
                            <w:sz w:val="20"/>
                          </w:rPr>
                          <w:t>支持四面扫风和除湿功能。</w:t>
                        </w:r>
                      </w:p>
                    </w:tc>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4台</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定制：</w:t>
                        </w:r>
                        <w:r>
                          <w:rPr>
                            <w:rFonts w:ascii="宋体" w:hAnsi="宋体" w:cs="宋体" w:eastAsia="宋体"/>
                            <w:sz w:val="20"/>
                          </w:rPr>
                          <w:t>60*40*90cm（长宽高）</w:t>
                        </w:r>
                      </w:p>
                      <w:p>
                        <w:pPr>
                          <w:pStyle w:val="null3"/>
                          <w:jc w:val="both"/>
                        </w:pPr>
                        <w:r>
                          <w:rPr>
                            <w:rFonts w:ascii="宋体" w:hAnsi="宋体" w:cs="宋体" w:eastAsia="宋体"/>
                            <w:sz w:val="20"/>
                          </w:rPr>
                          <w:t>材质：加厚铝合金，环保高密度板，加厚钢化玻璃，门锁配件齐全，具有氛围灯光及展示灯光，以简约风格为主，同时外表看着有科幻感。</w:t>
                        </w:r>
                      </w:p>
                    </w:tc>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5台</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产品规格：</w:t>
                        </w:r>
                        <w:r>
                          <w:rPr>
                            <w:rFonts w:ascii="宋体" w:hAnsi="宋体" w:cs="宋体" w:eastAsia="宋体"/>
                            <w:sz w:val="20"/>
                          </w:rPr>
                          <w:t>2M*长度定制(最长20M)</w:t>
                        </w:r>
                      </w:p>
                      <w:p>
                        <w:pPr>
                          <w:pStyle w:val="null3"/>
                          <w:jc w:val="both"/>
                        </w:pPr>
                        <w:r>
                          <w:rPr>
                            <w:rFonts w:ascii="宋体" w:hAnsi="宋体" w:cs="宋体" w:eastAsia="宋体"/>
                            <w:sz w:val="20"/>
                          </w:rPr>
                          <w:t>产品厚度：</w:t>
                        </w:r>
                        <w:r>
                          <w:rPr>
                            <w:rFonts w:ascii="宋体" w:hAnsi="宋体" w:cs="宋体" w:eastAsia="宋体"/>
                            <w:sz w:val="20"/>
                          </w:rPr>
                          <w:t>1.2MM/1.8MM</w:t>
                        </w:r>
                      </w:p>
                      <w:p>
                        <w:pPr>
                          <w:pStyle w:val="null3"/>
                          <w:jc w:val="both"/>
                        </w:pPr>
                        <w:r>
                          <w:rPr>
                            <w:rFonts w:ascii="宋体" w:hAnsi="宋体" w:cs="宋体" w:eastAsia="宋体"/>
                            <w:sz w:val="20"/>
                          </w:rPr>
                          <w:t>产品颜色：木纹、石纹、瓷砖纹</w:t>
                        </w:r>
                      </w:p>
                      <w:p>
                        <w:pPr>
                          <w:pStyle w:val="null3"/>
                          <w:jc w:val="both"/>
                        </w:pPr>
                        <w:r>
                          <w:rPr>
                            <w:rFonts w:ascii="宋体" w:hAnsi="宋体" w:cs="宋体" w:eastAsia="宋体"/>
                            <w:sz w:val="20"/>
                          </w:rPr>
                          <w:t>产品材质：优选</w:t>
                        </w:r>
                        <w:r>
                          <w:rPr>
                            <w:rFonts w:ascii="宋体" w:hAnsi="宋体" w:cs="宋体" w:eastAsia="宋体"/>
                            <w:sz w:val="20"/>
                          </w:rPr>
                          <w:t>PVC树脂胶板</w:t>
                        </w:r>
                      </w:p>
                    </w:tc>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崇理楼</w:t>
                        </w:r>
                        <w:r>
                          <w:rPr>
                            <w:rFonts w:ascii="宋体" w:hAnsi="宋体" w:cs="宋体" w:eastAsia="宋体"/>
                            <w:sz w:val="20"/>
                          </w:rPr>
                          <w:t>D201室全覆盖</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75-86英寸智能触控式多功能互动教育综合显示终端（带支架）</w:t>
                        </w:r>
                      </w:p>
                      <w:p>
                        <w:pPr>
                          <w:pStyle w:val="null3"/>
                          <w:jc w:val="both"/>
                        </w:pPr>
                        <w:r>
                          <w:rPr>
                            <w:rFonts w:ascii="宋体" w:hAnsi="宋体" w:cs="宋体" w:eastAsia="宋体"/>
                            <w:sz w:val="20"/>
                          </w:rPr>
                          <w:t>交互式电子白板</w:t>
                        </w:r>
                        <w:r>
                          <w:rPr>
                            <w:rFonts w:ascii="宋体" w:hAnsi="宋体" w:cs="宋体" w:eastAsia="宋体"/>
                            <w:sz w:val="20"/>
                          </w:rPr>
                          <w:t xml:space="preserve">4K触控大屏双系统 新系列 i7 8G 256 </w:t>
                        </w:r>
                        <w:r>
                          <w:br/>
                        </w:r>
                        <w:r>
                          <w:rPr>
                            <w:rFonts w:ascii="宋体" w:hAnsi="宋体" w:cs="宋体" w:eastAsia="宋体"/>
                            <w:sz w:val="20"/>
                          </w:rPr>
                          <w:t>屏幕比例（</w:t>
                        </w:r>
                        <w:r>
                          <w:rPr>
                            <w:rFonts w:ascii="宋体" w:hAnsi="宋体" w:cs="宋体" w:eastAsia="宋体"/>
                            <w:sz w:val="20"/>
                          </w:rPr>
                          <w:t>Aspect Ratio）:  16:9</w:t>
                        </w:r>
                        <w:r>
                          <w:br/>
                        </w:r>
                        <w:r>
                          <w:rPr>
                            <w:rFonts w:ascii="宋体" w:hAnsi="宋体" w:cs="宋体" w:eastAsia="宋体"/>
                            <w:sz w:val="20"/>
                          </w:rPr>
                          <w:t>分辨率（</w:t>
                        </w:r>
                        <w:r>
                          <w:rPr>
                            <w:rFonts w:ascii="宋体" w:hAnsi="宋体" w:cs="宋体" w:eastAsia="宋体"/>
                            <w:sz w:val="20"/>
                          </w:rPr>
                          <w:t>Max. Resolution）: 3840*2160</w:t>
                        </w:r>
                        <w:r>
                          <w:br/>
                        </w:r>
                        <w:r>
                          <w:rPr>
                            <w:rFonts w:ascii="宋体" w:hAnsi="宋体" w:cs="宋体" w:eastAsia="宋体"/>
                            <w:sz w:val="20"/>
                          </w:rPr>
                          <w:t>可视角度</w:t>
                        </w:r>
                        <w:r>
                          <w:rPr>
                            <w:rFonts w:ascii="宋体" w:hAnsi="宋体" w:cs="宋体" w:eastAsia="宋体"/>
                            <w:sz w:val="20"/>
                          </w:rPr>
                          <w:t>[View Angle (U/D/R/L,CR&gt;20)]： 178</w:t>
                        </w:r>
                        <w:r>
                          <w:br/>
                        </w:r>
                        <w:r>
                          <w:rPr>
                            <w:rFonts w:ascii="宋体" w:hAnsi="宋体" w:cs="宋体" w:eastAsia="宋体"/>
                            <w:sz w:val="20"/>
                          </w:rPr>
                          <w:t>点距</w:t>
                        </w:r>
                        <w:r>
                          <w:rPr>
                            <w:rFonts w:ascii="宋体" w:hAnsi="宋体" w:cs="宋体" w:eastAsia="宋体"/>
                            <w:sz w:val="20"/>
                          </w:rPr>
                          <w:t>≥0.17</w:t>
                        </w:r>
                        <w:r>
                          <w:br/>
                        </w:r>
                        <w:r>
                          <w:rPr>
                            <w:rFonts w:ascii="宋体" w:hAnsi="宋体" w:cs="宋体" w:eastAsia="宋体"/>
                            <w:sz w:val="20"/>
                          </w:rPr>
                          <w:t>响应时间（</w:t>
                        </w:r>
                        <w:r>
                          <w:rPr>
                            <w:rFonts w:ascii="宋体" w:hAnsi="宋体" w:cs="宋体" w:eastAsia="宋体"/>
                            <w:sz w:val="20"/>
                          </w:rPr>
                          <w:t>Response Time） ≤6.5ms</w:t>
                        </w:r>
                        <w:r>
                          <w:br/>
                        </w:r>
                        <w:r>
                          <w:rPr>
                            <w:rFonts w:ascii="宋体" w:hAnsi="宋体" w:cs="宋体" w:eastAsia="宋体"/>
                            <w:sz w:val="20"/>
                          </w:rPr>
                          <w:t>对比度（</w:t>
                        </w:r>
                        <w:r>
                          <w:rPr>
                            <w:rFonts w:ascii="宋体" w:hAnsi="宋体" w:cs="宋体" w:eastAsia="宋体"/>
                            <w:sz w:val="20"/>
                          </w:rPr>
                          <w:t>Contrast Ratio）:2000:1</w:t>
                        </w:r>
                        <w:r>
                          <w:br/>
                        </w:r>
                        <w:r>
                          <w:rPr>
                            <w:rFonts w:ascii="宋体" w:hAnsi="宋体" w:cs="宋体" w:eastAsia="宋体"/>
                            <w:sz w:val="20"/>
                          </w:rPr>
                          <w:t>亮度</w:t>
                        </w:r>
                        <w:r>
                          <w:rPr>
                            <w:rFonts w:ascii="宋体" w:hAnsi="宋体" w:cs="宋体" w:eastAsia="宋体"/>
                            <w:sz w:val="20"/>
                          </w:rPr>
                          <w:t>(Brightness)(cd/m2) :500</w:t>
                        </w:r>
                        <w:r>
                          <w:br/>
                        </w:r>
                        <w:r>
                          <w:rPr>
                            <w:rFonts w:ascii="宋体" w:hAnsi="宋体" w:cs="宋体" w:eastAsia="宋体"/>
                            <w:sz w:val="20"/>
                          </w:rPr>
                          <w:t>（</w:t>
                        </w:r>
                        <w:r>
                          <w:rPr>
                            <w:rFonts w:ascii="宋体" w:hAnsi="宋体" w:cs="宋体" w:eastAsia="宋体"/>
                            <w:sz w:val="20"/>
                          </w:rPr>
                          <w:t>1）最大颜色度(Display Color) (Max):16.7M</w:t>
                        </w:r>
                        <w:r>
                          <w:br/>
                        </w:r>
                        <w:r>
                          <w:rPr>
                            <w:rFonts w:ascii="宋体" w:hAnsi="宋体" w:cs="宋体" w:eastAsia="宋体"/>
                            <w:sz w:val="20"/>
                          </w:rPr>
                          <w:t>（</w:t>
                        </w:r>
                        <w:r>
                          <w:rPr>
                            <w:rFonts w:ascii="宋体" w:hAnsi="宋体" w:cs="宋体" w:eastAsia="宋体"/>
                            <w:sz w:val="20"/>
                          </w:rPr>
                          <w:t>2）内置高保真喇叭：8Ω10W*2</w:t>
                        </w:r>
                        <w:r>
                          <w:br/>
                        </w:r>
                        <w:r>
                          <w:rPr>
                            <w:rFonts w:ascii="宋体" w:hAnsi="宋体" w:cs="宋体" w:eastAsia="宋体"/>
                            <w:sz w:val="20"/>
                          </w:rPr>
                          <w:t>（</w:t>
                        </w:r>
                        <w:r>
                          <w:rPr>
                            <w:rFonts w:ascii="宋体" w:hAnsi="宋体" w:cs="宋体" w:eastAsia="宋体"/>
                            <w:sz w:val="20"/>
                          </w:rPr>
                          <w:t>3）电源输入：220V 50HZ/60HZ</w:t>
                        </w:r>
                        <w:r>
                          <w:br/>
                        </w:r>
                        <w:r>
                          <w:rPr>
                            <w:rFonts w:ascii="宋体" w:hAnsi="宋体" w:cs="宋体" w:eastAsia="宋体"/>
                            <w:sz w:val="20"/>
                          </w:rPr>
                          <w:t>（</w:t>
                        </w:r>
                        <w:r>
                          <w:rPr>
                            <w:rFonts w:ascii="宋体" w:hAnsi="宋体" w:cs="宋体" w:eastAsia="宋体"/>
                            <w:sz w:val="20"/>
                          </w:rPr>
                          <w:t>4）额定功率：250W</w:t>
                        </w:r>
                        <w:r>
                          <w:br/>
                        </w:r>
                        <w:r>
                          <w:rPr>
                            <w:rFonts w:ascii="宋体" w:hAnsi="宋体" w:cs="宋体" w:eastAsia="宋体"/>
                            <w:sz w:val="20"/>
                          </w:rPr>
                          <w:t>安装方式：壁挂</w:t>
                        </w:r>
                        <w:r>
                          <w:rPr>
                            <w:rFonts w:ascii="宋体" w:hAnsi="宋体" w:cs="宋体" w:eastAsia="宋体"/>
                            <w:sz w:val="20"/>
                          </w:rPr>
                          <w:t>/移动支架（可升降）/底座</w:t>
                        </w:r>
                        <w:r>
                          <w:br/>
                        </w:r>
                        <w:r>
                          <w:rPr>
                            <w:rFonts w:ascii="宋体" w:hAnsi="宋体" w:cs="宋体" w:eastAsia="宋体"/>
                            <w:sz w:val="20"/>
                          </w:rPr>
                          <w:t>触摸屏参数（多点触摸屏）</w:t>
                        </w:r>
                        <w:r>
                          <w:br/>
                        </w:r>
                        <w:r>
                          <w:rPr>
                            <w:rFonts w:ascii="宋体" w:hAnsi="宋体" w:cs="宋体" w:eastAsia="宋体"/>
                            <w:sz w:val="20"/>
                          </w:rPr>
                          <w:t>（</w:t>
                        </w:r>
                        <w:r>
                          <w:rPr>
                            <w:rFonts w:ascii="宋体" w:hAnsi="宋体" w:cs="宋体" w:eastAsia="宋体"/>
                            <w:sz w:val="20"/>
                          </w:rPr>
                          <w:t xml:space="preserve">1）分辨率：32767*32767 </w:t>
                        </w:r>
                        <w:r>
                          <w:br/>
                        </w:r>
                        <w:r>
                          <w:rPr>
                            <w:rFonts w:ascii="宋体" w:hAnsi="宋体" w:cs="宋体" w:eastAsia="宋体"/>
                            <w:sz w:val="20"/>
                          </w:rPr>
                          <w:t>（</w:t>
                        </w:r>
                        <w:r>
                          <w:rPr>
                            <w:rFonts w:ascii="宋体" w:hAnsi="宋体" w:cs="宋体" w:eastAsia="宋体"/>
                            <w:sz w:val="20"/>
                          </w:rPr>
                          <w:t>2）响应速度≤8MS</w:t>
                        </w:r>
                        <w:r>
                          <w:br/>
                        </w:r>
                        <w:r>
                          <w:rPr>
                            <w:rFonts w:ascii="宋体" w:hAnsi="宋体" w:cs="宋体" w:eastAsia="宋体"/>
                            <w:sz w:val="20"/>
                          </w:rPr>
                          <w:t>（</w:t>
                        </w:r>
                        <w:r>
                          <w:rPr>
                            <w:rFonts w:ascii="宋体" w:hAnsi="宋体" w:cs="宋体" w:eastAsia="宋体"/>
                            <w:sz w:val="20"/>
                          </w:rPr>
                          <w:t xml:space="preserve">3）线性误差：1.5mm </w:t>
                        </w:r>
                        <w:r>
                          <w:br/>
                        </w:r>
                        <w:r>
                          <w:rPr>
                            <w:rFonts w:ascii="宋体" w:hAnsi="宋体" w:cs="宋体" w:eastAsia="宋体"/>
                            <w:sz w:val="20"/>
                          </w:rPr>
                          <w:t>（</w:t>
                        </w:r>
                        <w:r>
                          <w:rPr>
                            <w:rFonts w:ascii="宋体" w:hAnsi="宋体" w:cs="宋体" w:eastAsia="宋体"/>
                            <w:sz w:val="20"/>
                          </w:rPr>
                          <w:t>4）触摸次数：60000000次以上</w:t>
                        </w:r>
                        <w:r>
                          <w:br/>
                        </w:r>
                        <w:r>
                          <w:rPr>
                            <w:rFonts w:ascii="宋体" w:hAnsi="宋体" w:cs="宋体" w:eastAsia="宋体"/>
                            <w:sz w:val="20"/>
                          </w:rPr>
                          <w:t>（</w:t>
                        </w:r>
                        <w:r>
                          <w:rPr>
                            <w:rFonts w:ascii="宋体" w:hAnsi="宋体" w:cs="宋体" w:eastAsia="宋体"/>
                            <w:sz w:val="20"/>
                          </w:rPr>
                          <w:t>5）输入方法：手指或其他不透光的触摸感应介质激活</w:t>
                        </w:r>
                        <w:r>
                          <w:br/>
                        </w:r>
                        <w:r>
                          <w:rPr>
                            <w:rFonts w:ascii="宋体" w:hAnsi="宋体" w:cs="宋体" w:eastAsia="宋体"/>
                            <w:sz w:val="20"/>
                          </w:rPr>
                          <w:t>（</w:t>
                        </w:r>
                        <w:r>
                          <w:rPr>
                            <w:rFonts w:ascii="宋体" w:hAnsi="宋体" w:cs="宋体" w:eastAsia="宋体"/>
                            <w:sz w:val="20"/>
                          </w:rPr>
                          <w:t xml:space="preserve">6）最小触摸物体直径：5mm </w:t>
                        </w:r>
                        <w:r>
                          <w:br/>
                        </w:r>
                        <w:r>
                          <w:rPr>
                            <w:rFonts w:ascii="宋体" w:hAnsi="宋体" w:cs="宋体" w:eastAsia="宋体"/>
                            <w:sz w:val="20"/>
                          </w:rPr>
                          <w:t>（</w:t>
                        </w:r>
                        <w:r>
                          <w:rPr>
                            <w:rFonts w:ascii="宋体" w:hAnsi="宋体" w:cs="宋体" w:eastAsia="宋体"/>
                            <w:sz w:val="20"/>
                          </w:rPr>
                          <w:t>7）抗光性:抗强光干扰</w:t>
                        </w:r>
                        <w:r>
                          <w:br/>
                        </w:r>
                        <w:r>
                          <w:rPr>
                            <w:rFonts w:ascii="宋体" w:hAnsi="宋体" w:cs="宋体" w:eastAsia="宋体"/>
                            <w:sz w:val="20"/>
                          </w:rPr>
                          <w:t>（</w:t>
                        </w:r>
                        <w:r>
                          <w:rPr>
                            <w:rFonts w:ascii="宋体" w:hAnsi="宋体" w:cs="宋体" w:eastAsia="宋体"/>
                            <w:sz w:val="20"/>
                          </w:rPr>
                          <w:t>8）光学指标：透光率 ≥92%,最高可达100%（无玻璃）</w:t>
                        </w:r>
                      </w:p>
                    </w:tc>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w:t>
                        </w:r>
                        <w:r>
                          <w:rPr>
                            <w:rFonts w:ascii="宋体" w:hAnsi="宋体" w:cs="宋体" w:eastAsia="宋体"/>
                            <w:sz w:val="20"/>
                          </w:rPr>
                          <w:t>75英寸、86英寸各2台</w:t>
                        </w:r>
                        <w:r>
                          <w:rPr>
                            <w:rFonts w:ascii="宋体" w:hAnsi="宋体" w:cs="宋体" w:eastAsia="宋体"/>
                            <w:sz w:val="20"/>
                          </w:rPr>
                          <w:t>）</w:t>
                        </w:r>
                        <w:r>
                          <w:rPr>
                            <w:rFonts w:ascii="宋体" w:hAnsi="宋体" w:cs="宋体" w:eastAsia="宋体"/>
                            <w:sz w:val="20"/>
                          </w:rPr>
                          <w:t>4台</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音箱系统：</w:t>
                        </w:r>
                      </w:p>
                      <w:p>
                        <w:pPr>
                          <w:pStyle w:val="null3"/>
                          <w:jc w:val="both"/>
                        </w:pPr>
                        <w:r>
                          <w:rPr>
                            <w:rFonts w:ascii="宋体" w:hAnsi="宋体" w:cs="宋体" w:eastAsia="宋体"/>
                            <w:sz w:val="20"/>
                          </w:rPr>
                          <w:t>1.</w:t>
                        </w:r>
                        <w:r>
                          <w:rPr>
                            <w:rFonts w:ascii="宋体" w:hAnsi="宋体" w:cs="宋体" w:eastAsia="宋体"/>
                            <w:sz w:val="20"/>
                          </w:rPr>
                          <w:t>音箱：</w:t>
                        </w:r>
                        <w:r>
                          <w:br/>
                        </w:r>
                        <w:r>
                          <w:rPr>
                            <w:rFonts w:ascii="宋体" w:hAnsi="宋体" w:cs="宋体" w:eastAsia="宋体"/>
                            <w:sz w:val="20"/>
                          </w:rPr>
                          <w:t>喇叭单元：</w:t>
                        </w:r>
                        <w:r>
                          <w:rPr>
                            <w:rFonts w:ascii="宋体" w:hAnsi="宋体" w:cs="宋体" w:eastAsia="宋体"/>
                            <w:sz w:val="20"/>
                          </w:rPr>
                          <w:t>5"×1,1"×1</w:t>
                        </w:r>
                        <w:r>
                          <w:br/>
                        </w:r>
                        <w:r>
                          <w:rPr>
                            <w:rFonts w:ascii="宋体" w:hAnsi="宋体" w:cs="宋体" w:eastAsia="宋体"/>
                            <w:sz w:val="20"/>
                          </w:rPr>
                          <w:t>阻抗：</w:t>
                        </w:r>
                        <w:r>
                          <w:rPr>
                            <w:rFonts w:ascii="宋体" w:hAnsi="宋体" w:cs="宋体" w:eastAsia="宋体"/>
                            <w:sz w:val="20"/>
                          </w:rPr>
                          <w:t>8Ω</w:t>
                        </w:r>
                        <w:r>
                          <w:br/>
                        </w:r>
                        <w:r>
                          <w:rPr>
                            <w:rFonts w:ascii="宋体" w:hAnsi="宋体" w:cs="宋体" w:eastAsia="宋体"/>
                            <w:sz w:val="20"/>
                          </w:rPr>
                          <w:t>额定功率：</w:t>
                        </w:r>
                        <w:r>
                          <w:rPr>
                            <w:rFonts w:ascii="宋体" w:hAnsi="宋体" w:cs="宋体" w:eastAsia="宋体"/>
                            <w:sz w:val="20"/>
                          </w:rPr>
                          <w:t>30W</w:t>
                        </w:r>
                        <w:r>
                          <w:br/>
                        </w:r>
                        <w:r>
                          <w:rPr>
                            <w:rFonts w:ascii="宋体" w:hAnsi="宋体" w:cs="宋体" w:eastAsia="宋体"/>
                            <w:sz w:val="20"/>
                          </w:rPr>
                          <w:t>频响范围：</w:t>
                        </w:r>
                        <w:r>
                          <w:rPr>
                            <w:rFonts w:ascii="宋体" w:hAnsi="宋体" w:cs="宋体" w:eastAsia="宋体"/>
                            <w:sz w:val="20"/>
                          </w:rPr>
                          <w:t>80Hz-20kHz</w:t>
                        </w:r>
                        <w:r>
                          <w:br/>
                        </w:r>
                        <w:r>
                          <w:rPr>
                            <w:rFonts w:ascii="宋体" w:hAnsi="宋体" w:cs="宋体" w:eastAsia="宋体"/>
                            <w:sz w:val="20"/>
                          </w:rPr>
                          <w:t>灵敏度（</w:t>
                        </w:r>
                        <w:r>
                          <w:rPr>
                            <w:rFonts w:ascii="宋体" w:hAnsi="宋体" w:cs="宋体" w:eastAsia="宋体"/>
                            <w:sz w:val="20"/>
                          </w:rPr>
                          <w:t>1m，1W）：90±2dB</w:t>
                        </w:r>
                        <w:r>
                          <w:br/>
                        </w:r>
                        <w:r>
                          <w:rPr>
                            <w:rFonts w:ascii="宋体" w:hAnsi="宋体" w:cs="宋体" w:eastAsia="宋体"/>
                            <w:sz w:val="20"/>
                          </w:rPr>
                          <w:t>最大声压级（</w:t>
                        </w:r>
                        <w:r>
                          <w:rPr>
                            <w:rFonts w:ascii="宋体" w:hAnsi="宋体" w:cs="宋体" w:eastAsia="宋体"/>
                            <w:sz w:val="20"/>
                          </w:rPr>
                          <w:t>1m）：105±2dB</w:t>
                        </w:r>
                        <w:r>
                          <w:br/>
                        </w:r>
                        <w:r>
                          <w:rPr>
                            <w:rFonts w:ascii="宋体" w:hAnsi="宋体" w:cs="宋体" w:eastAsia="宋体"/>
                            <w:sz w:val="20"/>
                          </w:rPr>
                          <w:t>2.</w:t>
                        </w:r>
                        <w:r>
                          <w:rPr>
                            <w:rFonts w:ascii="宋体" w:hAnsi="宋体" w:cs="宋体" w:eastAsia="宋体"/>
                            <w:sz w:val="20"/>
                          </w:rPr>
                          <w:t>功放：</w:t>
                        </w:r>
                        <w:r>
                          <w:br/>
                        </w:r>
                        <w:r>
                          <w:rPr>
                            <w:rFonts w:ascii="宋体" w:hAnsi="宋体" w:cs="宋体" w:eastAsia="宋体"/>
                            <w:sz w:val="20"/>
                          </w:rPr>
                          <w:t>话筒输入灵敏度</w:t>
                        </w:r>
                        <w:r>
                          <w:rPr>
                            <w:rFonts w:ascii="宋体" w:hAnsi="宋体" w:cs="宋体" w:eastAsia="宋体"/>
                            <w:sz w:val="20"/>
                          </w:rPr>
                          <w:t>5±0.5mV</w:t>
                        </w:r>
                        <w:r>
                          <w:br/>
                        </w:r>
                        <w:r>
                          <w:rPr>
                            <w:rFonts w:ascii="宋体" w:hAnsi="宋体" w:cs="宋体" w:eastAsia="宋体"/>
                            <w:sz w:val="20"/>
                          </w:rPr>
                          <w:t>线路输入灵敏度</w:t>
                        </w:r>
                        <w:r>
                          <w:rPr>
                            <w:rFonts w:ascii="宋体" w:hAnsi="宋体" w:cs="宋体" w:eastAsia="宋体"/>
                            <w:sz w:val="20"/>
                          </w:rPr>
                          <w:t>250±50mV</w:t>
                        </w:r>
                        <w:r>
                          <w:br/>
                        </w:r>
                        <w:r>
                          <w:rPr>
                            <w:rFonts w:ascii="宋体" w:hAnsi="宋体" w:cs="宋体" w:eastAsia="宋体"/>
                            <w:sz w:val="20"/>
                          </w:rPr>
                          <w:t>MP3输入-10dB/1KHZ正弦波 输出32V</w:t>
                        </w:r>
                        <w:r>
                          <w:br/>
                        </w:r>
                        <w:r>
                          <w:rPr>
                            <w:rFonts w:ascii="宋体" w:hAnsi="宋体" w:cs="宋体" w:eastAsia="宋体"/>
                            <w:sz w:val="20"/>
                          </w:rPr>
                          <w:t>线路输出电压</w:t>
                        </w:r>
                        <w:r>
                          <w:rPr>
                            <w:rFonts w:ascii="宋体" w:hAnsi="宋体" w:cs="宋体" w:eastAsia="宋体"/>
                            <w:sz w:val="20"/>
                          </w:rPr>
                          <w:t>950±150mV</w:t>
                        </w:r>
                        <w:r>
                          <w:br/>
                        </w:r>
                        <w:r>
                          <w:rPr>
                            <w:rFonts w:ascii="宋体" w:hAnsi="宋体" w:cs="宋体" w:eastAsia="宋体"/>
                            <w:sz w:val="20"/>
                          </w:rPr>
                          <w:t>总谐波失真</w:t>
                        </w:r>
                        <w:r>
                          <w:rPr>
                            <w:rFonts w:ascii="宋体" w:hAnsi="宋体" w:cs="宋体" w:eastAsia="宋体"/>
                            <w:sz w:val="20"/>
                          </w:rPr>
                          <w:t>≤0.5（1KHz，正常工作条件）</w:t>
                        </w:r>
                        <w:r>
                          <w:br/>
                        </w:r>
                        <w:r>
                          <w:rPr>
                            <w:rFonts w:ascii="宋体" w:hAnsi="宋体" w:cs="宋体" w:eastAsia="宋体"/>
                            <w:sz w:val="20"/>
                          </w:rPr>
                          <w:t>线路频响</w:t>
                        </w:r>
                        <w:r>
                          <w:rPr>
                            <w:rFonts w:ascii="宋体" w:hAnsi="宋体" w:cs="宋体" w:eastAsia="宋体"/>
                            <w:sz w:val="20"/>
                          </w:rPr>
                          <w:t>20-20kHz（±3dB）</w:t>
                        </w:r>
                        <w:r>
                          <w:br/>
                        </w:r>
                        <w:r>
                          <w:rPr>
                            <w:rFonts w:ascii="宋体" w:hAnsi="宋体" w:cs="宋体" w:eastAsia="宋体"/>
                            <w:sz w:val="20"/>
                          </w:rPr>
                          <w:t>话筒频响</w:t>
                        </w:r>
                        <w:r>
                          <w:rPr>
                            <w:rFonts w:ascii="宋体" w:hAnsi="宋体" w:cs="宋体" w:eastAsia="宋体"/>
                            <w:sz w:val="20"/>
                          </w:rPr>
                          <w:t>80-20kHz（±3dB）</w:t>
                        </w:r>
                        <w:r>
                          <w:br/>
                        </w:r>
                        <w:r>
                          <w:rPr>
                            <w:rFonts w:ascii="宋体" w:hAnsi="宋体" w:cs="宋体" w:eastAsia="宋体"/>
                            <w:sz w:val="20"/>
                          </w:rPr>
                          <w:t>话筒</w:t>
                        </w:r>
                        <w:r>
                          <w:rPr>
                            <w:rFonts w:ascii="宋体" w:hAnsi="宋体" w:cs="宋体" w:eastAsia="宋体"/>
                            <w:sz w:val="20"/>
                          </w:rPr>
                          <w:t>7段均衡：64HZ：±12dB/160HZ：±12dB/400HZ：±12dB/1KHZ：±12dB/2.5KHZ：±12dB/6.4KHZ：±12dB/15KHZ：±12dB</w:t>
                        </w:r>
                        <w:r>
                          <w:br/>
                        </w:r>
                        <w:r>
                          <w:rPr>
                            <w:rFonts w:ascii="宋体" w:hAnsi="宋体" w:cs="宋体" w:eastAsia="宋体"/>
                            <w:sz w:val="20"/>
                          </w:rPr>
                          <w:t>线路输入及</w:t>
                        </w:r>
                        <w:r>
                          <w:rPr>
                            <w:rFonts w:ascii="宋体" w:hAnsi="宋体" w:cs="宋体" w:eastAsia="宋体"/>
                            <w:sz w:val="20"/>
                          </w:rPr>
                          <w:t>MP3音调调节范围：低音100Hz：±12dB/高音10KHz：±12dB</w:t>
                        </w:r>
                        <w:r>
                          <w:br/>
                        </w:r>
                        <w:r>
                          <w:rPr>
                            <w:rFonts w:ascii="宋体" w:hAnsi="宋体" w:cs="宋体" w:eastAsia="宋体"/>
                            <w:sz w:val="20"/>
                          </w:rPr>
                          <w:t>信噪比（</w:t>
                        </w:r>
                        <w:r>
                          <w:rPr>
                            <w:rFonts w:ascii="宋体" w:hAnsi="宋体" w:cs="宋体" w:eastAsia="宋体"/>
                            <w:sz w:val="20"/>
                          </w:rPr>
                          <w:t>8Ω输出端）≥75dB</w:t>
                        </w:r>
                        <w:r>
                          <w:br/>
                        </w:r>
                        <w:r>
                          <w:rPr>
                            <w:rFonts w:ascii="宋体" w:hAnsi="宋体" w:cs="宋体" w:eastAsia="宋体"/>
                            <w:sz w:val="20"/>
                          </w:rPr>
                          <w:t>工作电源</w:t>
                        </w:r>
                        <w:r>
                          <w:rPr>
                            <w:rFonts w:ascii="宋体" w:hAnsi="宋体" w:cs="宋体" w:eastAsia="宋体"/>
                            <w:sz w:val="20"/>
                          </w:rPr>
                          <w:t>AC220V/50Hz</w:t>
                        </w:r>
                        <w:r>
                          <w:br/>
                        </w:r>
                        <w:r>
                          <w:rPr>
                            <w:rFonts w:ascii="宋体" w:hAnsi="宋体" w:cs="宋体" w:eastAsia="宋体"/>
                            <w:sz w:val="20"/>
                          </w:rPr>
                          <w:t>幻象电压</w:t>
                        </w:r>
                        <w:r>
                          <w:rPr>
                            <w:rFonts w:ascii="宋体" w:hAnsi="宋体" w:cs="宋体" w:eastAsia="宋体"/>
                            <w:sz w:val="20"/>
                          </w:rPr>
                          <w:t>+48V</w:t>
                        </w:r>
                        <w:r>
                          <w:br/>
                        </w:r>
                        <w:r>
                          <w:rPr>
                            <w:rFonts w:ascii="宋体" w:hAnsi="宋体" w:cs="宋体" w:eastAsia="宋体"/>
                            <w:sz w:val="20"/>
                          </w:rPr>
                          <w:t>额定功耗</w:t>
                        </w:r>
                        <w:r>
                          <w:rPr>
                            <w:rFonts w:ascii="宋体" w:hAnsi="宋体" w:cs="宋体" w:eastAsia="宋体"/>
                            <w:sz w:val="20"/>
                          </w:rPr>
                          <w:t>8Ω120W</w:t>
                        </w:r>
                        <w:r>
                          <w:br/>
                        </w:r>
                        <w:r>
                          <w:rPr>
                            <w:rFonts w:ascii="宋体" w:hAnsi="宋体" w:cs="宋体" w:eastAsia="宋体"/>
                            <w:sz w:val="20"/>
                          </w:rPr>
                          <w:t>保护功能</w:t>
                        </w:r>
                        <w:r>
                          <w:rPr>
                            <w:rFonts w:ascii="宋体" w:hAnsi="宋体" w:cs="宋体" w:eastAsia="宋体"/>
                            <w:sz w:val="20"/>
                          </w:rPr>
                          <w:t>过载，过温，短路</w:t>
                        </w:r>
                        <w:r>
                          <w:br/>
                        </w:r>
                        <w:r>
                          <w:rPr>
                            <w:rFonts w:ascii="宋体" w:hAnsi="宋体" w:cs="宋体" w:eastAsia="宋体"/>
                            <w:sz w:val="20"/>
                          </w:rPr>
                          <w:t>3.</w:t>
                        </w:r>
                        <w:r>
                          <w:rPr>
                            <w:rFonts w:ascii="宋体" w:hAnsi="宋体" w:cs="宋体" w:eastAsia="宋体"/>
                            <w:sz w:val="20"/>
                          </w:rPr>
                          <w:t>无线话筒：</w:t>
                        </w:r>
                        <w:r>
                          <w:br/>
                        </w:r>
                        <w:r>
                          <w:rPr>
                            <w:rFonts w:ascii="宋体" w:hAnsi="宋体" w:cs="宋体" w:eastAsia="宋体"/>
                            <w:sz w:val="20"/>
                          </w:rPr>
                          <w:t>（</w:t>
                        </w:r>
                        <w:r>
                          <w:rPr>
                            <w:rFonts w:ascii="宋体" w:hAnsi="宋体" w:cs="宋体" w:eastAsia="宋体"/>
                            <w:sz w:val="20"/>
                          </w:rPr>
                          <w:t>1</w:t>
                        </w:r>
                        <w:r>
                          <w:rPr>
                            <w:rFonts w:ascii="宋体" w:hAnsi="宋体" w:cs="宋体" w:eastAsia="宋体"/>
                            <w:sz w:val="20"/>
                          </w:rPr>
                          <w:t>）</w:t>
                        </w:r>
                        <w:r>
                          <w:rPr>
                            <w:rFonts w:ascii="宋体" w:hAnsi="宋体" w:cs="宋体" w:eastAsia="宋体"/>
                            <w:sz w:val="20"/>
                          </w:rPr>
                          <w:t>波段范围（</w:t>
                        </w:r>
                        <w:r>
                          <w:rPr>
                            <w:rFonts w:ascii="宋体" w:hAnsi="宋体" w:cs="宋体" w:eastAsia="宋体"/>
                            <w:sz w:val="20"/>
                          </w:rPr>
                          <w:t>UHF）：632MHz～695MHz；</w:t>
                        </w:r>
                        <w:r>
                          <w:br/>
                        </w:r>
                        <w:r>
                          <w:rPr>
                            <w:rFonts w:ascii="宋体" w:hAnsi="宋体" w:cs="宋体" w:eastAsia="宋体"/>
                            <w:sz w:val="20"/>
                          </w:rPr>
                          <w:t>（</w:t>
                        </w:r>
                        <w:r>
                          <w:rPr>
                            <w:rFonts w:ascii="宋体" w:hAnsi="宋体" w:cs="宋体" w:eastAsia="宋体"/>
                            <w:sz w:val="20"/>
                          </w:rPr>
                          <w:t>2</w:t>
                        </w:r>
                        <w:r>
                          <w:rPr>
                            <w:rFonts w:ascii="宋体" w:hAnsi="宋体" w:cs="宋体" w:eastAsia="宋体"/>
                            <w:sz w:val="20"/>
                          </w:rPr>
                          <w:t>）</w:t>
                        </w:r>
                        <w:r>
                          <w:rPr>
                            <w:rFonts w:ascii="宋体" w:hAnsi="宋体" w:cs="宋体" w:eastAsia="宋体"/>
                            <w:sz w:val="20"/>
                          </w:rPr>
                          <w:t>PLL双频道锁相环回路设计；</w:t>
                        </w:r>
                        <w:r>
                          <w:br/>
                        </w:r>
                        <w:r>
                          <w:rPr>
                            <w:rFonts w:ascii="宋体" w:hAnsi="宋体" w:cs="宋体" w:eastAsia="宋体"/>
                            <w:sz w:val="20"/>
                          </w:rPr>
                          <w:t>（</w:t>
                        </w:r>
                        <w:r>
                          <w:rPr>
                            <w:rFonts w:ascii="宋体" w:hAnsi="宋体" w:cs="宋体" w:eastAsia="宋体"/>
                            <w:sz w:val="20"/>
                          </w:rPr>
                          <w:t>3</w:t>
                        </w:r>
                        <w:r>
                          <w:rPr>
                            <w:rFonts w:ascii="宋体" w:hAnsi="宋体" w:cs="宋体" w:eastAsia="宋体"/>
                            <w:sz w:val="20"/>
                          </w:rPr>
                          <w:t>）</w:t>
                        </w:r>
                        <w:r>
                          <w:rPr>
                            <w:rFonts w:ascii="宋体" w:hAnsi="宋体" w:cs="宋体" w:eastAsia="宋体"/>
                            <w:sz w:val="20"/>
                          </w:rPr>
                          <w:t>UHF200频道PLL数字锁定自动通讯功能；</w:t>
                        </w:r>
                        <w:r>
                          <w:br/>
                        </w:r>
                        <w:r>
                          <w:rPr>
                            <w:rFonts w:ascii="宋体" w:hAnsi="宋体" w:cs="宋体" w:eastAsia="宋体"/>
                            <w:sz w:val="20"/>
                          </w:rPr>
                          <w:t>（</w:t>
                        </w:r>
                        <w:r>
                          <w:rPr>
                            <w:rFonts w:ascii="宋体" w:hAnsi="宋体" w:cs="宋体" w:eastAsia="宋体"/>
                            <w:sz w:val="20"/>
                          </w:rPr>
                          <w:t>4</w:t>
                        </w:r>
                        <w:r>
                          <w:rPr>
                            <w:rFonts w:ascii="宋体" w:hAnsi="宋体" w:cs="宋体" w:eastAsia="宋体"/>
                            <w:sz w:val="20"/>
                          </w:rPr>
                          <w:t>）</w:t>
                        </w:r>
                        <w:r>
                          <w:rPr>
                            <w:rFonts w:ascii="宋体" w:hAnsi="宋体" w:cs="宋体" w:eastAsia="宋体"/>
                            <w:sz w:val="20"/>
                          </w:rPr>
                          <w:t>显示屏显示功能</w:t>
                        </w:r>
                        <w:r>
                          <w:rPr>
                            <w:rFonts w:ascii="宋体" w:hAnsi="宋体" w:cs="宋体" w:eastAsia="宋体"/>
                            <w:sz w:val="20"/>
                          </w:rPr>
                          <w:t>(显示频率、频道、静噪、电平等)；</w:t>
                        </w:r>
                        <w:r>
                          <w:br/>
                        </w:r>
                        <w:r>
                          <w:rPr>
                            <w:rFonts w:ascii="宋体" w:hAnsi="宋体" w:cs="宋体" w:eastAsia="宋体"/>
                            <w:sz w:val="20"/>
                          </w:rPr>
                          <w:t>（</w:t>
                        </w:r>
                        <w:r>
                          <w:rPr>
                            <w:rFonts w:ascii="宋体" w:hAnsi="宋体" w:cs="宋体" w:eastAsia="宋体"/>
                            <w:sz w:val="20"/>
                          </w:rPr>
                          <w:t>5</w:t>
                        </w:r>
                        <w:r>
                          <w:rPr>
                            <w:rFonts w:ascii="宋体" w:hAnsi="宋体" w:cs="宋体" w:eastAsia="宋体"/>
                            <w:sz w:val="20"/>
                          </w:rPr>
                          <w:t>）</w:t>
                        </w:r>
                        <w:r>
                          <w:rPr>
                            <w:rFonts w:ascii="宋体" w:hAnsi="宋体" w:cs="宋体" w:eastAsia="宋体"/>
                            <w:sz w:val="20"/>
                          </w:rPr>
                          <w:t>每通道有音量调节功能；</w:t>
                        </w:r>
                        <w:r>
                          <w:br/>
                        </w:r>
                        <w:r>
                          <w:rPr>
                            <w:rFonts w:ascii="宋体" w:hAnsi="宋体" w:cs="宋体" w:eastAsia="宋体"/>
                            <w:sz w:val="20"/>
                          </w:rPr>
                          <w:t>（</w:t>
                        </w:r>
                        <w:r>
                          <w:rPr>
                            <w:rFonts w:ascii="宋体" w:hAnsi="宋体" w:cs="宋体" w:eastAsia="宋体"/>
                            <w:sz w:val="20"/>
                          </w:rPr>
                          <w:t>6</w:t>
                        </w:r>
                        <w:r>
                          <w:rPr>
                            <w:rFonts w:ascii="宋体" w:hAnsi="宋体" w:cs="宋体" w:eastAsia="宋体"/>
                            <w:sz w:val="20"/>
                          </w:rPr>
                          <w:t>）</w:t>
                        </w:r>
                        <w:r>
                          <w:rPr>
                            <w:rFonts w:ascii="宋体" w:hAnsi="宋体" w:cs="宋体" w:eastAsia="宋体"/>
                            <w:sz w:val="20"/>
                          </w:rPr>
                          <w:t>AF输出（采用“XLR”型插座分别输出，混合输出）；</w:t>
                        </w:r>
                        <w:r>
                          <w:br/>
                        </w:r>
                        <w:r>
                          <w:rPr>
                            <w:rFonts w:ascii="宋体" w:hAnsi="宋体" w:cs="宋体" w:eastAsia="宋体"/>
                            <w:sz w:val="20"/>
                          </w:rPr>
                          <w:t>（</w:t>
                        </w:r>
                        <w:r>
                          <w:rPr>
                            <w:rFonts w:ascii="宋体" w:hAnsi="宋体" w:cs="宋体" w:eastAsia="宋体"/>
                            <w:sz w:val="20"/>
                          </w:rPr>
                          <w:t>7</w:t>
                        </w:r>
                        <w:r>
                          <w:rPr>
                            <w:rFonts w:ascii="宋体" w:hAnsi="宋体" w:cs="宋体" w:eastAsia="宋体"/>
                            <w:sz w:val="20"/>
                          </w:rPr>
                          <w:t>）</w:t>
                        </w:r>
                        <w:r>
                          <w:rPr>
                            <w:rFonts w:ascii="宋体" w:hAnsi="宋体" w:cs="宋体" w:eastAsia="宋体"/>
                            <w:sz w:val="20"/>
                          </w:rPr>
                          <w:t>发射功率调节，高功率</w:t>
                        </w:r>
                        <w:r>
                          <w:rPr>
                            <w:rFonts w:ascii="宋体" w:hAnsi="宋体" w:cs="宋体" w:eastAsia="宋体"/>
                            <w:sz w:val="20"/>
                          </w:rPr>
                          <w:t>14dBm; 低功率6dBm；</w:t>
                        </w:r>
                        <w:r>
                          <w:br/>
                        </w:r>
                        <w:r>
                          <w:rPr>
                            <w:rFonts w:ascii="宋体" w:hAnsi="宋体" w:cs="宋体" w:eastAsia="宋体"/>
                            <w:sz w:val="20"/>
                          </w:rPr>
                          <w:t>（</w:t>
                        </w:r>
                        <w:r>
                          <w:rPr>
                            <w:rFonts w:ascii="宋体" w:hAnsi="宋体" w:cs="宋体" w:eastAsia="宋体"/>
                            <w:sz w:val="20"/>
                          </w:rPr>
                          <w:t>8</w:t>
                        </w:r>
                        <w:r>
                          <w:rPr>
                            <w:rFonts w:ascii="宋体" w:hAnsi="宋体" w:cs="宋体" w:eastAsia="宋体"/>
                            <w:sz w:val="20"/>
                          </w:rPr>
                          <w:t>）</w:t>
                        </w:r>
                        <w:r>
                          <w:rPr>
                            <w:rFonts w:ascii="宋体" w:hAnsi="宋体" w:cs="宋体" w:eastAsia="宋体"/>
                            <w:sz w:val="20"/>
                          </w:rPr>
                          <w:t>发射机采用</w:t>
                        </w:r>
                        <w:r>
                          <w:rPr>
                            <w:rFonts w:ascii="宋体" w:hAnsi="宋体" w:cs="宋体" w:eastAsia="宋体"/>
                            <w:sz w:val="20"/>
                          </w:rPr>
                          <w:t>2节5号1.5V碱性电池；</w:t>
                        </w:r>
                        <w:r>
                          <w:br/>
                        </w:r>
                        <w:r>
                          <w:rPr>
                            <w:rFonts w:ascii="宋体" w:hAnsi="宋体" w:cs="宋体" w:eastAsia="宋体"/>
                            <w:sz w:val="20"/>
                          </w:rPr>
                          <w:t>（</w:t>
                        </w:r>
                        <w:r>
                          <w:rPr>
                            <w:rFonts w:ascii="宋体" w:hAnsi="宋体" w:cs="宋体" w:eastAsia="宋体"/>
                            <w:sz w:val="20"/>
                          </w:rPr>
                          <w:t>9</w:t>
                        </w:r>
                        <w:r>
                          <w:rPr>
                            <w:rFonts w:ascii="宋体" w:hAnsi="宋体" w:cs="宋体" w:eastAsia="宋体"/>
                            <w:sz w:val="20"/>
                          </w:rPr>
                          <w:t>）</w:t>
                        </w:r>
                        <w:r>
                          <w:rPr>
                            <w:rFonts w:ascii="宋体" w:hAnsi="宋体" w:cs="宋体" w:eastAsia="宋体"/>
                            <w:sz w:val="20"/>
                          </w:rPr>
                          <w:t>动态范围：</w:t>
                        </w:r>
                        <w:r>
                          <w:rPr>
                            <w:rFonts w:ascii="宋体" w:hAnsi="宋体" w:cs="宋体" w:eastAsia="宋体"/>
                            <w:sz w:val="20"/>
                          </w:rPr>
                          <w:t>88dB;</w:t>
                        </w:r>
                        <w:r>
                          <w:br/>
                        </w:r>
                        <w:r>
                          <w:rPr>
                            <w:rFonts w:ascii="宋体" w:hAnsi="宋体" w:cs="宋体" w:eastAsia="宋体"/>
                            <w:sz w:val="20"/>
                          </w:rPr>
                          <w:t>（</w:t>
                        </w:r>
                        <w:r>
                          <w:rPr>
                            <w:rFonts w:ascii="宋体" w:hAnsi="宋体" w:cs="宋体" w:eastAsia="宋体"/>
                            <w:sz w:val="20"/>
                          </w:rPr>
                          <w:t>10</w:t>
                        </w:r>
                        <w:r>
                          <w:rPr>
                            <w:rFonts w:ascii="宋体" w:hAnsi="宋体" w:cs="宋体" w:eastAsia="宋体"/>
                            <w:sz w:val="20"/>
                          </w:rPr>
                          <w:t>）</w:t>
                        </w:r>
                        <w:r>
                          <w:rPr>
                            <w:rFonts w:ascii="宋体" w:hAnsi="宋体" w:cs="宋体" w:eastAsia="宋体"/>
                            <w:sz w:val="20"/>
                          </w:rPr>
                          <w:t>最大频偏：</w:t>
                        </w:r>
                        <w:r>
                          <w:rPr>
                            <w:rFonts w:ascii="宋体" w:hAnsi="宋体" w:cs="宋体" w:eastAsia="宋体"/>
                            <w:sz w:val="20"/>
                          </w:rPr>
                          <w:t>±45KHz；</w:t>
                        </w:r>
                        <w:r>
                          <w:br/>
                        </w:r>
                        <w:r>
                          <w:rPr>
                            <w:rFonts w:ascii="宋体" w:hAnsi="宋体" w:cs="宋体" w:eastAsia="宋体"/>
                            <w:sz w:val="20"/>
                          </w:rPr>
                          <w:t>（</w:t>
                        </w:r>
                        <w:r>
                          <w:rPr>
                            <w:rFonts w:ascii="宋体" w:hAnsi="宋体" w:cs="宋体" w:eastAsia="宋体"/>
                            <w:sz w:val="20"/>
                          </w:rPr>
                          <w:t>11</w:t>
                        </w:r>
                        <w:r>
                          <w:rPr>
                            <w:rFonts w:ascii="宋体" w:hAnsi="宋体" w:cs="宋体" w:eastAsia="宋体"/>
                            <w:sz w:val="20"/>
                          </w:rPr>
                          <w:t>）</w:t>
                        </w:r>
                        <w:r>
                          <w:rPr>
                            <w:rFonts w:ascii="宋体" w:hAnsi="宋体" w:cs="宋体" w:eastAsia="宋体"/>
                            <w:sz w:val="20"/>
                          </w:rPr>
                          <w:t>频率响应：</w:t>
                        </w:r>
                        <w:r>
                          <w:rPr>
                            <w:rFonts w:ascii="宋体" w:hAnsi="宋体" w:cs="宋体" w:eastAsia="宋体"/>
                            <w:sz w:val="20"/>
                          </w:rPr>
                          <w:t>120Hz-16KHz(±3dB)；</w:t>
                        </w:r>
                        <w:r>
                          <w:br/>
                        </w:r>
                        <w:r>
                          <w:rPr>
                            <w:rFonts w:ascii="宋体" w:hAnsi="宋体" w:cs="宋体" w:eastAsia="宋体"/>
                            <w:sz w:val="20"/>
                          </w:rPr>
                          <w:t>（</w:t>
                        </w:r>
                        <w:r>
                          <w:rPr>
                            <w:rFonts w:ascii="宋体" w:hAnsi="宋体" w:cs="宋体" w:eastAsia="宋体"/>
                            <w:sz w:val="20"/>
                          </w:rPr>
                          <w:t>12</w:t>
                        </w:r>
                        <w:r>
                          <w:rPr>
                            <w:rFonts w:ascii="宋体" w:hAnsi="宋体" w:cs="宋体" w:eastAsia="宋体"/>
                            <w:sz w:val="20"/>
                          </w:rPr>
                          <w:t>）</w:t>
                        </w:r>
                        <w:r>
                          <w:rPr>
                            <w:rFonts w:ascii="宋体" w:hAnsi="宋体" w:cs="宋体" w:eastAsia="宋体"/>
                            <w:sz w:val="20"/>
                          </w:rPr>
                          <w:t>综合信噪比：</w:t>
                        </w:r>
                        <w:r>
                          <w:rPr>
                            <w:rFonts w:ascii="宋体" w:hAnsi="宋体" w:cs="宋体" w:eastAsia="宋体"/>
                            <w:sz w:val="20"/>
                          </w:rPr>
                          <w:t>&gt;73dB；</w:t>
                        </w:r>
                        <w:r>
                          <w:br/>
                        </w:r>
                        <w:r>
                          <w:rPr>
                            <w:rFonts w:ascii="宋体" w:hAnsi="宋体" w:cs="宋体" w:eastAsia="宋体"/>
                            <w:sz w:val="20"/>
                          </w:rPr>
                          <w:t>（</w:t>
                        </w:r>
                        <w:r>
                          <w:rPr>
                            <w:rFonts w:ascii="宋体" w:hAnsi="宋体" w:cs="宋体" w:eastAsia="宋体"/>
                            <w:sz w:val="20"/>
                          </w:rPr>
                          <w:t>13</w:t>
                        </w:r>
                        <w:r>
                          <w:rPr>
                            <w:rFonts w:ascii="宋体" w:hAnsi="宋体" w:cs="宋体" w:eastAsia="宋体"/>
                            <w:sz w:val="20"/>
                          </w:rPr>
                          <w:t>）</w:t>
                        </w:r>
                        <w:r>
                          <w:rPr>
                            <w:rFonts w:ascii="宋体" w:hAnsi="宋体" w:cs="宋体" w:eastAsia="宋体"/>
                            <w:sz w:val="20"/>
                          </w:rPr>
                          <w:t>综合失真度：</w:t>
                        </w:r>
                        <w:r>
                          <w:rPr>
                            <w:rFonts w:ascii="宋体" w:hAnsi="宋体" w:cs="宋体" w:eastAsia="宋体"/>
                            <w:sz w:val="20"/>
                          </w:rPr>
                          <w:t>≤1%；</w:t>
                        </w:r>
                        <w:r>
                          <w:br/>
                        </w:r>
                        <w:r>
                          <w:rPr>
                            <w:rFonts w:ascii="宋体" w:hAnsi="宋体" w:cs="宋体" w:eastAsia="宋体"/>
                            <w:sz w:val="20"/>
                          </w:rPr>
                          <w:t>（</w:t>
                        </w:r>
                        <w:r>
                          <w:rPr>
                            <w:rFonts w:ascii="宋体" w:hAnsi="宋体" w:cs="宋体" w:eastAsia="宋体"/>
                            <w:sz w:val="20"/>
                          </w:rPr>
                          <w:t>14</w:t>
                        </w:r>
                        <w:r>
                          <w:rPr>
                            <w:rFonts w:ascii="宋体" w:hAnsi="宋体" w:cs="宋体" w:eastAsia="宋体"/>
                            <w:sz w:val="20"/>
                          </w:rPr>
                          <w:t>）</w:t>
                        </w:r>
                        <w:r>
                          <w:rPr>
                            <w:rFonts w:ascii="宋体" w:hAnsi="宋体" w:cs="宋体" w:eastAsia="宋体"/>
                            <w:sz w:val="20"/>
                          </w:rPr>
                          <w:t>发射机工作时间</w:t>
                        </w:r>
                        <w:r>
                          <w:rPr>
                            <w:rFonts w:ascii="宋体" w:hAnsi="宋体" w:cs="宋体" w:eastAsia="宋体"/>
                            <w:sz w:val="20"/>
                          </w:rPr>
                          <w:t>8小时以上；</w:t>
                        </w:r>
                        <w:r>
                          <w:br/>
                        </w:r>
                        <w:r>
                          <w:rPr>
                            <w:rFonts w:ascii="宋体" w:hAnsi="宋体" w:cs="宋体" w:eastAsia="宋体"/>
                            <w:sz w:val="20"/>
                          </w:rPr>
                          <w:t>（</w:t>
                        </w:r>
                        <w:r>
                          <w:rPr>
                            <w:rFonts w:ascii="宋体" w:hAnsi="宋体" w:cs="宋体" w:eastAsia="宋体"/>
                            <w:sz w:val="20"/>
                          </w:rPr>
                          <w:t>15</w:t>
                        </w:r>
                        <w:r>
                          <w:rPr>
                            <w:rFonts w:ascii="宋体" w:hAnsi="宋体" w:cs="宋体" w:eastAsia="宋体"/>
                            <w:sz w:val="20"/>
                          </w:rPr>
                          <w:t>）</w:t>
                        </w:r>
                        <w:r>
                          <w:rPr>
                            <w:rFonts w:ascii="宋体" w:hAnsi="宋体" w:cs="宋体" w:eastAsia="宋体"/>
                            <w:sz w:val="20"/>
                          </w:rPr>
                          <w:t>含</w:t>
                        </w:r>
                        <w:r>
                          <w:rPr>
                            <w:rFonts w:ascii="宋体" w:hAnsi="宋体" w:cs="宋体" w:eastAsia="宋体"/>
                            <w:sz w:val="20"/>
                          </w:rPr>
                          <w:t>1台一拖二接收机及2只手持式话筒.</w:t>
                        </w:r>
                      </w:p>
                    </w:tc>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3套</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尺寸：</w:t>
                        </w:r>
                        <w:r>
                          <w:rPr>
                            <w:rFonts w:ascii="宋体" w:hAnsi="宋体" w:cs="宋体" w:eastAsia="宋体"/>
                            <w:sz w:val="20"/>
                          </w:rPr>
                          <w:t>3000mm-5000mm*1000mm-2000mm*750mm（长宽高）</w:t>
                        </w:r>
                      </w:p>
                      <w:p>
                        <w:pPr>
                          <w:pStyle w:val="null3"/>
                          <w:jc w:val="left"/>
                        </w:pPr>
                        <w:r>
                          <w:rPr>
                            <w:rFonts w:ascii="宋体" w:hAnsi="宋体" w:cs="宋体" w:eastAsia="宋体"/>
                            <w:sz w:val="20"/>
                          </w:rPr>
                          <w:t>材质：</w:t>
                        </w:r>
                        <w:r>
                          <w:rPr>
                            <w:rFonts w:ascii="宋体" w:hAnsi="宋体" w:cs="宋体" w:eastAsia="宋体"/>
                            <w:sz w:val="20"/>
                          </w:rPr>
                          <w:t>E1级环保板材，实木颗粒板板材，桌面树脂保护膜，耐高温，防剐蹭，专业热熔封边，优质碳钢烤漆钢架，防滑脚垫</w:t>
                        </w:r>
                      </w:p>
                      <w:p>
                        <w:pPr>
                          <w:pStyle w:val="null3"/>
                          <w:jc w:val="left"/>
                        </w:pPr>
                        <w:r>
                          <w:rPr>
                            <w:rFonts w:ascii="宋体" w:hAnsi="宋体" w:cs="宋体" w:eastAsia="宋体"/>
                            <w:sz w:val="20"/>
                          </w:rPr>
                          <w:t>功能：桌内隐藏式走线系统，收纳线盒，一体式插座</w:t>
                        </w:r>
                      </w:p>
                      <w:p>
                        <w:pPr>
                          <w:pStyle w:val="null3"/>
                          <w:jc w:val="left"/>
                        </w:pPr>
                        <w:r>
                          <w:rPr>
                            <w:rFonts w:ascii="宋体" w:hAnsi="宋体" w:cs="宋体" w:eastAsia="宋体"/>
                            <w:sz w:val="20"/>
                          </w:rPr>
                          <w:t>风格：简约款</w:t>
                        </w:r>
                      </w:p>
                    </w:tc>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1套</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尺寸：座高</w:t>
                        </w:r>
                        <w:r>
                          <w:rPr>
                            <w:rFonts w:ascii="宋体" w:hAnsi="宋体" w:cs="宋体" w:eastAsia="宋体"/>
                            <w:sz w:val="20"/>
                          </w:rPr>
                          <w:t xml:space="preserve"> 450-500mm，座宽 450-500mm，座深 400-450mm，背高 600-700mm。</w:t>
                        </w:r>
                      </w:p>
                      <w:p>
                        <w:pPr>
                          <w:pStyle w:val="null3"/>
                          <w:jc w:val="left"/>
                        </w:pPr>
                        <w:r>
                          <w:rPr>
                            <w:rFonts w:ascii="宋体" w:hAnsi="宋体" w:cs="宋体" w:eastAsia="宋体"/>
                            <w:sz w:val="20"/>
                          </w:rPr>
                          <w:t>材质：椅架采用优质金属材质，表面经防锈处理，直径不小于</w:t>
                        </w:r>
                        <w:r>
                          <w:rPr>
                            <w:rFonts w:ascii="宋体" w:hAnsi="宋体" w:cs="宋体" w:eastAsia="宋体"/>
                            <w:sz w:val="20"/>
                          </w:rPr>
                          <w:t xml:space="preserve"> 25mm，管壁厚度不低于 1.2mm；椅面和椅背采用透气耐磨环保皮革，内部填充高密度海绵，密度不低于 45kg/m³，回弹性良好。</w:t>
                        </w:r>
                      </w:p>
                      <w:p>
                        <w:pPr>
                          <w:pStyle w:val="null3"/>
                          <w:jc w:val="left"/>
                        </w:pPr>
                        <w:r>
                          <w:rPr>
                            <w:rFonts w:ascii="宋体" w:hAnsi="宋体" w:cs="宋体" w:eastAsia="宋体"/>
                            <w:sz w:val="20"/>
                          </w:rPr>
                          <w:t>调节功能：座椅高度可调节，调节范围不小于</w:t>
                        </w:r>
                        <w:r>
                          <w:rPr>
                            <w:rFonts w:ascii="宋体" w:hAnsi="宋体" w:cs="宋体" w:eastAsia="宋体"/>
                            <w:sz w:val="20"/>
                          </w:rPr>
                          <w:t xml:space="preserve"> 50mm，通过气压杆实现平稳调节，气压杆需有安全认证。</w:t>
                        </w:r>
                      </w:p>
                      <w:p>
                        <w:pPr>
                          <w:pStyle w:val="null3"/>
                          <w:jc w:val="left"/>
                        </w:pPr>
                        <w:r>
                          <w:rPr>
                            <w:rFonts w:ascii="宋体" w:hAnsi="宋体" w:cs="宋体" w:eastAsia="宋体"/>
                            <w:sz w:val="20"/>
                          </w:rPr>
                          <w:t>稳定性：椅子放置在水平地面上，四条腿均匀受力，无晃动现象，单个椅脚与地面接触面积不小于</w:t>
                        </w:r>
                        <w:r>
                          <w:rPr>
                            <w:rFonts w:ascii="宋体" w:hAnsi="宋体" w:cs="宋体" w:eastAsia="宋体"/>
                            <w:sz w:val="20"/>
                          </w:rPr>
                          <w:t xml:space="preserve"> 50cm²，能承受不低于 135kg 的静载荷。</w:t>
                        </w:r>
                      </w:p>
                      <w:p>
                        <w:pPr>
                          <w:pStyle w:val="null3"/>
                          <w:jc w:val="left"/>
                        </w:pPr>
                        <w:r>
                          <w:rPr>
                            <w:rFonts w:ascii="宋体" w:hAnsi="宋体" w:cs="宋体" w:eastAsia="宋体"/>
                            <w:sz w:val="20"/>
                          </w:rPr>
                          <w:t>脚轮：配备万向脚轮，直径不小于</w:t>
                        </w:r>
                        <w:r>
                          <w:rPr>
                            <w:rFonts w:ascii="宋体" w:hAnsi="宋体" w:cs="宋体" w:eastAsia="宋体"/>
                            <w:sz w:val="20"/>
                          </w:rPr>
                          <w:t xml:space="preserve"> 50mm，采用静音耐磨材质，便于移动且移动时噪音不高于 50 分贝，具有制动功能，制动后椅子不会随意滑动。</w:t>
                        </w:r>
                      </w:p>
                    </w:tc>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12把</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CPU： Intel Core i7-12700 12C 2.1 ；</w:t>
                        </w:r>
                      </w:p>
                      <w:p>
                        <w:pPr>
                          <w:pStyle w:val="null3"/>
                          <w:jc w:val="left"/>
                        </w:pPr>
                        <w:r>
                          <w:rPr>
                            <w:rFonts w:ascii="宋体" w:hAnsi="宋体" w:cs="宋体" w:eastAsia="宋体"/>
                            <w:sz w:val="20"/>
                          </w:rPr>
                          <w:t>主板：</w:t>
                        </w:r>
                        <w:r>
                          <w:rPr>
                            <w:rFonts w:ascii="宋体" w:hAnsi="宋体" w:cs="宋体" w:eastAsia="宋体"/>
                            <w:sz w:val="20"/>
                          </w:rPr>
                          <w:t>Intel 600系列及以上芯片组</w:t>
                        </w:r>
                      </w:p>
                      <w:p>
                        <w:pPr>
                          <w:pStyle w:val="null3"/>
                          <w:jc w:val="left"/>
                        </w:pPr>
                        <w:r>
                          <w:rPr>
                            <w:rFonts w:ascii="宋体" w:hAnsi="宋体" w:cs="宋体" w:eastAsia="宋体"/>
                            <w:sz w:val="20"/>
                          </w:rPr>
                          <w:t>内存：</w:t>
                        </w:r>
                        <w:r>
                          <w:rPr>
                            <w:rFonts w:ascii="宋体" w:hAnsi="宋体" w:cs="宋体" w:eastAsia="宋体"/>
                            <w:sz w:val="20"/>
                          </w:rPr>
                          <w:t>16GB DDR4 3200MHz ；</w:t>
                        </w:r>
                      </w:p>
                      <w:p>
                        <w:pPr>
                          <w:pStyle w:val="null3"/>
                          <w:jc w:val="left"/>
                        </w:pPr>
                        <w:r>
                          <w:rPr>
                            <w:rFonts w:ascii="宋体" w:hAnsi="宋体" w:cs="宋体" w:eastAsia="宋体"/>
                            <w:sz w:val="20"/>
                          </w:rPr>
                          <w:t>硬盘</w:t>
                        </w:r>
                        <w:r>
                          <w:rPr>
                            <w:rFonts w:ascii="宋体" w:hAnsi="宋体" w:cs="宋体" w:eastAsia="宋体"/>
                            <w:sz w:val="20"/>
                          </w:rPr>
                          <w:t>:256GB M.2+1T SATA；</w:t>
                        </w:r>
                      </w:p>
                      <w:p>
                        <w:pPr>
                          <w:pStyle w:val="null3"/>
                          <w:jc w:val="left"/>
                        </w:pPr>
                        <w:r>
                          <w:rPr>
                            <w:rFonts w:ascii="宋体" w:hAnsi="宋体" w:cs="宋体" w:eastAsia="宋体"/>
                            <w:sz w:val="20"/>
                          </w:rPr>
                          <w:t>显卡：集成；</w:t>
                        </w:r>
                      </w:p>
                      <w:p>
                        <w:pPr>
                          <w:pStyle w:val="null3"/>
                          <w:jc w:val="left"/>
                        </w:pPr>
                        <w:r>
                          <w:rPr>
                            <w:rFonts w:ascii="宋体" w:hAnsi="宋体" w:cs="宋体" w:eastAsia="宋体"/>
                            <w:sz w:val="20"/>
                          </w:rPr>
                          <w:t>声卡：集成</w:t>
                        </w:r>
                        <w:r>
                          <w:rPr>
                            <w:rFonts w:ascii="宋体" w:hAnsi="宋体" w:cs="宋体" w:eastAsia="宋体"/>
                            <w:sz w:val="20"/>
                          </w:rPr>
                          <w:t>HD Audio;</w:t>
                        </w:r>
                      </w:p>
                      <w:p>
                        <w:pPr>
                          <w:pStyle w:val="null3"/>
                          <w:jc w:val="left"/>
                        </w:pPr>
                        <w:r>
                          <w:rPr>
                            <w:rFonts w:ascii="宋体" w:hAnsi="宋体" w:cs="宋体" w:eastAsia="宋体"/>
                            <w:sz w:val="20"/>
                          </w:rPr>
                          <w:t>网卡：集成</w:t>
                        </w:r>
                        <w:r>
                          <w:rPr>
                            <w:rFonts w:ascii="宋体" w:hAnsi="宋体" w:cs="宋体" w:eastAsia="宋体"/>
                            <w:sz w:val="20"/>
                          </w:rPr>
                          <w:t>10M/100/1000MB自适应网卡；</w:t>
                        </w:r>
                      </w:p>
                      <w:p>
                        <w:pPr>
                          <w:pStyle w:val="null3"/>
                          <w:jc w:val="left"/>
                        </w:pPr>
                        <w:r>
                          <w:rPr>
                            <w:rFonts w:ascii="宋体" w:hAnsi="宋体" w:cs="宋体" w:eastAsia="宋体"/>
                            <w:sz w:val="20"/>
                          </w:rPr>
                          <w:t>电源：</w:t>
                        </w:r>
                        <w:r>
                          <w:rPr>
                            <w:rFonts w:ascii="宋体" w:hAnsi="宋体" w:cs="宋体" w:eastAsia="宋体"/>
                            <w:sz w:val="20"/>
                          </w:rPr>
                          <w:t>260W 节能电源</w:t>
                        </w:r>
                      </w:p>
                      <w:p>
                        <w:pPr>
                          <w:pStyle w:val="null3"/>
                          <w:jc w:val="left"/>
                        </w:pPr>
                        <w:r>
                          <w:rPr>
                            <w:rFonts w:ascii="宋体" w:hAnsi="宋体" w:cs="宋体" w:eastAsia="宋体"/>
                            <w:sz w:val="20"/>
                          </w:rPr>
                          <w:t>接口：</w:t>
                        </w:r>
                        <w:r>
                          <w:rPr>
                            <w:rFonts w:ascii="宋体" w:hAnsi="宋体" w:cs="宋体" w:eastAsia="宋体"/>
                            <w:sz w:val="20"/>
                          </w:rPr>
                          <w:t>6个USB接口(其中至少4个USB 3.2 G1)、1个串口、VGA+DP接口（VGA非转接）, USB屏蔽技术，仅识别USB键盘、鼠标，无法识别USB读取设备，有效防止数据泄露,含WIFI</w:t>
                        </w:r>
                      </w:p>
                      <w:p>
                        <w:pPr>
                          <w:pStyle w:val="null3"/>
                          <w:jc w:val="left"/>
                        </w:pPr>
                        <w:r>
                          <w:rPr>
                            <w:rFonts w:ascii="宋体" w:hAnsi="宋体" w:cs="宋体" w:eastAsia="宋体"/>
                            <w:sz w:val="20"/>
                          </w:rPr>
                          <w:t>键鼠：键盘、鼠标；</w:t>
                        </w:r>
                      </w:p>
                      <w:p>
                        <w:pPr>
                          <w:pStyle w:val="null3"/>
                          <w:jc w:val="left"/>
                        </w:pPr>
                        <w:r>
                          <w:rPr>
                            <w:rFonts w:ascii="宋体" w:hAnsi="宋体" w:cs="宋体" w:eastAsia="宋体"/>
                            <w:sz w:val="20"/>
                          </w:rPr>
                          <w:t>机箱：可立可卧小机箱；机箱</w:t>
                        </w:r>
                        <w:r>
                          <w:rPr>
                            <w:rFonts w:ascii="宋体" w:hAnsi="宋体" w:cs="宋体" w:eastAsia="宋体"/>
                            <w:sz w:val="20"/>
                          </w:rPr>
                          <w:t>7.4L</w:t>
                        </w:r>
                      </w:p>
                      <w:p>
                        <w:pPr>
                          <w:pStyle w:val="null3"/>
                          <w:jc w:val="left"/>
                        </w:pPr>
                        <w:r>
                          <w:rPr>
                            <w:rFonts w:ascii="宋体" w:hAnsi="宋体" w:cs="宋体" w:eastAsia="宋体"/>
                            <w:sz w:val="20"/>
                          </w:rPr>
                          <w:t>显示模块：</w:t>
                        </w:r>
                        <w:r>
                          <w:rPr>
                            <w:rFonts w:ascii="宋体" w:hAnsi="宋体" w:cs="宋体" w:eastAsia="宋体"/>
                            <w:sz w:val="20"/>
                          </w:rPr>
                          <w:t>32寸 显示模块</w:t>
                        </w:r>
                      </w:p>
                      <w:p>
                        <w:pPr>
                          <w:pStyle w:val="null3"/>
                          <w:jc w:val="left"/>
                        </w:pPr>
                        <w:r>
                          <w:rPr>
                            <w:rFonts w:ascii="宋体" w:hAnsi="宋体" w:cs="宋体" w:eastAsia="宋体"/>
                            <w:sz w:val="20"/>
                          </w:rPr>
                          <w:t>正版</w:t>
                        </w:r>
                        <w:r>
                          <w:rPr>
                            <w:rFonts w:ascii="宋体" w:hAnsi="宋体" w:cs="宋体" w:eastAsia="宋体"/>
                            <w:sz w:val="20"/>
                          </w:rPr>
                          <w:t>win11操作系统</w:t>
                        </w:r>
                        <w:r>
                          <w:rPr>
                            <w:rFonts w:ascii="宋体" w:hAnsi="宋体" w:cs="宋体" w:eastAsia="宋体"/>
                            <w:sz w:val="20"/>
                          </w:rPr>
                          <w:t>（</w:t>
                        </w:r>
                        <w:r>
                          <w:rPr>
                            <w:rFonts w:ascii="宋体" w:hAnsi="宋体" w:cs="宋体" w:eastAsia="宋体"/>
                            <w:sz w:val="20"/>
                          </w:rPr>
                          <w:t>专业版</w:t>
                        </w:r>
                        <w:r>
                          <w:rPr>
                            <w:rFonts w:ascii="宋体" w:hAnsi="宋体" w:cs="宋体" w:eastAsia="宋体"/>
                            <w:sz w:val="20"/>
                          </w:rPr>
                          <w:t>）</w:t>
                        </w:r>
                      </w:p>
                      <w:p>
                        <w:pPr>
                          <w:pStyle w:val="null3"/>
                          <w:jc w:val="left"/>
                        </w:pPr>
                        <w:r>
                          <w:rPr>
                            <w:rFonts w:ascii="宋体" w:hAnsi="宋体" w:cs="宋体" w:eastAsia="宋体"/>
                            <w:sz w:val="20"/>
                          </w:rPr>
                          <w:t>服务：三年原厂上门服务</w:t>
                        </w:r>
                      </w:p>
                      <w:p>
                        <w:pPr>
                          <w:pStyle w:val="null3"/>
                          <w:jc w:val="left"/>
                        </w:pPr>
                        <w:r>
                          <w:rPr>
                            <w:rFonts w:ascii="宋体" w:hAnsi="宋体" w:cs="宋体" w:eastAsia="宋体"/>
                            <w:sz w:val="20"/>
                          </w:rPr>
                          <w:t>供货时提供产品来源渠道合法的证明文件（包含但不限于销售协议、代理协议、原厂授权等）以及原厂售后服务承诺函。</w:t>
                        </w:r>
                      </w:p>
                    </w:tc>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30台</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1.台面板饰面采用优质E1级三聚氰胺板，面粘三聚氰胺板，PU胶边。</w:t>
                        </w:r>
                      </w:p>
                      <w:p>
                        <w:pPr>
                          <w:pStyle w:val="null3"/>
                          <w:jc w:val="left"/>
                        </w:pPr>
                        <w:r>
                          <w:rPr>
                            <w:rFonts w:ascii="宋体" w:hAnsi="宋体" w:cs="宋体" w:eastAsia="宋体"/>
                            <w:sz w:val="20"/>
                          </w:rPr>
                          <w:t>2.底脚采用316#不锈钢底脚，外包橡胶 ，牢固耐用，美观大方，减震防滑抗变型。</w:t>
                        </w:r>
                      </w:p>
                      <w:p>
                        <w:pPr>
                          <w:pStyle w:val="null3"/>
                          <w:jc w:val="left"/>
                        </w:pPr>
                        <w:r>
                          <w:rPr>
                            <w:rFonts w:ascii="宋体" w:hAnsi="宋体" w:cs="宋体" w:eastAsia="宋体"/>
                            <w:sz w:val="20"/>
                          </w:rPr>
                          <w:t>3.脚管采用圆钢管,表面采用防锈静电喷涂处理。</w:t>
                        </w:r>
                      </w:p>
                      <w:p>
                        <w:pPr>
                          <w:pStyle w:val="null3"/>
                          <w:jc w:val="left"/>
                        </w:pPr>
                        <w:r>
                          <w:rPr>
                            <w:rFonts w:ascii="宋体" w:hAnsi="宋体" w:cs="宋体" w:eastAsia="宋体"/>
                            <w:sz w:val="20"/>
                          </w:rPr>
                          <w:t>4.横梁采用方钢，表面再经环氧树脂静电喷涂处理，实用牢固，承受力大。</w:t>
                        </w:r>
                      </w:p>
                      <w:p>
                        <w:pPr>
                          <w:pStyle w:val="null3"/>
                          <w:jc w:val="left"/>
                        </w:pPr>
                        <w:r>
                          <w:rPr>
                            <w:rFonts w:ascii="宋体" w:hAnsi="宋体" w:cs="宋体" w:eastAsia="宋体"/>
                            <w:sz w:val="20"/>
                          </w:rPr>
                          <w:t>5.上底80厘米、下底100厘米，厚3厘米，高75厘米；桌腿实木打造，宽6厘米、厚4厘米，稳固支撑。玻璃台面通透亮眼，边角圆润防磕碰，桌下带一长 40 厘米抽屉，兼具实用与美观。</w:t>
                        </w:r>
                      </w:p>
                      <w:p>
                        <w:pPr>
                          <w:pStyle w:val="null3"/>
                          <w:jc w:val="left"/>
                        </w:pPr>
                        <w:r>
                          <w:rPr>
                            <w:rFonts w:ascii="宋体" w:hAnsi="宋体" w:cs="宋体" w:eastAsia="宋体"/>
                            <w:sz w:val="20"/>
                          </w:rPr>
                          <w:t>6.提供板材环保认证，甲醛放量≤9mg/100g，E1级标准；</w:t>
                        </w:r>
                      </w:p>
                      <w:p>
                        <w:pPr>
                          <w:pStyle w:val="null3"/>
                          <w:jc w:val="left"/>
                        </w:pPr>
                        <w:r>
                          <w:rPr>
                            <w:rFonts w:ascii="宋体" w:hAnsi="宋体" w:cs="宋体" w:eastAsia="宋体"/>
                            <w:sz w:val="20"/>
                          </w:rPr>
                          <w:t>弓字型学生椅：</w:t>
                        </w:r>
                      </w:p>
                      <w:p>
                        <w:pPr>
                          <w:pStyle w:val="null3"/>
                          <w:jc w:val="left"/>
                        </w:pPr>
                        <w:r>
                          <w:rPr>
                            <w:rFonts w:ascii="宋体" w:hAnsi="宋体" w:cs="宋体" w:eastAsia="宋体"/>
                            <w:sz w:val="20"/>
                          </w:rPr>
                          <w:t>600mm*490mm*870-1025㎜（椅宽*椅深*椅高）</w:t>
                        </w:r>
                      </w:p>
                    </w:tc>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12套</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进行与该套设备相匹配的环境建设（墙面颜色根据整体设计而定，营造墙面氛围）</w:t>
                        </w:r>
                      </w:p>
                    </w:tc>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根据平面设计图进行隔断并安装玻璃门（密码锁）</w:t>
                        </w:r>
                      </w:p>
                    </w:tc>
                    <w:tc>
                      <w:tcPr>
                        <w:tcW w:type="dxa" w:w="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制造产业链大数据生产现场管理实践设备（运算单元）</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calibri" w:hAnsi="calibri" w:cs="calibri" w:eastAsia="calibri"/>
                      <w:sz w:val="19"/>
                    </w:rPr>
                    <w:t>4</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采用高配置桌面级服务站，工业级电源，通风散热良好，可支撑</w:t>
                  </w:r>
                  <w:r>
                    <w:rPr>
                      <w:rFonts w:ascii="宋体" w:hAnsi="宋体" w:cs="宋体" w:eastAsia="宋体"/>
                      <w:sz w:val="20"/>
                    </w:rPr>
                    <w:t xml:space="preserve">CPU、GPU满负荷稳定输出 </w:t>
                  </w:r>
                  <w:r>
                    <w:br/>
                  </w:r>
                  <w:r>
                    <w:rPr>
                      <w:rFonts w:ascii="宋体" w:hAnsi="宋体" w:cs="宋体" w:eastAsia="宋体"/>
                      <w:sz w:val="20"/>
                    </w:rPr>
                    <w:t>配置要求：</w:t>
                  </w:r>
                  <w:r>
                    <w:rPr>
                      <w:rFonts w:ascii="宋体" w:hAnsi="宋体" w:cs="宋体" w:eastAsia="宋体"/>
                      <w:sz w:val="20"/>
                    </w:rPr>
                    <w:t>CPU:HYGON_7380_C86_2.2GHz_32C_64M_140W* 2；（32G*8）256G RDIMM DDR4 内存；硬盘：960G SSD * 2；硬盘：4T SATA * 2；RAID卡 * 1；双口万兆网卡（含模块）*1+双口千兆网卡*1；冗余电源。</w:t>
                  </w:r>
                  <w:r>
                    <w:br/>
                  </w:r>
                  <w:r>
                    <w:rPr>
                      <w:rFonts w:ascii="宋体" w:hAnsi="宋体" w:cs="宋体" w:eastAsia="宋体"/>
                      <w:sz w:val="20"/>
                    </w:rPr>
                    <w:t>供电电源：</w:t>
                  </w:r>
                  <w:r>
                    <w:br/>
                  </w:r>
                  <w:r>
                    <w:rPr>
                      <w:rFonts w:ascii="宋体" w:hAnsi="宋体" w:cs="宋体" w:eastAsia="宋体"/>
                      <w:sz w:val="20"/>
                    </w:rPr>
                    <w:t xml:space="preserve">(1)风扇 120mm×120mm×38mm； </w:t>
                  </w:r>
                  <w:r>
                    <w:br/>
                  </w:r>
                  <w:r>
                    <w:rPr>
                      <w:rFonts w:ascii="宋体" w:hAnsi="宋体" w:cs="宋体" w:eastAsia="宋体"/>
                      <w:sz w:val="20"/>
                    </w:rPr>
                    <w:t xml:space="preserve">(2)PFC：主动 PFC； </w:t>
                  </w:r>
                  <w:r>
                    <w:br/>
                  </w:r>
                  <w:r>
                    <w:rPr>
                      <w:rFonts w:ascii="宋体" w:hAnsi="宋体" w:cs="宋体" w:eastAsia="宋体"/>
                      <w:sz w:val="20"/>
                    </w:rPr>
                    <w:t xml:space="preserve">(3)主电源接口：20+4 pin； </w:t>
                  </w:r>
                  <w:r>
                    <w:br/>
                  </w:r>
                  <w:r>
                    <w:rPr>
                      <w:rFonts w:ascii="宋体" w:hAnsi="宋体" w:cs="宋体" w:eastAsia="宋体"/>
                      <w:sz w:val="20"/>
                    </w:rPr>
                    <w:t xml:space="preserve">(4)CPU 12V 供电接口：4pin+4pin； </w:t>
                  </w:r>
                  <w:r>
                    <w:br/>
                  </w:r>
                  <w:r>
                    <w:rPr>
                      <w:rFonts w:ascii="宋体" w:hAnsi="宋体" w:cs="宋体" w:eastAsia="宋体"/>
                      <w:sz w:val="20"/>
                    </w:rPr>
                    <w:t>(5)D 型 4pin 接口：5 个；</w:t>
                  </w:r>
                  <w:r>
                    <w:br/>
                  </w:r>
                  <w:r>
                    <w:rPr>
                      <w:rFonts w:ascii="宋体" w:hAnsi="宋体" w:cs="宋体" w:eastAsia="宋体"/>
                      <w:sz w:val="20"/>
                    </w:rPr>
                    <w:t xml:space="preserve">(6)SATA 接口：6 个； </w:t>
                  </w:r>
                  <w:r>
                    <w:br/>
                  </w:r>
                  <w:r>
                    <w:rPr>
                      <w:rFonts w:ascii="宋体" w:hAnsi="宋体" w:cs="宋体" w:eastAsia="宋体"/>
                      <w:sz w:val="20"/>
                    </w:rPr>
                    <w:t xml:space="preserve">(7)8pin PCI-E 接口：（6+2）pin x4； </w:t>
                  </w:r>
                  <w:r>
                    <w:br/>
                  </w:r>
                  <w:r>
                    <w:rPr>
                      <w:rFonts w:ascii="宋体" w:hAnsi="宋体" w:cs="宋体" w:eastAsia="宋体"/>
                      <w:sz w:val="20"/>
                    </w:rPr>
                    <w:t xml:space="preserve">(8)6pin PCI-E 接口：4 个； </w:t>
                  </w:r>
                  <w:r>
                    <w:br/>
                  </w:r>
                  <w:r>
                    <w:rPr>
                      <w:rFonts w:ascii="宋体" w:hAnsi="宋体" w:cs="宋体" w:eastAsia="宋体"/>
                      <w:sz w:val="20"/>
                    </w:rPr>
                    <w:t xml:space="preserve">(9)支持宽幅：是； </w:t>
                  </w:r>
                  <w:r>
                    <w:br/>
                  </w:r>
                  <w:r>
                    <w:rPr>
                      <w:rFonts w:ascii="宋体" w:hAnsi="宋体" w:cs="宋体" w:eastAsia="宋体"/>
                      <w:sz w:val="20"/>
                    </w:rPr>
                    <w:t>(10)支持温控：支持。</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制造产业链大数据生产现场管理实践设备（数字化实验服务专用工作站）</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calibri" w:hAnsi="calibri" w:cs="calibri" w:eastAsia="calibri"/>
                      <w:sz w:val="19"/>
                    </w:rPr>
                    <w:t>5</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1.数字化实验服务专用工作站需要具有CPU:</w:t>
                  </w:r>
                  <w:r>
                    <w:rPr>
                      <w:rFonts w:ascii="宋体" w:hAnsi="宋体" w:cs="宋体" w:eastAsia="宋体"/>
                      <w:sz w:val="20"/>
                    </w:rPr>
                    <w:t>不低于</w:t>
                  </w:r>
                  <w:r>
                    <w:rPr>
                      <w:rFonts w:ascii="宋体" w:hAnsi="宋体" w:cs="宋体" w:eastAsia="宋体"/>
                      <w:sz w:val="20"/>
                    </w:rPr>
                    <w:t>i</w:t>
                  </w:r>
                  <w:r>
                    <w:rPr>
                      <w:rFonts w:ascii="宋体" w:hAnsi="宋体" w:cs="宋体" w:eastAsia="宋体"/>
                      <w:sz w:val="20"/>
                    </w:rPr>
                    <w:t>9</w:t>
                  </w:r>
                  <w:r>
                    <w:rPr>
                      <w:rFonts w:ascii="宋体" w:hAnsi="宋体" w:cs="宋体" w:eastAsia="宋体"/>
                      <w:sz w:val="20"/>
                    </w:rPr>
                    <w:t xml:space="preserve"> </w:t>
                  </w:r>
                  <w:r>
                    <w:rPr>
                      <w:rFonts w:ascii="宋体" w:hAnsi="宋体" w:cs="宋体" w:eastAsia="宋体"/>
                      <w:sz w:val="20"/>
                    </w:rPr>
                    <w:t>十二代处理器，十四核二十线程，主频</w:t>
                  </w:r>
                  <w:r>
                    <w:rPr>
                      <w:rFonts w:ascii="宋体" w:hAnsi="宋体" w:cs="宋体" w:eastAsia="宋体"/>
                      <w:sz w:val="20"/>
                    </w:rPr>
                    <w:t>≥2.3GHz，睿频≥4.7GHz，内存≥16GB，SSD≥512GB，USB接口≥9个(其中USB3.0接口≥4个，TYPE-C≥1个），HDMI接口≥2个，DP接口≥2个，支持四屏同显或异显，千兆以上网口≥1个，耳机及麦克风接口≥1个，终端体积≤1.8L，23.8寸显示模块，USB键鼠。</w:t>
                  </w:r>
                </w:p>
                <w:p>
                  <w:pPr>
                    <w:pStyle w:val="null3"/>
                    <w:jc w:val="left"/>
                  </w:pPr>
                  <w:r>
                    <w:rPr>
                      <w:rFonts w:ascii="宋体" w:hAnsi="宋体" w:cs="宋体" w:eastAsia="宋体"/>
                      <w:sz w:val="20"/>
                    </w:rPr>
                    <w:t>2.软硬件一体化设备，内置虚拟化系统和软件，登入支持自动免身份验证直接登录服务器桌面功能，无需账户，开机自动登录桌面；支持为各终端单独挂载相互隔离的数据存储空间。</w:t>
                  </w:r>
                </w:p>
                <w:p>
                  <w:pPr>
                    <w:pStyle w:val="null3"/>
                    <w:jc w:val="left"/>
                  </w:pPr>
                  <w:r>
                    <w:rPr>
                      <w:rFonts w:ascii="宋体" w:hAnsi="宋体" w:cs="宋体" w:eastAsia="宋体"/>
                      <w:sz w:val="20"/>
                    </w:rPr>
                    <w:t>3.教学终端可通过USB存储设备导入升级包并进行升级。</w:t>
                  </w:r>
                </w:p>
                <w:p>
                  <w:pPr>
                    <w:pStyle w:val="null3"/>
                    <w:jc w:val="left"/>
                  </w:pPr>
                  <w:r>
                    <w:rPr>
                      <w:rFonts w:ascii="宋体" w:hAnsi="宋体" w:cs="宋体" w:eastAsia="宋体"/>
                      <w:sz w:val="20"/>
                    </w:rPr>
                    <w:t>4.支持USB外设兼容存储设备、打印设备、加密电子验证设备、触控类交互设备、高速扫描仪，连接触控类交互设备可支持流畅多点触控，并调用软键盘实现输入。</w:t>
                  </w:r>
                </w:p>
                <w:p>
                  <w:pPr>
                    <w:pStyle w:val="null3"/>
                    <w:jc w:val="left"/>
                  </w:pPr>
                  <w:r>
                    <w:rPr>
                      <w:rFonts w:ascii="宋体" w:hAnsi="宋体" w:cs="宋体" w:eastAsia="宋体"/>
                      <w:sz w:val="20"/>
                    </w:rPr>
                    <w:t>5.教学终端支持显卡透传，能够将云终端物理显卡透传至虚拟机中，实现部分高显卡要求场景的支持，如画图软件或者游戏运行。</w:t>
                  </w:r>
                </w:p>
                <w:p>
                  <w:pPr>
                    <w:pStyle w:val="null3"/>
                    <w:jc w:val="left"/>
                  </w:pPr>
                  <w:r>
                    <w:rPr>
                      <w:rFonts w:ascii="宋体" w:hAnsi="宋体" w:cs="宋体" w:eastAsia="宋体"/>
                      <w:sz w:val="20"/>
                    </w:rPr>
                    <w:t>6.数量1套</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制造产业链大数据生产现场管理实践设备（资源配置）</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calibri" w:hAnsi="calibri" w:cs="calibri" w:eastAsia="calibri"/>
                      <w:sz w:val="19"/>
                    </w:rPr>
                    <w:t>6</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一、系统构架</w:t>
                  </w:r>
                  <w:r>
                    <w:br/>
                  </w:r>
                  <w:r>
                    <w:rPr>
                      <w:rFonts w:ascii="宋体" w:hAnsi="宋体" w:cs="宋体" w:eastAsia="宋体"/>
                      <w:sz w:val="20"/>
                    </w:rPr>
                    <w:t>1.要求系统架构按照大型分布式架构设计，支持高并发，高可用的业务需求。使用微服务框架，实现系统模块灵活配置，数据动静分离；支撑大范围专业建设开课要求：Windows7 32位/64位，Windows8 32位/64位，Windows10 32位/64位，Mac OS 10.10，Mac OS 10.11，Mac OS 10.12。</w:t>
                  </w:r>
                </w:p>
                <w:p>
                  <w:pPr>
                    <w:pStyle w:val="null3"/>
                    <w:jc w:val="left"/>
                  </w:pPr>
                  <w:r>
                    <w:rPr>
                      <w:rFonts w:ascii="宋体" w:hAnsi="宋体" w:cs="宋体" w:eastAsia="宋体"/>
                      <w:sz w:val="20"/>
                    </w:rPr>
                    <w:t>2.要求系统采用B/S架构，无需安装客户端，使用chrome浏览器即可轻松实现所有操作。</w:t>
                  </w:r>
                </w:p>
                <w:p>
                  <w:pPr>
                    <w:pStyle w:val="null3"/>
                    <w:jc w:val="left"/>
                  </w:pPr>
                  <w:r>
                    <w:rPr>
                      <w:rFonts w:ascii="宋体" w:hAnsi="宋体" w:cs="宋体" w:eastAsia="宋体"/>
                      <w:sz w:val="20"/>
                    </w:rPr>
                    <w:t>3.要求使用Mysql开源数据库，可通过水平扩展来达到高可用性和高性能。</w:t>
                  </w:r>
                </w:p>
                <w:p>
                  <w:pPr>
                    <w:pStyle w:val="null3"/>
                    <w:jc w:val="left"/>
                  </w:pPr>
                  <w:r>
                    <w:rPr>
                      <w:rFonts w:ascii="宋体" w:hAnsi="宋体" w:cs="宋体" w:eastAsia="宋体"/>
                      <w:sz w:val="20"/>
                    </w:rPr>
                    <w:t>4.要求采用当前流行的SpringBoot，SpringCloud，Mybatis技术框架，展现层需要通过vue和相关标签实现，实现前后端分离；模型层通过Java接口及实现类来实现；与数据库的接口采用轻量级封装Mybatis提供的接口；系统所有操作都具备系统日志与业务日志级别。</w:t>
                  </w:r>
                </w:p>
                <w:p>
                  <w:pPr>
                    <w:pStyle w:val="null3"/>
                    <w:jc w:val="left"/>
                  </w:pPr>
                  <w:r>
                    <w:rPr>
                      <w:rFonts w:ascii="宋体" w:hAnsi="宋体" w:cs="宋体" w:eastAsia="宋体"/>
                      <w:sz w:val="20"/>
                    </w:rPr>
                    <w:t>5.要求系统可以抵御常用攻击手段，如sql注入，CSRF、XSS等。</w:t>
                  </w:r>
                </w:p>
                <w:p>
                  <w:pPr>
                    <w:pStyle w:val="null3"/>
                    <w:jc w:val="left"/>
                  </w:pPr>
                  <w:r>
                    <w:rPr>
                      <w:rFonts w:ascii="宋体" w:hAnsi="宋体" w:cs="宋体" w:eastAsia="宋体"/>
                      <w:sz w:val="20"/>
                    </w:rPr>
                    <w:t>6.要求使用redis缓存数据库来进行用户数据的缓存，增加系统响应速度并优化用户的体验。</w:t>
                  </w:r>
                </w:p>
                <w:p>
                  <w:pPr>
                    <w:pStyle w:val="null3"/>
                    <w:jc w:val="left"/>
                  </w:pPr>
                  <w:r>
                    <w:rPr>
                      <w:rFonts w:ascii="宋体" w:hAnsi="宋体" w:cs="宋体" w:eastAsia="宋体"/>
                      <w:sz w:val="20"/>
                    </w:rPr>
                    <w:t>7.要求使用多用户的统一登录口，系统管理员、教师、学生统一登陆口，只需输入各自的用户名及密码即可登录。</w:t>
                  </w:r>
                </w:p>
                <w:p>
                  <w:pPr>
                    <w:pStyle w:val="null3"/>
                    <w:jc w:val="left"/>
                  </w:pPr>
                  <w:r>
                    <w:rPr>
                      <w:rFonts w:ascii="宋体" w:hAnsi="宋体" w:cs="宋体" w:eastAsia="宋体"/>
                      <w:sz w:val="20"/>
                    </w:rPr>
                    <w:t>二、实验教学平台</w:t>
                  </w:r>
                  <w:r>
                    <w:rPr>
                      <w:rFonts w:ascii="宋体" w:hAnsi="宋体" w:cs="宋体" w:eastAsia="宋体"/>
                      <w:sz w:val="20"/>
                    </w:rPr>
                    <w:t>（</w:t>
                  </w:r>
                  <w:r>
                    <w:rPr>
                      <w:rFonts w:ascii="宋体" w:hAnsi="宋体" w:cs="宋体" w:eastAsia="宋体"/>
                      <w:sz w:val="20"/>
                    </w:rPr>
                    <w:t>需要现场演示</w:t>
                  </w:r>
                  <w:r>
                    <w:rPr>
                      <w:rFonts w:ascii="宋体" w:hAnsi="宋体" w:cs="宋体" w:eastAsia="宋体"/>
                      <w:sz w:val="20"/>
                    </w:rPr>
                    <w:t>）</w:t>
                  </w:r>
                  <w:r>
                    <w:br/>
                  </w:r>
                  <w:r>
                    <w:rPr>
                      <w:rFonts w:ascii="宋体" w:hAnsi="宋体" w:cs="宋体" w:eastAsia="宋体"/>
                      <w:sz w:val="20"/>
                    </w:rPr>
                    <w:t>（一）大数据技术平台</w:t>
                  </w:r>
                </w:p>
                <w:p>
                  <w:pPr>
                    <w:pStyle w:val="null3"/>
                    <w:jc w:val="left"/>
                  </w:pPr>
                  <w:r>
                    <w:rPr>
                      <w:rFonts w:ascii="宋体" w:hAnsi="宋体" w:cs="宋体" w:eastAsia="宋体"/>
                      <w:sz w:val="20"/>
                    </w:rPr>
                    <w:t>采用云端操作，无需本地安装。提供在线训练，供学生实务训练使用。学生采用个人测评训练方式，以企业真实财务数据为基础，通过贴近实务的实践课程训练，培养学生数据采集、数据预处理、运用大数据分析技术</w:t>
                  </w:r>
                  <w:r>
                    <w:rPr>
                      <w:rFonts w:ascii="宋体" w:hAnsi="宋体" w:cs="宋体" w:eastAsia="宋体"/>
                      <w:sz w:val="20"/>
                    </w:rPr>
                    <w:t>-智能技术-可视化技术解决大数据分析的能力。与教学系统、测评系统深度集成，并能进行试题自动评分。</w:t>
                  </w:r>
                </w:p>
                <w:p>
                  <w:pPr>
                    <w:pStyle w:val="null3"/>
                    <w:jc w:val="left"/>
                  </w:pPr>
                  <w:r>
                    <w:rPr>
                      <w:rFonts w:ascii="宋体" w:hAnsi="宋体" w:cs="宋体" w:eastAsia="宋体"/>
                      <w:sz w:val="20"/>
                    </w:rPr>
                    <w:t>1.大数据采集模块</w:t>
                  </w:r>
                </w:p>
                <w:p>
                  <w:pPr>
                    <w:pStyle w:val="null3"/>
                    <w:jc w:val="left"/>
                  </w:pPr>
                  <w:r>
                    <w:rPr>
                      <w:rFonts w:ascii="宋体" w:hAnsi="宋体" w:cs="宋体" w:eastAsia="宋体"/>
                      <w:sz w:val="20"/>
                    </w:rPr>
                    <w:t>1.1 原始数据采集</w:t>
                  </w:r>
                </w:p>
                <w:p>
                  <w:pPr>
                    <w:pStyle w:val="null3"/>
                    <w:jc w:val="left"/>
                  </w:pPr>
                  <w:r>
                    <w:rPr>
                      <w:rFonts w:ascii="宋体" w:hAnsi="宋体" w:cs="宋体" w:eastAsia="宋体"/>
                      <w:sz w:val="20"/>
                    </w:rPr>
                    <w:t>支持从各种来源获取和收集海量数据，支持上传用户自己的数据。包括但不限于</w:t>
                  </w:r>
                  <w:r>
                    <w:rPr>
                      <w:rFonts w:ascii="宋体" w:hAnsi="宋体" w:cs="宋体" w:eastAsia="宋体"/>
                      <w:sz w:val="20"/>
                    </w:rPr>
                    <w:t>Excel、csv、图片、word、pdf、txt等结构化、非结构化的数据采集。</w:t>
                  </w:r>
                </w:p>
                <w:p>
                  <w:pPr>
                    <w:pStyle w:val="null3"/>
                    <w:jc w:val="left"/>
                  </w:pPr>
                  <w:r>
                    <w:rPr>
                      <w:rFonts w:ascii="宋体" w:hAnsi="宋体" w:cs="宋体" w:eastAsia="宋体"/>
                      <w:sz w:val="20"/>
                    </w:rPr>
                    <w:t>1.2 数据库接入</w:t>
                  </w:r>
                </w:p>
                <w:p>
                  <w:pPr>
                    <w:pStyle w:val="null3"/>
                    <w:jc w:val="left"/>
                  </w:pPr>
                  <w:r>
                    <w:rPr>
                      <w:rFonts w:ascii="宋体" w:hAnsi="宋体" w:cs="宋体" w:eastAsia="宋体"/>
                      <w:sz w:val="20"/>
                    </w:rPr>
                    <w:t>支持多种数据库接入，关系型数据库类型</w:t>
                  </w:r>
                  <w:r>
                    <w:rPr>
                      <w:rFonts w:ascii="宋体" w:hAnsi="宋体" w:cs="宋体" w:eastAsia="宋体"/>
                      <w:sz w:val="20"/>
                    </w:rPr>
                    <w:t>Oracle、SQL Server、MySQL、Postgres、SQLite等；程序数据源 JSON、Odata； NoSQL 数据源 MongoDB；以及提供 ODBC 连接的数据源类型。</w:t>
                  </w:r>
                </w:p>
                <w:p>
                  <w:pPr>
                    <w:pStyle w:val="null3"/>
                    <w:jc w:val="left"/>
                  </w:pPr>
                  <w:r>
                    <w:rPr>
                      <w:rFonts w:ascii="宋体" w:hAnsi="宋体" w:cs="宋体" w:eastAsia="宋体"/>
                      <w:sz w:val="20"/>
                    </w:rPr>
                    <w:t>1.3 网络爬虫</w:t>
                  </w:r>
                </w:p>
                <w:p>
                  <w:pPr>
                    <w:pStyle w:val="null3"/>
                    <w:jc w:val="left"/>
                  </w:pPr>
                  <w:r>
                    <w:rPr>
                      <w:rFonts w:ascii="宋体" w:hAnsi="宋体" w:cs="宋体" w:eastAsia="宋体"/>
                      <w:sz w:val="20"/>
                    </w:rPr>
                    <w:t>支持</w:t>
                  </w:r>
                  <w:r>
                    <w:rPr>
                      <w:rFonts w:ascii="宋体" w:hAnsi="宋体" w:cs="宋体" w:eastAsia="宋体"/>
                      <w:sz w:val="20"/>
                    </w:rPr>
                    <w:t>python爬虫库。</w:t>
                  </w:r>
                </w:p>
                <w:p>
                  <w:pPr>
                    <w:pStyle w:val="null3"/>
                    <w:jc w:val="left"/>
                  </w:pPr>
                  <w:r>
                    <w:rPr>
                      <w:rFonts w:ascii="宋体" w:hAnsi="宋体" w:cs="宋体" w:eastAsia="宋体"/>
                      <w:sz w:val="20"/>
                    </w:rPr>
                    <w:t>2.大数据预处理模块</w:t>
                  </w:r>
                </w:p>
                <w:p>
                  <w:pPr>
                    <w:pStyle w:val="null3"/>
                    <w:jc w:val="left"/>
                  </w:pPr>
                  <w:r>
                    <w:rPr>
                      <w:rFonts w:ascii="宋体" w:hAnsi="宋体" w:cs="宋体" w:eastAsia="宋体"/>
                      <w:sz w:val="20"/>
                    </w:rPr>
                    <w:t>2.1 数据抽取</w:t>
                  </w:r>
                </w:p>
                <w:p>
                  <w:pPr>
                    <w:pStyle w:val="null3"/>
                    <w:jc w:val="left"/>
                  </w:pPr>
                  <w:r>
                    <w:rPr>
                      <w:rFonts w:ascii="宋体" w:hAnsi="宋体" w:cs="宋体" w:eastAsia="宋体"/>
                      <w:sz w:val="20"/>
                    </w:rPr>
                    <w:t>数据连接、数据增量添加、数据关联</w:t>
                  </w:r>
                </w:p>
                <w:p>
                  <w:pPr>
                    <w:pStyle w:val="null3"/>
                    <w:jc w:val="left"/>
                  </w:pPr>
                  <w:r>
                    <w:rPr>
                      <w:rFonts w:ascii="宋体" w:hAnsi="宋体" w:cs="宋体" w:eastAsia="宋体"/>
                      <w:sz w:val="20"/>
                    </w:rPr>
                    <w:t>2.2 数据转换</w:t>
                  </w:r>
                </w:p>
                <w:p>
                  <w:pPr>
                    <w:pStyle w:val="null3"/>
                    <w:jc w:val="left"/>
                  </w:pPr>
                  <w:r>
                    <w:rPr>
                      <w:rFonts w:ascii="宋体" w:hAnsi="宋体" w:cs="宋体" w:eastAsia="宋体"/>
                      <w:sz w:val="20"/>
                    </w:rPr>
                    <w:t>数据</w:t>
                  </w:r>
                  <w:r>
                    <w:rPr>
                      <w:rFonts w:ascii="宋体" w:hAnsi="宋体" w:cs="宋体" w:eastAsia="宋体"/>
                      <w:sz w:val="20"/>
                    </w:rPr>
                    <w:t>/表拆分、行列转换、计算列</w:t>
                  </w:r>
                </w:p>
                <w:p>
                  <w:pPr>
                    <w:pStyle w:val="null3"/>
                    <w:jc w:val="left"/>
                  </w:pPr>
                  <w:r>
                    <w:rPr>
                      <w:rFonts w:ascii="宋体" w:hAnsi="宋体" w:cs="宋体" w:eastAsia="宋体"/>
                      <w:sz w:val="20"/>
                    </w:rPr>
                    <w:t>2.3 数据加载</w:t>
                  </w:r>
                </w:p>
                <w:p>
                  <w:pPr>
                    <w:pStyle w:val="null3"/>
                    <w:jc w:val="left"/>
                  </w:pPr>
                  <w:r>
                    <w:rPr>
                      <w:rFonts w:ascii="宋体" w:hAnsi="宋体" w:cs="宋体" w:eastAsia="宋体"/>
                      <w:sz w:val="20"/>
                    </w:rPr>
                    <w:t>全量加载、数据比对</w:t>
                  </w:r>
                </w:p>
                <w:p>
                  <w:pPr>
                    <w:pStyle w:val="null3"/>
                    <w:jc w:val="left"/>
                  </w:pPr>
                  <w:r>
                    <w:rPr>
                      <w:rFonts w:ascii="宋体" w:hAnsi="宋体" w:cs="宋体" w:eastAsia="宋体"/>
                      <w:sz w:val="20"/>
                    </w:rPr>
                    <w:t>2.4 数据清洗</w:t>
                  </w:r>
                </w:p>
                <w:p>
                  <w:pPr>
                    <w:pStyle w:val="null3"/>
                    <w:jc w:val="left"/>
                  </w:pPr>
                  <w:r>
                    <w:rPr>
                      <w:rFonts w:ascii="宋体" w:hAnsi="宋体" w:cs="宋体" w:eastAsia="宋体"/>
                      <w:sz w:val="20"/>
                    </w:rPr>
                    <w:t>支持低代码工具及代码模式，数据补齐、数据过滤、类型转换、前后对比</w:t>
                  </w:r>
                </w:p>
                <w:p>
                  <w:pPr>
                    <w:pStyle w:val="null3"/>
                    <w:jc w:val="left"/>
                  </w:pPr>
                  <w:r>
                    <w:rPr>
                      <w:rFonts w:ascii="宋体" w:hAnsi="宋体" w:cs="宋体" w:eastAsia="宋体"/>
                      <w:sz w:val="20"/>
                    </w:rPr>
                    <w:t>2.5 数据脱敏</w:t>
                  </w:r>
                </w:p>
                <w:p>
                  <w:pPr>
                    <w:pStyle w:val="null3"/>
                    <w:jc w:val="left"/>
                  </w:pPr>
                  <w:r>
                    <w:rPr>
                      <w:rFonts w:ascii="宋体" w:hAnsi="宋体" w:cs="宋体" w:eastAsia="宋体"/>
                      <w:sz w:val="20"/>
                    </w:rPr>
                    <w:t>3.大数据分析模块</w:t>
                  </w:r>
                </w:p>
                <w:p>
                  <w:pPr>
                    <w:pStyle w:val="null3"/>
                    <w:jc w:val="left"/>
                  </w:pPr>
                  <w:r>
                    <w:rPr>
                      <w:rFonts w:ascii="宋体" w:hAnsi="宋体" w:cs="宋体" w:eastAsia="宋体"/>
                      <w:sz w:val="20"/>
                    </w:rPr>
                    <w:t>3.1即席分析</w:t>
                  </w:r>
                </w:p>
                <w:p>
                  <w:pPr>
                    <w:pStyle w:val="null3"/>
                    <w:jc w:val="left"/>
                  </w:pPr>
                  <w:r>
                    <w:rPr>
                      <w:rFonts w:ascii="宋体" w:hAnsi="宋体" w:cs="宋体" w:eastAsia="宋体"/>
                      <w:sz w:val="20"/>
                    </w:rPr>
                    <w:t>数据透视表、分析表达式、数据分组、数据筛选、聚合运算等。</w:t>
                  </w:r>
                </w:p>
                <w:p>
                  <w:pPr>
                    <w:pStyle w:val="null3"/>
                    <w:jc w:val="left"/>
                  </w:pPr>
                  <w:r>
                    <w:rPr>
                      <w:rFonts w:ascii="宋体" w:hAnsi="宋体" w:cs="宋体" w:eastAsia="宋体"/>
                      <w:sz w:val="20"/>
                    </w:rPr>
                    <w:t>3.2数据模型</w:t>
                  </w:r>
                </w:p>
                <w:p>
                  <w:pPr>
                    <w:pStyle w:val="null3"/>
                    <w:jc w:val="left"/>
                  </w:pPr>
                  <w:r>
                    <w:rPr>
                      <w:rFonts w:ascii="宋体" w:hAnsi="宋体" w:cs="宋体" w:eastAsia="宋体"/>
                      <w:sz w:val="20"/>
                    </w:rPr>
                    <w:t>平台支持跨源抽取、整合数据，建立数据模型，支持数据转换、添加计算列、添加度量值等，同时提供大数据审计多种模型。</w:t>
                  </w:r>
                </w:p>
                <w:p>
                  <w:pPr>
                    <w:pStyle w:val="null3"/>
                    <w:jc w:val="left"/>
                  </w:pPr>
                  <w:r>
                    <w:rPr>
                      <w:rFonts w:ascii="宋体" w:hAnsi="宋体" w:cs="宋体" w:eastAsia="宋体"/>
                      <w:sz w:val="20"/>
                    </w:rPr>
                    <w:t>3.3数据集</w:t>
                  </w:r>
                </w:p>
                <w:p>
                  <w:pPr>
                    <w:pStyle w:val="null3"/>
                    <w:jc w:val="left"/>
                  </w:pPr>
                  <w:r>
                    <w:rPr>
                      <w:rFonts w:ascii="宋体" w:hAnsi="宋体" w:cs="宋体" w:eastAsia="宋体"/>
                      <w:sz w:val="20"/>
                    </w:rPr>
                    <w:t>数据集功能以可视化的方式创建数据集，将数据源添加到数据集设计器中，设计器分为四大区域，分别为菜单栏、数据源列表区、数据集编辑区以及预览区域。用于创建仪表板或报表，数据集创建完成后支持刷新缓存数据。</w:t>
                  </w:r>
                </w:p>
                <w:p>
                  <w:pPr>
                    <w:pStyle w:val="null3"/>
                    <w:jc w:val="left"/>
                  </w:pPr>
                  <w:r>
                    <w:rPr>
                      <w:rFonts w:ascii="宋体" w:hAnsi="宋体" w:cs="宋体" w:eastAsia="宋体"/>
                      <w:sz w:val="20"/>
                    </w:rPr>
                    <w:t>3.3.1多表关联</w:t>
                  </w:r>
                </w:p>
                <w:p>
                  <w:pPr>
                    <w:pStyle w:val="null3"/>
                    <w:jc w:val="left"/>
                  </w:pPr>
                  <w:r>
                    <w:rPr>
                      <w:rFonts w:ascii="宋体" w:hAnsi="宋体" w:cs="宋体" w:eastAsia="宋体"/>
                      <w:sz w:val="20"/>
                    </w:rPr>
                    <w:t>系统支持将多个数据表拼接成一张表使用的情况。提供了联合（</w:t>
                  </w:r>
                  <w:r>
                    <w:rPr>
                      <w:rFonts w:ascii="宋体" w:hAnsi="宋体" w:cs="宋体" w:eastAsia="宋体"/>
                      <w:sz w:val="20"/>
                    </w:rPr>
                    <w:t>Union）和连接（Join）功能来实现数据表的左右拼接和上下拼接。</w:t>
                  </w:r>
                </w:p>
                <w:p>
                  <w:pPr>
                    <w:pStyle w:val="null3"/>
                    <w:jc w:val="left"/>
                  </w:pPr>
                  <w:r>
                    <w:rPr>
                      <w:rFonts w:ascii="宋体" w:hAnsi="宋体" w:cs="宋体" w:eastAsia="宋体"/>
                      <w:sz w:val="20"/>
                    </w:rPr>
                    <w:t>3.3.2分组视图</w:t>
                  </w:r>
                </w:p>
                <w:p>
                  <w:pPr>
                    <w:pStyle w:val="null3"/>
                    <w:jc w:val="left"/>
                  </w:pPr>
                  <w:r>
                    <w:rPr>
                      <w:rFonts w:ascii="宋体" w:hAnsi="宋体" w:cs="宋体" w:eastAsia="宋体"/>
                      <w:sz w:val="20"/>
                    </w:rPr>
                    <w:t>可对原数据进行分组、聚合处理后的数据集结构简单，数据可用性更高，更加方便后续在仪表板或报表中使用。</w:t>
                  </w:r>
                </w:p>
                <w:p>
                  <w:pPr>
                    <w:pStyle w:val="null3"/>
                    <w:jc w:val="left"/>
                  </w:pPr>
                  <w:r>
                    <w:rPr>
                      <w:rFonts w:ascii="宋体" w:hAnsi="宋体" w:cs="宋体" w:eastAsia="宋体"/>
                      <w:sz w:val="20"/>
                    </w:rPr>
                    <w:t>将字段拖拽到分组区域即可按照该字段进行分组。</w:t>
                  </w:r>
                </w:p>
                <w:p>
                  <w:pPr>
                    <w:pStyle w:val="null3"/>
                    <w:jc w:val="left"/>
                  </w:pPr>
                  <w:r>
                    <w:rPr>
                      <w:rFonts w:ascii="宋体" w:hAnsi="宋体" w:cs="宋体" w:eastAsia="宋体"/>
                      <w:sz w:val="20"/>
                    </w:rPr>
                    <w:t>将字段拖拽到聚合区域即可对其进行聚合运算。对于数值型的字段支持的聚合运算有</w:t>
                  </w:r>
                  <w:r>
                    <w:rPr>
                      <w:rFonts w:ascii="宋体" w:hAnsi="宋体" w:cs="宋体" w:eastAsia="宋体"/>
                      <w:sz w:val="20"/>
                    </w:rPr>
                    <w:t>Sum、Average、Max、Min；而对于非数值型字段则可以进行Count和Distinct Count运算。</w:t>
                  </w:r>
                </w:p>
                <w:p>
                  <w:pPr>
                    <w:pStyle w:val="null3"/>
                    <w:jc w:val="left"/>
                  </w:pPr>
                  <w:r>
                    <w:rPr>
                      <w:rFonts w:ascii="宋体" w:hAnsi="宋体" w:cs="宋体" w:eastAsia="宋体"/>
                      <w:sz w:val="20"/>
                    </w:rPr>
                    <w:t>3.3.3添加自定义字段</w:t>
                  </w:r>
                </w:p>
                <w:p>
                  <w:pPr>
                    <w:pStyle w:val="null3"/>
                    <w:jc w:val="left"/>
                  </w:pPr>
                  <w:r>
                    <w:rPr>
                      <w:rFonts w:ascii="宋体" w:hAnsi="宋体" w:cs="宋体" w:eastAsia="宋体"/>
                      <w:sz w:val="20"/>
                    </w:rPr>
                    <w:t>添加自定义字段可以在不影响原数据的情况下通过对现有数据进行计算而得到一个新的数据字段。</w:t>
                  </w:r>
                </w:p>
                <w:p>
                  <w:pPr>
                    <w:pStyle w:val="null3"/>
                    <w:jc w:val="left"/>
                  </w:pPr>
                  <w:r>
                    <w:rPr>
                      <w:rFonts w:ascii="宋体" w:hAnsi="宋体" w:cs="宋体" w:eastAsia="宋体"/>
                      <w:sz w:val="20"/>
                    </w:rPr>
                    <w:t>3.3.4缓存数据集</w:t>
                  </w:r>
                </w:p>
                <w:p>
                  <w:pPr>
                    <w:pStyle w:val="null3"/>
                    <w:jc w:val="left"/>
                  </w:pPr>
                  <w:r>
                    <w:rPr>
                      <w:rFonts w:ascii="宋体" w:hAnsi="宋体" w:cs="宋体" w:eastAsia="宋体"/>
                      <w:sz w:val="20"/>
                    </w:rPr>
                    <w:t>缓存数据集可以同时被仪表板和报表引用，方便用户在不同的可视化模块中建立分析文件。</w:t>
                  </w:r>
                </w:p>
                <w:p>
                  <w:pPr>
                    <w:pStyle w:val="null3"/>
                    <w:jc w:val="left"/>
                  </w:pPr>
                  <w:r>
                    <w:rPr>
                      <w:rFonts w:ascii="宋体" w:hAnsi="宋体" w:cs="宋体" w:eastAsia="宋体"/>
                      <w:sz w:val="20"/>
                    </w:rPr>
                    <w:t>3.4 数据分析指标</w:t>
                  </w:r>
                </w:p>
                <w:p>
                  <w:pPr>
                    <w:pStyle w:val="null3"/>
                    <w:jc w:val="left"/>
                  </w:pPr>
                  <w:r>
                    <w:rPr>
                      <w:rFonts w:ascii="宋体" w:hAnsi="宋体" w:cs="宋体" w:eastAsia="宋体"/>
                      <w:sz w:val="20"/>
                    </w:rPr>
                    <w:t>财务分析指标、税务分析指标、金融分析指标等。</w:t>
                  </w:r>
                </w:p>
                <w:p>
                  <w:pPr>
                    <w:pStyle w:val="null3"/>
                    <w:jc w:val="left"/>
                  </w:pPr>
                  <w:r>
                    <w:rPr>
                      <w:rFonts w:ascii="宋体" w:hAnsi="宋体" w:cs="宋体" w:eastAsia="宋体"/>
                      <w:sz w:val="20"/>
                    </w:rPr>
                    <w:t>3.5 统计分析库</w:t>
                  </w:r>
                </w:p>
                <w:p>
                  <w:pPr>
                    <w:pStyle w:val="null3"/>
                    <w:jc w:val="left"/>
                  </w:pPr>
                  <w:r>
                    <w:rPr>
                      <w:rFonts w:ascii="宋体" w:hAnsi="宋体" w:cs="宋体" w:eastAsia="宋体"/>
                      <w:sz w:val="20"/>
                    </w:rPr>
                    <w:t>提供</w:t>
                  </w:r>
                  <w:r>
                    <w:rPr>
                      <w:rFonts w:ascii="宋体" w:hAnsi="宋体" w:cs="宋体" w:eastAsia="宋体"/>
                      <w:sz w:val="20"/>
                    </w:rPr>
                    <w:t>python编程语言在线开发平台，该系统采用最新的python3.9版本，环境已安装Numpy、Pandas、Matplotlib、Pyecharts等数据分析库，Tensorflow、Paddle等深度学习库，与教学系统、测评系统深度集成，将教学代码自动带入开发环境，并能进行用户登录管理、试题自动评分，适用于《大数据审计技术》课程的教学和学生训练。</w:t>
                  </w:r>
                </w:p>
                <w:p>
                  <w:pPr>
                    <w:pStyle w:val="null3"/>
                    <w:jc w:val="left"/>
                  </w:pPr>
                  <w:r>
                    <w:rPr>
                      <w:rFonts w:ascii="宋体" w:hAnsi="宋体" w:cs="宋体" w:eastAsia="宋体"/>
                      <w:sz w:val="20"/>
                    </w:rPr>
                    <w:t>★3.5.1 开发平台采用云端操作，已预置常用的开发库，无需本地安装开发环境，轻松支持各种数据分析、机器学习任务。</w:t>
                  </w:r>
                </w:p>
                <w:p>
                  <w:pPr>
                    <w:pStyle w:val="null3"/>
                    <w:jc w:val="left"/>
                  </w:pPr>
                  <w:r>
                    <w:rPr>
                      <w:rFonts w:ascii="宋体" w:hAnsi="宋体" w:cs="宋体" w:eastAsia="宋体"/>
                      <w:sz w:val="20"/>
                    </w:rPr>
                    <w:t>3.5.2 与本地无差异的编程体验，所见即所得。分布操作、界面友好，支持代码高亮、补全，逐步调试、数据可视化。</w:t>
                  </w:r>
                </w:p>
                <w:p>
                  <w:pPr>
                    <w:pStyle w:val="null3"/>
                    <w:jc w:val="left"/>
                  </w:pPr>
                  <w:r>
                    <w:rPr>
                      <w:rFonts w:ascii="宋体" w:hAnsi="宋体" w:cs="宋体" w:eastAsia="宋体"/>
                      <w:sz w:val="20"/>
                    </w:rPr>
                    <w:t>3.5.3 方便数据文件导入，集成MySQL数据库，无需安装数据库，可方便直接连接数据库进行操作。</w:t>
                  </w:r>
                </w:p>
                <w:p>
                  <w:pPr>
                    <w:pStyle w:val="null3"/>
                    <w:jc w:val="left"/>
                  </w:pPr>
                  <w:r>
                    <w:rPr>
                      <w:rFonts w:ascii="宋体" w:hAnsi="宋体" w:cs="宋体" w:eastAsia="宋体"/>
                      <w:sz w:val="20"/>
                    </w:rPr>
                    <w:t>3.5.4 提供本地数据采集方法</w:t>
                  </w:r>
                </w:p>
                <w:p>
                  <w:pPr>
                    <w:pStyle w:val="null3"/>
                    <w:jc w:val="left"/>
                  </w:pPr>
                  <w:r>
                    <w:rPr>
                      <w:rFonts w:ascii="宋体" w:hAnsi="宋体" w:cs="宋体" w:eastAsia="宋体"/>
                      <w:sz w:val="20"/>
                    </w:rPr>
                    <w:t>★3.5.5操作数据云存储，可永久保留个人数据。</w:t>
                  </w:r>
                </w:p>
                <w:p>
                  <w:pPr>
                    <w:pStyle w:val="null3"/>
                    <w:jc w:val="left"/>
                  </w:pPr>
                  <w:r>
                    <w:rPr>
                      <w:rFonts w:ascii="宋体" w:hAnsi="宋体" w:cs="宋体" w:eastAsia="宋体"/>
                      <w:sz w:val="20"/>
                    </w:rPr>
                    <w:t>4.大数据可视化模块</w:t>
                  </w:r>
                </w:p>
                <w:p>
                  <w:pPr>
                    <w:pStyle w:val="null3"/>
                    <w:jc w:val="left"/>
                  </w:pPr>
                  <w:r>
                    <w:rPr>
                      <w:rFonts w:ascii="宋体" w:hAnsi="宋体" w:cs="宋体" w:eastAsia="宋体"/>
                      <w:sz w:val="20"/>
                    </w:rPr>
                    <w:t>4.1 仪表板</w:t>
                  </w:r>
                </w:p>
                <w:p>
                  <w:pPr>
                    <w:pStyle w:val="null3"/>
                    <w:jc w:val="left"/>
                  </w:pPr>
                  <w:r>
                    <w:rPr>
                      <w:rFonts w:ascii="宋体" w:hAnsi="宋体" w:cs="宋体" w:eastAsia="宋体"/>
                      <w:sz w:val="20"/>
                    </w:rPr>
                    <w:t>以拖拽方式快速设计仪表板，而且支持多页面仪表板功能</w:t>
                  </w:r>
                  <w:r>
                    <w:rPr>
                      <w:rFonts w:ascii="宋体" w:hAnsi="宋体" w:cs="宋体" w:eastAsia="宋体"/>
                      <w:sz w:val="20"/>
                    </w:rPr>
                    <w:t>,可以在一个仪表板中分配展示不同的数据页面。</w:t>
                  </w:r>
                </w:p>
                <w:p>
                  <w:pPr>
                    <w:pStyle w:val="null3"/>
                    <w:jc w:val="left"/>
                  </w:pPr>
                  <w:r>
                    <w:rPr>
                      <w:rFonts w:ascii="宋体" w:hAnsi="宋体" w:cs="宋体" w:eastAsia="宋体"/>
                      <w:sz w:val="20"/>
                    </w:rPr>
                    <w:t>★4.1.1 计算图表</w:t>
                  </w:r>
                </w:p>
                <w:p>
                  <w:pPr>
                    <w:pStyle w:val="null3"/>
                    <w:jc w:val="left"/>
                  </w:pPr>
                  <w:r>
                    <w:rPr>
                      <w:rFonts w:ascii="宋体" w:hAnsi="宋体" w:cs="宋体" w:eastAsia="宋体"/>
                      <w:sz w:val="20"/>
                    </w:rPr>
                    <w:t>支持</w:t>
                  </w:r>
                  <w:r>
                    <w:rPr>
                      <w:rFonts w:ascii="宋体" w:hAnsi="宋体" w:cs="宋体" w:eastAsia="宋体"/>
                      <w:sz w:val="20"/>
                    </w:rPr>
                    <w:t>Excel 的数据分析方式和 450+ 计算公式完整的集成到仪表板设计器中，为BI仪表板提供增强型计算分析能力。重要使用场景包括：</w:t>
                  </w:r>
                </w:p>
                <w:p>
                  <w:pPr>
                    <w:pStyle w:val="null3"/>
                    <w:jc w:val="left"/>
                  </w:pPr>
                  <w:r>
                    <w:rPr>
                      <w:rFonts w:ascii="宋体" w:hAnsi="宋体" w:cs="宋体" w:eastAsia="宋体"/>
                      <w:sz w:val="20"/>
                    </w:rPr>
                    <w:t>4.1.2跨数据集的计算分析，例如：销售、预算与回款分析；现金流、资产和利润分析；计划、执行和完成率分析等。</w:t>
                  </w:r>
                </w:p>
                <w:p>
                  <w:pPr>
                    <w:pStyle w:val="null3"/>
                    <w:jc w:val="left"/>
                  </w:pPr>
                  <w:r>
                    <w:rPr>
                      <w:rFonts w:ascii="宋体" w:hAnsi="宋体" w:cs="宋体" w:eastAsia="宋体"/>
                      <w:sz w:val="20"/>
                    </w:rPr>
                    <w:t>4.1.3系统数据和录入数据联合分析，例如：基于系统中2010-2019历史数据，进行2020年的预算制定与分析的需要。</w:t>
                  </w:r>
                </w:p>
                <w:p>
                  <w:pPr>
                    <w:pStyle w:val="null3"/>
                    <w:jc w:val="left"/>
                  </w:pPr>
                  <w:r>
                    <w:rPr>
                      <w:rFonts w:ascii="宋体" w:hAnsi="宋体" w:cs="宋体" w:eastAsia="宋体"/>
                      <w:sz w:val="20"/>
                    </w:rPr>
                    <w:t>4.1.4各种比例计算分析，例如：当月销售收入、当月销售预算、累计销售收入、累计预算、当月销售完成率、累计销售完成率等。</w:t>
                  </w:r>
                </w:p>
                <w:p>
                  <w:pPr>
                    <w:pStyle w:val="null3"/>
                    <w:jc w:val="left"/>
                  </w:pPr>
                  <w:r>
                    <w:rPr>
                      <w:rFonts w:ascii="宋体" w:hAnsi="宋体" w:cs="宋体" w:eastAsia="宋体"/>
                      <w:sz w:val="20"/>
                    </w:rPr>
                    <w:t>4.1.5行业特殊计算公式，例如：财务、日期和时间、统计、文本、逻辑、信息、工程、Web等领域需要提供了计算公式。</w:t>
                  </w:r>
                </w:p>
                <w:p>
                  <w:pPr>
                    <w:pStyle w:val="null3"/>
                    <w:jc w:val="left"/>
                  </w:pPr>
                  <w:r>
                    <w:rPr>
                      <w:rFonts w:ascii="宋体" w:hAnsi="宋体" w:cs="宋体" w:eastAsia="宋体"/>
                      <w:sz w:val="20"/>
                    </w:rPr>
                    <w:t>★4.1.6 丰富的数据可视化效果</w:t>
                  </w:r>
                </w:p>
                <w:p>
                  <w:pPr>
                    <w:pStyle w:val="null3"/>
                    <w:jc w:val="left"/>
                  </w:pPr>
                  <w:r>
                    <w:rPr>
                      <w:rFonts w:ascii="宋体" w:hAnsi="宋体" w:cs="宋体" w:eastAsia="宋体"/>
                      <w:sz w:val="20"/>
                    </w:rPr>
                    <w:t>仪表板内置</w:t>
                  </w:r>
                  <w:r>
                    <w:rPr>
                      <w:rFonts w:ascii="宋体" w:hAnsi="宋体" w:cs="宋体" w:eastAsia="宋体"/>
                      <w:sz w:val="20"/>
                    </w:rPr>
                    <w:t>30种以上数据可视化效果，包括：条形图、柱状图、折线图、面积图、饼图、玫瑰图、旭日图、雷达图、散点图、气泡图、树形图、组合图、KPI指标卡、2D地图、3D地图、表格、透视表、迷你图等。同时，完全开放的可视化插件机制，可以将Echarts、D3.js、ChartJS、G2、3D模型等集成到仪表板中，满足任何可视化效果的需要。</w:t>
                  </w:r>
                </w:p>
                <w:p>
                  <w:pPr>
                    <w:pStyle w:val="null3"/>
                    <w:jc w:val="left"/>
                  </w:pPr>
                  <w:r>
                    <w:rPr>
                      <w:rFonts w:ascii="宋体" w:hAnsi="宋体" w:cs="宋体" w:eastAsia="宋体"/>
                      <w:sz w:val="20"/>
                    </w:rPr>
                    <w:t>4.1.7 全程自动化：在仪表板设计阶段，您可以配置仪表板的自动换页周期、数据自动刷新的时间等。</w:t>
                  </w:r>
                </w:p>
                <w:p>
                  <w:pPr>
                    <w:pStyle w:val="null3"/>
                    <w:jc w:val="left"/>
                  </w:pPr>
                  <w:r>
                    <w:rPr>
                      <w:rFonts w:ascii="宋体" w:hAnsi="宋体" w:cs="宋体" w:eastAsia="宋体"/>
                      <w:sz w:val="20"/>
                    </w:rPr>
                    <w:t>4.1.8 3D动画特效：提供3D旋转KPI、3D旋转图片、动画数字、3D地图等可视化效果，同时，还能集成视频/摄像头、3D模型等。</w:t>
                  </w:r>
                </w:p>
                <w:p>
                  <w:pPr>
                    <w:pStyle w:val="null3"/>
                    <w:jc w:val="left"/>
                  </w:pPr>
                  <w:r>
                    <w:rPr>
                      <w:rFonts w:ascii="宋体" w:hAnsi="宋体" w:cs="宋体" w:eastAsia="宋体"/>
                      <w:sz w:val="20"/>
                    </w:rPr>
                    <w:t>4.1.9  数据切片、联动分析与钻取分析</w:t>
                  </w:r>
                </w:p>
                <w:p>
                  <w:pPr>
                    <w:pStyle w:val="null3"/>
                    <w:jc w:val="left"/>
                  </w:pPr>
                  <w:r>
                    <w:rPr>
                      <w:rFonts w:ascii="宋体" w:hAnsi="宋体" w:cs="宋体" w:eastAsia="宋体"/>
                      <w:sz w:val="20"/>
                    </w:rPr>
                    <w:t>在仪表板中，可以添加多种数据切片器，包括：日期范围、相对日期、列表、树形列表、文本标签等。在使用仪表板时，支持通过切片器筛选数据，支持联动分析，支持钻取分析。</w:t>
                  </w:r>
                </w:p>
                <w:p>
                  <w:pPr>
                    <w:pStyle w:val="null3"/>
                    <w:jc w:val="left"/>
                  </w:pPr>
                  <w:r>
                    <w:rPr>
                      <w:rFonts w:ascii="宋体" w:hAnsi="宋体" w:cs="宋体" w:eastAsia="宋体"/>
                      <w:sz w:val="20"/>
                    </w:rPr>
                    <w:t>★4.1.10  运行时数据探索分析</w:t>
                  </w:r>
                </w:p>
                <w:p>
                  <w:pPr>
                    <w:pStyle w:val="null3"/>
                    <w:jc w:val="left"/>
                  </w:pPr>
                  <w:r>
                    <w:rPr>
                      <w:rFonts w:ascii="宋体" w:hAnsi="宋体" w:cs="宋体" w:eastAsia="宋体"/>
                      <w:sz w:val="20"/>
                    </w:rPr>
                    <w:t>仪表板提供运行时的高级数据探索分析功能，可以对数据进行实时分析。</w:t>
                  </w:r>
                </w:p>
                <w:p>
                  <w:pPr>
                    <w:pStyle w:val="null3"/>
                    <w:jc w:val="left"/>
                  </w:pPr>
                  <w:r>
                    <w:rPr>
                      <w:rFonts w:ascii="宋体" w:hAnsi="宋体" w:cs="宋体" w:eastAsia="宋体"/>
                      <w:sz w:val="20"/>
                    </w:rPr>
                    <w:t>4.2  报表</w:t>
                  </w:r>
                </w:p>
                <w:p>
                  <w:pPr>
                    <w:pStyle w:val="null3"/>
                    <w:jc w:val="left"/>
                  </w:pPr>
                  <w:r>
                    <w:rPr>
                      <w:rFonts w:ascii="宋体" w:hAnsi="宋体" w:cs="宋体" w:eastAsia="宋体"/>
                      <w:sz w:val="20"/>
                    </w:rPr>
                    <w:t>基于</w:t>
                  </w:r>
                  <w:r>
                    <w:rPr>
                      <w:rFonts w:ascii="宋体" w:hAnsi="宋体" w:cs="宋体" w:eastAsia="宋体"/>
                      <w:sz w:val="20"/>
                    </w:rPr>
                    <w:t>HTML5的在线报表设计器，可自定义报表设计，快速搭建分析报表。可跨桌面电脑、平板电脑及手持设备等平台显示设计报表。在设计时即可预览最终效果，随时修改设计。</w:t>
                  </w:r>
                </w:p>
                <w:p>
                  <w:pPr>
                    <w:pStyle w:val="null3"/>
                    <w:jc w:val="left"/>
                  </w:pPr>
                  <w:r>
                    <w:rPr>
                      <w:rFonts w:ascii="宋体" w:hAnsi="宋体" w:cs="宋体" w:eastAsia="宋体"/>
                      <w:sz w:val="20"/>
                    </w:rPr>
                    <w:t>4.2.1 支持多数据源查询、计算公式</w:t>
                  </w:r>
                </w:p>
                <w:p>
                  <w:pPr>
                    <w:pStyle w:val="null3"/>
                    <w:jc w:val="left"/>
                  </w:pPr>
                  <w:r>
                    <w:rPr>
                      <w:rFonts w:ascii="宋体" w:hAnsi="宋体" w:cs="宋体" w:eastAsia="宋体"/>
                      <w:sz w:val="20"/>
                    </w:rPr>
                    <w:t>同一张报表可以连接到多个数据源进行查询。报表支持添加多数据集、跨数据集运算功能。设计器中提供了日期、文本、数学、逻辑运算、数据聚合、数据转换等函数，便于在报表内进行数据的二次运算。</w:t>
                  </w:r>
                </w:p>
                <w:p>
                  <w:pPr>
                    <w:pStyle w:val="null3"/>
                    <w:jc w:val="left"/>
                  </w:pPr>
                  <w:r>
                    <w:rPr>
                      <w:rFonts w:ascii="宋体" w:hAnsi="宋体" w:cs="宋体" w:eastAsia="宋体"/>
                      <w:sz w:val="20"/>
                    </w:rPr>
                    <w:t>4.2.2 可创建各种样式的报表</w:t>
                  </w:r>
                </w:p>
                <w:p>
                  <w:pPr>
                    <w:pStyle w:val="null3"/>
                    <w:jc w:val="left"/>
                  </w:pPr>
                  <w:r>
                    <w:rPr>
                      <w:rFonts w:ascii="宋体" w:hAnsi="宋体" w:cs="宋体" w:eastAsia="宋体"/>
                      <w:sz w:val="20"/>
                    </w:rPr>
                    <w:t>设计器中提供表格、矩表、图表、迷你图、数据条、图片、条码</w:t>
                  </w:r>
                  <w:r>
                    <w:rPr>
                      <w:rFonts w:ascii="宋体" w:hAnsi="宋体" w:cs="宋体" w:eastAsia="宋体"/>
                      <w:sz w:val="20"/>
                    </w:rPr>
                    <w:t>(37种)、子报表、文档目录、文本框、复选框等报表元素，可创建二维表格、自由表格、交叉表、主子/主从报表、Excel数据透视表、Word聚合文档报告、图表可视化等类型的报表。</w:t>
                  </w:r>
                </w:p>
                <w:p>
                  <w:pPr>
                    <w:pStyle w:val="null3"/>
                    <w:jc w:val="left"/>
                  </w:pPr>
                  <w:r>
                    <w:rPr>
                      <w:rFonts w:ascii="宋体" w:hAnsi="宋体" w:cs="宋体" w:eastAsia="宋体"/>
                      <w:sz w:val="20"/>
                    </w:rPr>
                    <w:t>★4.2.3 矩表功能</w:t>
                  </w:r>
                </w:p>
                <w:p>
                  <w:pPr>
                    <w:pStyle w:val="null3"/>
                    <w:jc w:val="left"/>
                  </w:pPr>
                  <w:r>
                    <w:rPr>
                      <w:rFonts w:ascii="宋体" w:hAnsi="宋体" w:cs="宋体" w:eastAsia="宋体"/>
                      <w:sz w:val="20"/>
                    </w:rPr>
                    <w:t>矩表功能，可快速设计各种表格类型的报表，满足复杂报表的需要。比如：表单、二维表格、主从报表、多行布局表格、行列交叉表、数据透视表、多维度动态行列表格、树形表格、可折叠透视表等。而且提供</w:t>
                  </w:r>
                  <w:r>
                    <w:rPr>
                      <w:rFonts w:ascii="宋体" w:hAnsi="宋体" w:cs="宋体" w:eastAsia="宋体"/>
                      <w:sz w:val="20"/>
                    </w:rPr>
                    <w:t>Excel报表中的冻结行列、条件格式化、富文本单元格、进度条、迷你图等数据可视化功能。</w:t>
                  </w:r>
                </w:p>
                <w:p>
                  <w:pPr>
                    <w:pStyle w:val="null3"/>
                    <w:jc w:val="left"/>
                  </w:pPr>
                  <w:r>
                    <w:rPr>
                      <w:rFonts w:ascii="宋体" w:hAnsi="宋体" w:cs="宋体" w:eastAsia="宋体"/>
                      <w:sz w:val="20"/>
                    </w:rPr>
                    <w:t>4.2.4 图表功能</w:t>
                  </w:r>
                </w:p>
                <w:p>
                  <w:pPr>
                    <w:pStyle w:val="null3"/>
                    <w:jc w:val="left"/>
                  </w:pPr>
                  <w:r>
                    <w:rPr>
                      <w:rFonts w:ascii="宋体" w:hAnsi="宋体" w:cs="宋体" w:eastAsia="宋体"/>
                      <w:sz w:val="20"/>
                    </w:rPr>
                    <w:t>图表可进行数据绑定。可进行颜色、形状和大小调整，并提供切换坐标系、旋转角度等样式选项。</w:t>
                  </w:r>
                </w:p>
                <w:p>
                  <w:pPr>
                    <w:pStyle w:val="null3"/>
                    <w:jc w:val="left"/>
                  </w:pPr>
                  <w:r>
                    <w:rPr>
                      <w:rFonts w:ascii="宋体" w:hAnsi="宋体" w:cs="宋体" w:eastAsia="宋体"/>
                      <w:sz w:val="20"/>
                    </w:rPr>
                    <w:t>4.2.5 数据查询面板</w:t>
                  </w:r>
                </w:p>
                <w:p>
                  <w:pPr>
                    <w:pStyle w:val="null3"/>
                    <w:jc w:val="left"/>
                  </w:pPr>
                  <w:r>
                    <w:rPr>
                      <w:rFonts w:ascii="宋体" w:hAnsi="宋体" w:cs="宋体" w:eastAsia="宋体"/>
                      <w:sz w:val="20"/>
                    </w:rPr>
                    <w:t>自定义查询面板功能，无需任何编码便可创建复杂的查询条件。内置提供组织结构树、日期、日期范围、下拉框、列表框、数值、数值范围、单选、复选等</w:t>
                  </w:r>
                  <w:r>
                    <w:rPr>
                      <w:rFonts w:ascii="宋体" w:hAnsi="宋体" w:cs="宋体" w:eastAsia="宋体"/>
                      <w:sz w:val="20"/>
                    </w:rPr>
                    <w:t>12 种控件。</w:t>
                  </w:r>
                </w:p>
                <w:p>
                  <w:pPr>
                    <w:pStyle w:val="null3"/>
                    <w:jc w:val="left"/>
                  </w:pPr>
                  <w:r>
                    <w:rPr>
                      <w:rFonts w:ascii="宋体" w:hAnsi="宋体" w:cs="宋体" w:eastAsia="宋体"/>
                      <w:sz w:val="20"/>
                    </w:rPr>
                    <w:t>4.2.6 交互式报表功能</w:t>
                  </w:r>
                </w:p>
                <w:p>
                  <w:pPr>
                    <w:pStyle w:val="null3"/>
                    <w:jc w:val="left"/>
                  </w:pPr>
                  <w:r>
                    <w:rPr>
                      <w:rFonts w:ascii="宋体" w:hAnsi="宋体" w:cs="宋体" w:eastAsia="宋体"/>
                      <w:sz w:val="20"/>
                    </w:rPr>
                    <w:t>在查看报表时，可以使用交互功能，包括：数据查询过滤、报表下钻</w:t>
                  </w:r>
                  <w:r>
                    <w:rPr>
                      <w:rFonts w:ascii="宋体" w:hAnsi="宋体" w:cs="宋体" w:eastAsia="宋体"/>
                      <w:sz w:val="20"/>
                    </w:rPr>
                    <w:t>/上卷、图表联动、跳转至URL、表格排序、表格行列的折叠/展开、翻页导航、历史回退等。</w:t>
                  </w:r>
                </w:p>
                <w:p>
                  <w:pPr>
                    <w:pStyle w:val="null3"/>
                    <w:jc w:val="left"/>
                  </w:pPr>
                  <w:r>
                    <w:rPr>
                      <w:rFonts w:ascii="宋体" w:hAnsi="宋体" w:cs="宋体" w:eastAsia="宋体"/>
                      <w:sz w:val="20"/>
                    </w:rPr>
                    <w:t>4.2.7 内置报表主题和样式</w:t>
                  </w:r>
                </w:p>
                <w:p>
                  <w:pPr>
                    <w:pStyle w:val="null3"/>
                    <w:jc w:val="left"/>
                  </w:pPr>
                  <w:r>
                    <w:rPr>
                      <w:rFonts w:ascii="宋体" w:hAnsi="宋体" w:cs="宋体" w:eastAsia="宋体"/>
                      <w:sz w:val="20"/>
                    </w:rPr>
                    <w:t>内置的报表主题可以控制整个报表中图表和表格元素的配色风格，还能针对单个元素设置不同的外观样式。</w:t>
                  </w:r>
                </w:p>
                <w:p>
                  <w:pPr>
                    <w:pStyle w:val="null3"/>
                    <w:jc w:val="left"/>
                  </w:pPr>
                  <w:r>
                    <w:rPr>
                      <w:rFonts w:ascii="宋体" w:hAnsi="宋体" w:cs="宋体" w:eastAsia="宋体"/>
                      <w:sz w:val="20"/>
                    </w:rPr>
                    <w:t>4.2.8 报表分层设计实现报表套打功能</w:t>
                  </w:r>
                </w:p>
                <w:p>
                  <w:pPr>
                    <w:pStyle w:val="null3"/>
                    <w:jc w:val="left"/>
                  </w:pPr>
                  <w:r>
                    <w:rPr>
                      <w:rFonts w:ascii="宋体" w:hAnsi="宋体" w:cs="宋体" w:eastAsia="宋体"/>
                      <w:sz w:val="20"/>
                    </w:rPr>
                    <w:t>报表分层设计功能，可对每个报表层单独设置是否显示和透明度属性，还能控制每层中的元素是否需要在报表预览、打印时显示。</w:t>
                  </w:r>
                </w:p>
                <w:p>
                  <w:pPr>
                    <w:pStyle w:val="null3"/>
                    <w:jc w:val="left"/>
                  </w:pPr>
                  <w:r>
                    <w:rPr>
                      <w:rFonts w:ascii="宋体" w:hAnsi="宋体" w:cs="宋体" w:eastAsia="宋体"/>
                      <w:sz w:val="20"/>
                    </w:rPr>
                    <w:t>★4.2.9 报表导出格式和高级选项设置</w:t>
                  </w:r>
                </w:p>
                <w:p>
                  <w:pPr>
                    <w:pStyle w:val="null3"/>
                    <w:jc w:val="left"/>
                  </w:pPr>
                  <w:r>
                    <w:rPr>
                      <w:rFonts w:ascii="宋体" w:hAnsi="宋体" w:cs="宋体" w:eastAsia="宋体"/>
                      <w:sz w:val="20"/>
                    </w:rPr>
                    <w:t>报表支持导出为</w:t>
                  </w:r>
                  <w:r>
                    <w:rPr>
                      <w:rFonts w:ascii="宋体" w:hAnsi="宋体" w:cs="宋体" w:eastAsia="宋体"/>
                      <w:sz w:val="20"/>
                    </w:rPr>
                    <w:t>Excel、Word、PDF、图片、网页、CSV、Txt纯文本、JSON 格式，并支持导出的高级选项设置，比如：Excel加密、是否拆分为多个工作表，PDF版本、嵌入字体等。</w:t>
                  </w:r>
                </w:p>
                <w:p>
                  <w:pPr>
                    <w:pStyle w:val="null3"/>
                    <w:jc w:val="left"/>
                  </w:pPr>
                  <w:r>
                    <w:rPr>
                      <w:rFonts w:ascii="宋体" w:hAnsi="宋体" w:cs="宋体" w:eastAsia="宋体"/>
                      <w:sz w:val="20"/>
                    </w:rPr>
                    <w:t>4.3多屏适配可视化方案</w:t>
                  </w:r>
                </w:p>
                <w:p>
                  <w:pPr>
                    <w:pStyle w:val="null3"/>
                    <w:jc w:val="left"/>
                  </w:pPr>
                  <w:r>
                    <w:rPr>
                      <w:rFonts w:ascii="宋体" w:hAnsi="宋体" w:cs="宋体" w:eastAsia="宋体"/>
                      <w:sz w:val="20"/>
                    </w:rPr>
                    <w:t>PC端运行，并提供多种屏幕自适应方式，原始大小、高度自适应、宽度自适应和全屏自适应。</w:t>
                  </w:r>
                </w:p>
                <w:p>
                  <w:pPr>
                    <w:pStyle w:val="null3"/>
                    <w:jc w:val="left"/>
                  </w:pPr>
                  <w:r>
                    <w:rPr>
                      <w:rFonts w:ascii="宋体" w:hAnsi="宋体" w:cs="宋体" w:eastAsia="宋体"/>
                      <w:sz w:val="20"/>
                    </w:rPr>
                    <w:t>移动端运行，每个仪表板默认具有响应式能力，无需二次设计便能自适应移动设备，同时，也可单独定制移动端的布局。</w:t>
                  </w:r>
                </w:p>
                <w:p>
                  <w:pPr>
                    <w:pStyle w:val="null3"/>
                    <w:jc w:val="left"/>
                  </w:pPr>
                  <w:r>
                    <w:rPr>
                      <w:rFonts w:ascii="宋体" w:hAnsi="宋体" w:cs="宋体" w:eastAsia="宋体"/>
                      <w:sz w:val="20"/>
                    </w:rPr>
                    <w:t>大屏展示，支持任意比例的大屏展示，同时，支持自动轮播，数据自动刷新等动态效果。</w:t>
                  </w:r>
                </w:p>
                <w:p>
                  <w:pPr>
                    <w:pStyle w:val="null3"/>
                    <w:jc w:val="left"/>
                  </w:pPr>
                  <w:r>
                    <w:rPr>
                      <w:rFonts w:ascii="宋体" w:hAnsi="宋体" w:cs="宋体" w:eastAsia="宋体"/>
                      <w:sz w:val="20"/>
                    </w:rPr>
                    <w:t>★4.4 权限管理</w:t>
                  </w:r>
                </w:p>
                <w:p>
                  <w:pPr>
                    <w:pStyle w:val="null3"/>
                    <w:jc w:val="left"/>
                  </w:pPr>
                  <w:r>
                    <w:rPr>
                      <w:rFonts w:ascii="宋体" w:hAnsi="宋体" w:cs="宋体" w:eastAsia="宋体"/>
                      <w:sz w:val="20"/>
                    </w:rPr>
                    <w:t>系统中的权限管理分为两个方面：一是对用户的权限管理；二是对文档的权限管理。</w:t>
                  </w:r>
                </w:p>
                <w:p>
                  <w:pPr>
                    <w:pStyle w:val="null3"/>
                    <w:jc w:val="left"/>
                  </w:pPr>
                  <w:r>
                    <w:rPr>
                      <w:rFonts w:ascii="宋体" w:hAnsi="宋体" w:cs="宋体" w:eastAsia="宋体"/>
                      <w:sz w:val="20"/>
                    </w:rPr>
                    <w:t>用户的权限管理：管理用户权限，是否可以查看仪表板、查看报表、创建数据源、创建仪表板、创建报表等。</w:t>
                  </w:r>
                </w:p>
                <w:p>
                  <w:pPr>
                    <w:pStyle w:val="null3"/>
                    <w:jc w:val="left"/>
                  </w:pPr>
                  <w:r>
                    <w:rPr>
                      <w:rFonts w:ascii="宋体" w:hAnsi="宋体" w:cs="宋体" w:eastAsia="宋体"/>
                      <w:sz w:val="20"/>
                    </w:rPr>
                    <w:t>文档的权限管理：控制文档的用户查看或编辑权限。分享时，可以分享文档的</w:t>
                  </w:r>
                  <w:r>
                    <w:rPr>
                      <w:rFonts w:ascii="宋体" w:hAnsi="宋体" w:cs="宋体" w:eastAsia="宋体"/>
                      <w:sz w:val="20"/>
                    </w:rPr>
                    <w:t>“只读”或“读写”权限。</w:t>
                  </w:r>
                </w:p>
                <w:p>
                  <w:pPr>
                    <w:pStyle w:val="null3"/>
                    <w:jc w:val="left"/>
                  </w:pPr>
                  <w:r>
                    <w:rPr>
                      <w:rFonts w:ascii="宋体" w:hAnsi="宋体" w:cs="宋体" w:eastAsia="宋体"/>
                      <w:sz w:val="20"/>
                    </w:rPr>
                    <w:t>5.人工智能模型模块</w:t>
                  </w:r>
                </w:p>
                <w:p>
                  <w:pPr>
                    <w:pStyle w:val="null3"/>
                    <w:jc w:val="left"/>
                  </w:pPr>
                  <w:r>
                    <w:rPr>
                      <w:rFonts w:ascii="宋体" w:hAnsi="宋体" w:cs="宋体" w:eastAsia="宋体"/>
                      <w:sz w:val="20"/>
                    </w:rPr>
                    <w:t>5.1特征工程</w:t>
                  </w:r>
                </w:p>
                <w:p>
                  <w:pPr>
                    <w:pStyle w:val="null3"/>
                    <w:jc w:val="left"/>
                  </w:pPr>
                  <w:r>
                    <w:rPr>
                      <w:rFonts w:ascii="宋体" w:hAnsi="宋体" w:cs="宋体" w:eastAsia="宋体"/>
                      <w:sz w:val="20"/>
                    </w:rPr>
                    <w:t>特征清洗、特征处理、特征选择、特征监控。</w:t>
                  </w:r>
                </w:p>
                <w:p>
                  <w:pPr>
                    <w:pStyle w:val="null3"/>
                    <w:jc w:val="left"/>
                  </w:pPr>
                  <w:r>
                    <w:rPr>
                      <w:rFonts w:ascii="宋体" w:hAnsi="宋体" w:cs="宋体" w:eastAsia="宋体"/>
                      <w:sz w:val="20"/>
                    </w:rPr>
                    <w:t>5.2机器学习模型</w:t>
                  </w:r>
                </w:p>
                <w:p>
                  <w:pPr>
                    <w:pStyle w:val="null3"/>
                    <w:jc w:val="left"/>
                  </w:pPr>
                  <w:r>
                    <w:rPr>
                      <w:rFonts w:ascii="宋体" w:hAnsi="宋体" w:cs="宋体" w:eastAsia="宋体"/>
                      <w:sz w:val="20"/>
                    </w:rPr>
                    <w:t>分类算法、回归算法、聚类算法、时间序列、文本分析、知识图谱、集成学习。</w:t>
                  </w:r>
                </w:p>
                <w:p>
                  <w:pPr>
                    <w:pStyle w:val="null3"/>
                    <w:jc w:val="left"/>
                  </w:pPr>
                  <w:r>
                    <w:rPr>
                      <w:rFonts w:ascii="宋体" w:hAnsi="宋体" w:cs="宋体" w:eastAsia="宋体"/>
                      <w:sz w:val="20"/>
                    </w:rPr>
                    <w:t>5.3深度学习模型</w:t>
                  </w:r>
                </w:p>
                <w:p>
                  <w:pPr>
                    <w:pStyle w:val="null3"/>
                    <w:jc w:val="left"/>
                  </w:pPr>
                  <w:r>
                    <w:rPr>
                      <w:rFonts w:ascii="宋体" w:hAnsi="宋体" w:cs="宋体" w:eastAsia="宋体"/>
                      <w:sz w:val="20"/>
                    </w:rPr>
                    <w:t>Keras、Tensorflow、Paddle等。</w:t>
                  </w:r>
                </w:p>
                <w:p>
                  <w:pPr>
                    <w:pStyle w:val="null3"/>
                    <w:jc w:val="left"/>
                  </w:pPr>
                  <w:r>
                    <w:rPr>
                      <w:rFonts w:ascii="宋体" w:hAnsi="宋体" w:cs="宋体" w:eastAsia="宋体"/>
                      <w:sz w:val="20"/>
                    </w:rPr>
                    <w:t>5.4模型评估</w:t>
                  </w:r>
                </w:p>
                <w:p>
                  <w:pPr>
                    <w:pStyle w:val="null3"/>
                    <w:jc w:val="left"/>
                  </w:pPr>
                  <w:r>
                    <w:rPr>
                      <w:rFonts w:ascii="宋体" w:hAnsi="宋体" w:cs="宋体" w:eastAsia="宋体"/>
                      <w:sz w:val="20"/>
                    </w:rPr>
                    <w:t>AUC、ROC、混淆矩阵等。</w:t>
                  </w:r>
                </w:p>
                <w:p>
                  <w:pPr>
                    <w:pStyle w:val="null3"/>
                    <w:jc w:val="left"/>
                  </w:pPr>
                  <w:r>
                    <w:rPr>
                      <w:rFonts w:ascii="宋体" w:hAnsi="宋体" w:cs="宋体" w:eastAsia="宋体"/>
                      <w:sz w:val="20"/>
                    </w:rPr>
                    <w:t>6.大数据存储模块</w:t>
                  </w:r>
                </w:p>
                <w:p>
                  <w:pPr>
                    <w:pStyle w:val="null3"/>
                    <w:jc w:val="left"/>
                  </w:pPr>
                  <w:r>
                    <w:rPr>
                      <w:rFonts w:ascii="宋体" w:hAnsi="宋体" w:cs="宋体" w:eastAsia="宋体"/>
                      <w:sz w:val="20"/>
                    </w:rPr>
                    <w:t>6.1原始数据（ODS层）</w:t>
                  </w:r>
                </w:p>
                <w:p>
                  <w:pPr>
                    <w:pStyle w:val="null3"/>
                    <w:jc w:val="left"/>
                  </w:pPr>
                  <w:r>
                    <w:rPr>
                      <w:rFonts w:ascii="宋体" w:hAnsi="宋体" w:cs="宋体" w:eastAsia="宋体"/>
                      <w:sz w:val="20"/>
                    </w:rPr>
                    <w:t>原始数据无处理地存放在数据仓库系统中。</w:t>
                  </w:r>
                </w:p>
                <w:p>
                  <w:pPr>
                    <w:pStyle w:val="null3"/>
                    <w:jc w:val="left"/>
                  </w:pPr>
                  <w:r>
                    <w:rPr>
                      <w:rFonts w:ascii="宋体" w:hAnsi="宋体" w:cs="宋体" w:eastAsia="宋体"/>
                      <w:sz w:val="20"/>
                    </w:rPr>
                    <w:t>6.2数据源（DWD层）</w:t>
                  </w:r>
                </w:p>
                <w:p>
                  <w:pPr>
                    <w:pStyle w:val="null3"/>
                    <w:jc w:val="left"/>
                  </w:pPr>
                  <w:r>
                    <w:rPr>
                      <w:rFonts w:ascii="宋体" w:hAnsi="宋体" w:cs="宋体" w:eastAsia="宋体"/>
                      <w:sz w:val="20"/>
                    </w:rPr>
                    <w:t>对原始数据进行清洗和一致性处理，存为事实数据表。</w:t>
                  </w:r>
                </w:p>
                <w:p>
                  <w:pPr>
                    <w:pStyle w:val="null3"/>
                    <w:jc w:val="left"/>
                  </w:pPr>
                  <w:r>
                    <w:rPr>
                      <w:rFonts w:ascii="宋体" w:hAnsi="宋体" w:cs="宋体" w:eastAsia="宋体"/>
                      <w:sz w:val="20"/>
                    </w:rPr>
                    <w:t>6.3数据集（DWS层）</w:t>
                  </w:r>
                </w:p>
                <w:p>
                  <w:pPr>
                    <w:pStyle w:val="null3"/>
                    <w:jc w:val="left"/>
                  </w:pPr>
                  <w:r>
                    <w:rPr>
                      <w:rFonts w:ascii="宋体" w:hAnsi="宋体" w:cs="宋体" w:eastAsia="宋体"/>
                      <w:sz w:val="20"/>
                    </w:rPr>
                    <w:t>以宽表化手段连接数据表。</w:t>
                  </w:r>
                </w:p>
                <w:p>
                  <w:pPr>
                    <w:pStyle w:val="null3"/>
                    <w:jc w:val="left"/>
                  </w:pPr>
                  <w:r>
                    <w:rPr>
                      <w:rFonts w:ascii="宋体" w:hAnsi="宋体" w:cs="宋体" w:eastAsia="宋体"/>
                      <w:sz w:val="20"/>
                    </w:rPr>
                    <w:t>6.4数据应用模型（ADS层）</w:t>
                  </w:r>
                </w:p>
                <w:p>
                  <w:pPr>
                    <w:pStyle w:val="null3"/>
                    <w:jc w:val="left"/>
                  </w:pPr>
                  <w:r>
                    <w:rPr>
                      <w:rFonts w:ascii="宋体" w:hAnsi="宋体" w:cs="宋体" w:eastAsia="宋体"/>
                      <w:sz w:val="20"/>
                    </w:rPr>
                    <w:t>根据业务需要，存放数据产品个性化的报表数据。</w:t>
                  </w:r>
                </w:p>
                <w:p>
                  <w:pPr>
                    <w:pStyle w:val="null3"/>
                    <w:jc w:val="left"/>
                  </w:pPr>
                  <w:r>
                    <w:rPr>
                      <w:rFonts w:ascii="宋体" w:hAnsi="宋体" w:cs="宋体" w:eastAsia="宋体"/>
                      <w:sz w:val="20"/>
                    </w:rPr>
                    <w:t>7.大数据模型应用模块</w:t>
                  </w:r>
                </w:p>
                <w:p>
                  <w:pPr>
                    <w:pStyle w:val="null3"/>
                    <w:jc w:val="left"/>
                  </w:pPr>
                  <w:r>
                    <w:rPr>
                      <w:rFonts w:ascii="宋体" w:hAnsi="宋体" w:cs="宋体" w:eastAsia="宋体"/>
                      <w:sz w:val="20"/>
                    </w:rPr>
                    <w:t>7.1专业分析模型</w:t>
                  </w:r>
                </w:p>
                <w:p>
                  <w:pPr>
                    <w:pStyle w:val="null3"/>
                    <w:jc w:val="left"/>
                  </w:pPr>
                  <w:r>
                    <w:rPr>
                      <w:rFonts w:ascii="宋体" w:hAnsi="宋体" w:cs="宋体" w:eastAsia="宋体"/>
                      <w:sz w:val="20"/>
                    </w:rPr>
                    <w:t>财务分析模型、审计分析模型、估值分析模型、商业分析模型等。</w:t>
                  </w:r>
                </w:p>
                <w:p>
                  <w:pPr>
                    <w:pStyle w:val="null3"/>
                    <w:jc w:val="left"/>
                  </w:pPr>
                  <w:r>
                    <w:rPr>
                      <w:rFonts w:ascii="宋体" w:hAnsi="宋体" w:cs="宋体" w:eastAsia="宋体"/>
                      <w:sz w:val="20"/>
                    </w:rPr>
                    <w:t>7.2数据分析报告</w:t>
                  </w:r>
                </w:p>
                <w:p>
                  <w:pPr>
                    <w:pStyle w:val="null3"/>
                    <w:jc w:val="left"/>
                  </w:pPr>
                  <w:r>
                    <w:rPr>
                      <w:rFonts w:ascii="宋体" w:hAnsi="宋体" w:cs="宋体" w:eastAsia="宋体"/>
                      <w:sz w:val="20"/>
                    </w:rPr>
                    <w:t>自动分析报告、智能分析报告。</w:t>
                  </w:r>
                </w:p>
                <w:p>
                  <w:pPr>
                    <w:pStyle w:val="null3"/>
                    <w:jc w:val="left"/>
                  </w:pPr>
                  <w:r>
                    <w:rPr>
                      <w:rFonts w:ascii="宋体" w:hAnsi="宋体" w:cs="宋体" w:eastAsia="宋体"/>
                      <w:sz w:val="20"/>
                    </w:rPr>
                    <w:t>7.3数据应用页面</w:t>
                  </w:r>
                </w:p>
                <w:p>
                  <w:pPr>
                    <w:pStyle w:val="null3"/>
                    <w:jc w:val="left"/>
                  </w:pPr>
                  <w:r>
                    <w:rPr>
                      <w:rFonts w:ascii="宋体" w:hAnsi="宋体" w:cs="宋体" w:eastAsia="宋体"/>
                      <w:sz w:val="20"/>
                    </w:rPr>
                    <w:t>汽车制造行业专题应用、工程建筑行业专题应用、金融行业专题应用、宏观经济专题应用等。</w:t>
                  </w:r>
                </w:p>
                <w:p>
                  <w:pPr>
                    <w:pStyle w:val="null3"/>
                    <w:jc w:val="left"/>
                  </w:pPr>
                  <w:r>
                    <w:rPr>
                      <w:rFonts w:ascii="宋体" w:hAnsi="宋体" w:cs="宋体" w:eastAsia="宋体"/>
                      <w:sz w:val="20"/>
                    </w:rPr>
                    <w:t>（二）供应链大数据仓库系统</w:t>
                  </w:r>
                </w:p>
                <w:p>
                  <w:pPr>
                    <w:pStyle w:val="null3"/>
                    <w:jc w:val="left"/>
                  </w:pPr>
                  <w:r>
                    <w:rPr>
                      <w:rFonts w:ascii="宋体" w:hAnsi="宋体" w:cs="宋体" w:eastAsia="宋体"/>
                      <w:sz w:val="20"/>
                    </w:rPr>
                    <w:t>1.产品大数据模块</w:t>
                  </w:r>
                </w:p>
                <w:p>
                  <w:pPr>
                    <w:pStyle w:val="null3"/>
                    <w:jc w:val="left"/>
                  </w:pPr>
                  <w:r>
                    <w:rPr>
                      <w:rFonts w:ascii="宋体" w:hAnsi="宋体" w:cs="宋体" w:eastAsia="宋体"/>
                      <w:sz w:val="20"/>
                    </w:rPr>
                    <w:t>包括商品分类表、分类组表、商品库表、商品访问表、订单表、订单明细表、买家信息表、买家收藏表、买家行为日志表等。</w:t>
                  </w:r>
                </w:p>
                <w:p>
                  <w:pPr>
                    <w:pStyle w:val="null3"/>
                    <w:jc w:val="left"/>
                  </w:pPr>
                  <w:r>
                    <w:rPr>
                      <w:rFonts w:ascii="宋体" w:hAnsi="宋体" w:cs="宋体" w:eastAsia="宋体"/>
                      <w:sz w:val="20"/>
                    </w:rPr>
                    <w:t>2.销售大数据模块</w:t>
                  </w:r>
                </w:p>
                <w:p>
                  <w:pPr>
                    <w:pStyle w:val="null3"/>
                    <w:jc w:val="left"/>
                  </w:pPr>
                  <w:r>
                    <w:rPr>
                      <w:rFonts w:ascii="宋体" w:hAnsi="宋体" w:cs="宋体" w:eastAsia="宋体"/>
                      <w:sz w:val="20"/>
                    </w:rPr>
                    <w:t>包括物料明细表、物料种类、物料大类、面辅料多收比率、物料小类</w:t>
                  </w:r>
                  <w:r>
                    <w:rPr>
                      <w:rFonts w:ascii="宋体" w:hAnsi="宋体" w:cs="宋体" w:eastAsia="宋体"/>
                      <w:sz w:val="20"/>
                    </w:rPr>
                    <w:t>、物料类型、订单</w:t>
                  </w:r>
                  <w:r>
                    <w:rPr>
                      <w:rFonts w:ascii="宋体" w:hAnsi="宋体" w:cs="宋体" w:eastAsia="宋体"/>
                      <w:sz w:val="20"/>
                    </w:rPr>
                    <w:t>-物料清单表、颜色表、单位表、订单-Bom明细表、订单-Bom清单表、订单-Bom头表、订单-颜色表、订单-头表、订单-船期明细表等。</w:t>
                  </w:r>
                </w:p>
                <w:p>
                  <w:pPr>
                    <w:pStyle w:val="null3"/>
                    <w:jc w:val="left"/>
                  </w:pPr>
                  <w:r>
                    <w:rPr>
                      <w:rFonts w:ascii="宋体" w:hAnsi="宋体" w:cs="宋体" w:eastAsia="宋体"/>
                      <w:sz w:val="20"/>
                    </w:rPr>
                    <w:t>3.市场大数据模块</w:t>
                  </w:r>
                </w:p>
                <w:p>
                  <w:pPr>
                    <w:pStyle w:val="null3"/>
                    <w:jc w:val="left"/>
                  </w:pPr>
                  <w:r>
                    <w:rPr>
                      <w:rFonts w:ascii="宋体" w:hAnsi="宋体" w:cs="宋体" w:eastAsia="宋体"/>
                      <w:sz w:val="20"/>
                    </w:rPr>
                    <w:t>包括销售相关的客户信息、信用卡信息、特殊优惠与产品的关联表，人事相关的商业实体信息、联系人类型信息，采购相关的供应商信息，人力资源相关的员工信息、员工部门历史记录、求职者信息、部门信息，生产相关的物料清单、产品子分类信息、产品模型信息、产品模型描述的文化版本、产品文档信息、工作订单信息、单位测量信息、电子邮件地址信息等。</w:t>
                  </w:r>
                </w:p>
                <w:p>
                  <w:pPr>
                    <w:pStyle w:val="null3"/>
                    <w:jc w:val="left"/>
                  </w:pPr>
                  <w:r>
                    <w:rPr>
                      <w:rFonts w:ascii="宋体" w:hAnsi="宋体" w:cs="宋体" w:eastAsia="宋体"/>
                      <w:sz w:val="20"/>
                    </w:rPr>
                    <w:t>4.供应链大数据模块</w:t>
                  </w:r>
                </w:p>
                <w:p>
                  <w:pPr>
                    <w:pStyle w:val="null3"/>
                    <w:jc w:val="left"/>
                  </w:pPr>
                  <w:r>
                    <w:rPr>
                      <w:rFonts w:ascii="宋体" w:hAnsi="宋体" w:cs="宋体" w:eastAsia="宋体"/>
                      <w:sz w:val="20"/>
                    </w:rPr>
                    <w:t>包括产品信息、销售商信息、物料清单、工单、设备、部门、生产指令、工序设备、调度后工序订单、调度工序订单、工序、异常订单工序、工序物料、调度后订单、调度订单、部件、</w:t>
                  </w:r>
                  <w:r>
                    <w:rPr>
                      <w:rFonts w:ascii="宋体" w:hAnsi="宋体" w:cs="宋体" w:eastAsia="宋体"/>
                      <w:sz w:val="20"/>
                    </w:rPr>
                    <w:t>BOM版本、流程版本、反馈、班次、调动后、用户、组织、调度历史、卖家表等内容。</w:t>
                  </w:r>
                </w:p>
                <w:p>
                  <w:pPr>
                    <w:pStyle w:val="null3"/>
                    <w:jc w:val="left"/>
                  </w:pPr>
                  <w:r>
                    <w:rPr>
                      <w:rFonts w:ascii="宋体" w:hAnsi="宋体" w:cs="宋体" w:eastAsia="宋体"/>
                      <w:sz w:val="20"/>
                    </w:rPr>
                    <w:t>5.物流大数据模块</w:t>
                  </w:r>
                </w:p>
                <w:p>
                  <w:pPr>
                    <w:pStyle w:val="null3"/>
                    <w:jc w:val="left"/>
                  </w:pPr>
                  <w:r>
                    <w:rPr>
                      <w:rFonts w:ascii="宋体" w:hAnsi="宋体" w:cs="宋体" w:eastAsia="宋体"/>
                      <w:sz w:val="20"/>
                    </w:rPr>
                    <w:t>包括物料、供应商、产品、项目、入库、退款、出库、返修、发货、库存、仓库、销售、人力、配送等相关数据。</w:t>
                  </w:r>
                </w:p>
                <w:p>
                  <w:pPr>
                    <w:pStyle w:val="null3"/>
                    <w:jc w:val="left"/>
                  </w:pPr>
                  <w:r>
                    <w:rPr>
                      <w:rFonts w:ascii="宋体" w:hAnsi="宋体" w:cs="宋体" w:eastAsia="宋体"/>
                      <w:sz w:val="20"/>
                    </w:rPr>
                    <w:t>6.其它大数据模块</w:t>
                  </w:r>
                </w:p>
                <w:p>
                  <w:pPr>
                    <w:pStyle w:val="null3"/>
                    <w:jc w:val="left"/>
                  </w:pPr>
                  <w:r>
                    <w:rPr>
                      <w:rFonts w:ascii="宋体" w:hAnsi="宋体" w:cs="宋体" w:eastAsia="宋体"/>
                      <w:sz w:val="20"/>
                    </w:rPr>
                    <w:t>中国统计年鉴省级数据、企业绩效评价数据、高技术产品双边贸易数据、规模以上工业企数据、全社会固定资产投资数据、中国企业跨国并购数据等</w:t>
                  </w:r>
                  <w:r>
                    <w:rPr>
                      <w:rFonts w:ascii="宋体" w:hAnsi="宋体" w:cs="宋体" w:eastAsia="宋体"/>
                      <w:sz w:val="20"/>
                    </w:rPr>
                    <w:t>200类商业数据。</w:t>
                  </w:r>
                </w:p>
                <w:p>
                  <w:pPr>
                    <w:pStyle w:val="null3"/>
                    <w:jc w:val="left"/>
                  </w:pPr>
                  <w:r>
                    <w:rPr>
                      <w:rFonts w:ascii="宋体" w:hAnsi="宋体" w:cs="宋体" w:eastAsia="宋体"/>
                      <w:sz w:val="20"/>
                    </w:rPr>
                    <w:t>（三）大数据模型</w:t>
                  </w:r>
                </w:p>
                <w:p>
                  <w:pPr>
                    <w:pStyle w:val="null3"/>
                    <w:jc w:val="left"/>
                  </w:pPr>
                  <w:r>
                    <w:rPr>
                      <w:rFonts w:ascii="宋体" w:hAnsi="宋体" w:cs="宋体" w:eastAsia="宋体"/>
                      <w:sz w:val="20"/>
                    </w:rPr>
                    <w:t>1.大数据通用模型模块</w:t>
                  </w:r>
                </w:p>
                <w:p>
                  <w:pPr>
                    <w:pStyle w:val="null3"/>
                    <w:jc w:val="left"/>
                  </w:pPr>
                  <w:r>
                    <w:rPr>
                      <w:rFonts w:ascii="宋体" w:hAnsi="宋体" w:cs="宋体" w:eastAsia="宋体"/>
                      <w:sz w:val="20"/>
                    </w:rPr>
                    <w:t>提供多个大数据分析通用模型，可快速应用于数据分析各环节，满足模型应用需求，也可基于现有模型进行二次开发。包括</w:t>
                  </w:r>
                </w:p>
                <w:p>
                  <w:pPr>
                    <w:pStyle w:val="null3"/>
                    <w:jc w:val="left"/>
                  </w:pPr>
                  <w:r>
                    <w:rPr>
                      <w:rFonts w:ascii="宋体" w:hAnsi="宋体" w:cs="宋体" w:eastAsia="宋体"/>
                      <w:sz w:val="20"/>
                    </w:rPr>
                    <w:t>线性回归、逻辑回归、支持向量机（</w:t>
                  </w:r>
                  <w:r>
                    <w:rPr>
                      <w:rFonts w:ascii="宋体" w:hAnsi="宋体" w:cs="宋体" w:eastAsia="宋体"/>
                      <w:sz w:val="20"/>
                    </w:rPr>
                    <w:t>SVM）、决策树及集成方法（随机森林、AdaBoost、梯度提升树等）、K近邻算法（KNN）、Naive Bayes分类器、聚类算法（如K-means、DBSCAN、谱聚类等）、主成分分析（PCA）、自编码器（Autoencoder）、非负矩阵分解（NMF）、关联规则学习（Apriori）、深度信念网络（DBN）、卷积神经网络（CNN）、循环神经网络（RNN）、长短时记忆网络（LSTM）等。</w:t>
                  </w:r>
                </w:p>
                <w:p>
                  <w:pPr>
                    <w:pStyle w:val="null3"/>
                    <w:jc w:val="left"/>
                  </w:pPr>
                  <w:r>
                    <w:rPr>
                      <w:rFonts w:ascii="宋体" w:hAnsi="宋体" w:cs="宋体" w:eastAsia="宋体"/>
                      <w:sz w:val="20"/>
                    </w:rPr>
                    <w:t>2.物流大数据模型模块</w:t>
                  </w:r>
                </w:p>
                <w:p>
                  <w:pPr>
                    <w:pStyle w:val="null3"/>
                    <w:jc w:val="left"/>
                  </w:pPr>
                  <w:r>
                    <w:rPr>
                      <w:rFonts w:ascii="宋体" w:hAnsi="宋体" w:cs="宋体" w:eastAsia="宋体"/>
                      <w:sz w:val="20"/>
                    </w:rPr>
                    <w:t>提供覆盖多个行业满足多种物流数据分析场景。可快速体验不同大数据分析模型应用及可视化设计，并根据项目分析需要，编辑、导出数据分析结果。</w:t>
                  </w:r>
                </w:p>
                <w:p>
                  <w:pPr>
                    <w:pStyle w:val="null3"/>
                    <w:jc w:val="left"/>
                  </w:pPr>
                  <w:r>
                    <w:rPr>
                      <w:rFonts w:ascii="宋体" w:hAnsi="宋体" w:cs="宋体" w:eastAsia="宋体"/>
                      <w:sz w:val="20"/>
                    </w:rPr>
                    <w:t>包括：包含库存商品分类模型、库存控制策略模型、调度优化策略模型、运输最短路线分析模型、运输网络优化模型、车辆装载优化模型、订单管理分析模型、配送中心选址决策模型、配送效率分析模型、供应商评估与选择模型、供应链优化模型、供应链风险预测分析模型等，以上模型均可进行二次开发。</w:t>
                  </w:r>
                </w:p>
                <w:p>
                  <w:pPr>
                    <w:pStyle w:val="null3"/>
                    <w:jc w:val="left"/>
                  </w:pPr>
                  <w:r>
                    <w:rPr>
                      <w:rFonts w:ascii="宋体" w:hAnsi="宋体" w:cs="宋体" w:eastAsia="宋体"/>
                      <w:sz w:val="20"/>
                    </w:rPr>
                    <w:t>3.供应链大数据模型模块</w:t>
                  </w:r>
                </w:p>
                <w:p>
                  <w:pPr>
                    <w:pStyle w:val="null3"/>
                    <w:jc w:val="left"/>
                  </w:pPr>
                  <w:r>
                    <w:rPr>
                      <w:rFonts w:ascii="宋体" w:hAnsi="宋体" w:cs="宋体" w:eastAsia="宋体"/>
                      <w:sz w:val="20"/>
                    </w:rPr>
                    <w:t>提供覆盖多个行业满足多种供应链数据分析场景。可快速体验不同大数据分析模型应用及可视化设计，并根据项目分析需要，编辑、导出数据分析结果。</w:t>
                  </w:r>
                </w:p>
                <w:p>
                  <w:pPr>
                    <w:pStyle w:val="null3"/>
                    <w:jc w:val="left"/>
                  </w:pPr>
                  <w:r>
                    <w:rPr>
                      <w:rFonts w:ascii="宋体" w:hAnsi="宋体" w:cs="宋体" w:eastAsia="宋体"/>
                      <w:sz w:val="20"/>
                    </w:rPr>
                    <w:t>包括：</w:t>
                  </w:r>
                  <w:r>
                    <w:rPr>
                      <w:rFonts w:ascii="宋体" w:hAnsi="宋体" w:cs="宋体" w:eastAsia="宋体"/>
                      <w:sz w:val="20"/>
                    </w:rPr>
                    <w:t>SWOT行业态势分析模型、行业洞察与需求分析模型、产业链条分析模型、市场竞对分析模型、产品结构分析模型、产品竞对分析模型、产品生命周期分析模型、产品关联分析模型、客户画像构建模型、客户价值评估模型、客户生命周期分析模型、客户满意度分析模型、客户留存分析模型、市场需求预测模型、销售转化分析模型、销售关联分析模型、销售特征分析模型、广告精准营销模型、数字零售营销模型、评论文本分析模型、图像文字分析模型等，以上模型均可进行二次开发。</w:t>
                  </w:r>
                </w:p>
                <w:p>
                  <w:pPr>
                    <w:pStyle w:val="null3"/>
                    <w:jc w:val="left"/>
                  </w:pPr>
                  <w:r>
                    <w:rPr>
                      <w:rFonts w:ascii="宋体" w:hAnsi="宋体" w:cs="宋体" w:eastAsia="宋体"/>
                      <w:sz w:val="20"/>
                    </w:rPr>
                    <w:t>（四）产教融合实训包</w:t>
                  </w:r>
                </w:p>
                <w:p>
                  <w:pPr>
                    <w:pStyle w:val="null3"/>
                    <w:jc w:val="left"/>
                  </w:pPr>
                  <w:r>
                    <w:rPr>
                      <w:rFonts w:ascii="宋体" w:hAnsi="宋体" w:cs="宋体" w:eastAsia="宋体"/>
                      <w:sz w:val="20"/>
                    </w:rPr>
                    <w:t>1.《数据采集与处理》</w:t>
                  </w:r>
                </w:p>
                <w:p>
                  <w:pPr>
                    <w:pStyle w:val="null3"/>
                    <w:jc w:val="left"/>
                  </w:pPr>
                  <w:r>
                    <w:rPr>
                      <w:rFonts w:ascii="宋体" w:hAnsi="宋体" w:cs="宋体" w:eastAsia="宋体"/>
                      <w:sz w:val="20"/>
                    </w:rPr>
                    <w:t>以真实业务为基础，通过确定数据源、法律风险评估、数据采集、数据清洗、数据治理和数据储存等工作任务的学习，培养学生掌握数据采集、数据清洗及数据整理的能力。</w:t>
                  </w:r>
                </w:p>
                <w:p>
                  <w:pPr>
                    <w:pStyle w:val="null3"/>
                    <w:jc w:val="left"/>
                  </w:pPr>
                  <w:r>
                    <w:rPr>
                      <w:rFonts w:ascii="宋体" w:hAnsi="宋体" w:cs="宋体" w:eastAsia="宋体"/>
                      <w:sz w:val="20"/>
                    </w:rPr>
                    <w:t>2.《数据可视化》</w:t>
                  </w:r>
                </w:p>
                <w:p>
                  <w:pPr>
                    <w:pStyle w:val="null3"/>
                    <w:jc w:val="left"/>
                  </w:pPr>
                  <w:r>
                    <w:rPr>
                      <w:rFonts w:ascii="宋体" w:hAnsi="宋体" w:cs="宋体" w:eastAsia="宋体"/>
                      <w:sz w:val="20"/>
                    </w:rPr>
                    <w:t>综合运用计算机图形学、图像处理、人机交互等技术，以商业领域数据可视化及应用相关业务场景为主要特色，培养学生运用可视化工具进行数据整合、图表的制作、调整与优化，形成数据可视化分析报告。</w:t>
                  </w:r>
                </w:p>
                <w:p>
                  <w:pPr>
                    <w:pStyle w:val="null3"/>
                    <w:jc w:val="left"/>
                  </w:pPr>
                  <w:r>
                    <w:rPr>
                      <w:rFonts w:ascii="宋体" w:hAnsi="宋体" w:cs="宋体" w:eastAsia="宋体"/>
                      <w:sz w:val="20"/>
                    </w:rPr>
                    <w:t>产业实践项目</w:t>
                  </w:r>
                </w:p>
                <w:p>
                  <w:pPr>
                    <w:pStyle w:val="null3"/>
                    <w:jc w:val="left"/>
                  </w:pPr>
                  <w:r>
                    <w:rPr>
                      <w:rFonts w:ascii="宋体" w:hAnsi="宋体" w:cs="宋体" w:eastAsia="宋体"/>
                      <w:sz w:val="20"/>
                    </w:rPr>
                    <w:t>根据企业生产工作任务和项目实际难度，在生产性实训环境中开展项目化教学、实训。使用平台内置</w:t>
                  </w:r>
                  <w:r>
                    <w:rPr>
                      <w:rFonts w:ascii="宋体" w:hAnsi="宋体" w:cs="宋体" w:eastAsia="宋体"/>
                      <w:sz w:val="20"/>
                    </w:rPr>
                    <w:t>BI系统、Python等商务数据分析工具，完成产业实践。</w:t>
                  </w:r>
                </w:p>
                <w:p>
                  <w:pPr>
                    <w:pStyle w:val="null3"/>
                    <w:jc w:val="left"/>
                  </w:pPr>
                  <w:r>
                    <w:rPr>
                      <w:rFonts w:ascii="宋体" w:hAnsi="宋体" w:cs="宋体" w:eastAsia="宋体"/>
                      <w:sz w:val="20"/>
                    </w:rPr>
                    <w:t>实践项目采用独立的教学模块单元形式，具备高度的灵活性与可配置性，满足模块化教学需求。可以根据不同专业和课程的具体要求，对这些模块进行组装与选择，从而构建出最适合的教学方案。</w:t>
                  </w:r>
                </w:p>
                <w:p>
                  <w:pPr>
                    <w:pStyle w:val="null3"/>
                    <w:jc w:val="left"/>
                  </w:pPr>
                  <w:r>
                    <w:rPr>
                      <w:rFonts w:ascii="宋体" w:hAnsi="宋体" w:cs="宋体" w:eastAsia="宋体"/>
                      <w:sz w:val="20"/>
                    </w:rPr>
                    <w:t>提供九大教学模块，不少于</w:t>
                  </w:r>
                  <w:r>
                    <w:rPr>
                      <w:rFonts w:ascii="宋体" w:hAnsi="宋体" w:cs="宋体" w:eastAsia="宋体"/>
                      <w:sz w:val="20"/>
                    </w:rPr>
                    <w:t>35项产业实践项目，每个项目包括任务目标、任务要求、知识准备、项目实践、操作指导等内容，满足至少128课时授课需求。</w:t>
                  </w:r>
                </w:p>
                <w:p>
                  <w:pPr>
                    <w:pStyle w:val="null3"/>
                    <w:jc w:val="left"/>
                  </w:pPr>
                  <w:r>
                    <w:rPr>
                      <w:rFonts w:ascii="宋体" w:hAnsi="宋体" w:cs="宋体" w:eastAsia="宋体"/>
                      <w:sz w:val="20"/>
                    </w:rPr>
                    <w:t>（</w:t>
                  </w:r>
                  <w:r>
                    <w:rPr>
                      <w:rFonts w:ascii="宋体" w:hAnsi="宋体" w:cs="宋体" w:eastAsia="宋体"/>
                      <w:sz w:val="20"/>
                    </w:rPr>
                    <w:t>1）仓储数据分析</w:t>
                  </w:r>
                </w:p>
                <w:p>
                  <w:pPr>
                    <w:pStyle w:val="null3"/>
                    <w:jc w:val="left"/>
                  </w:pPr>
                  <w:r>
                    <w:rPr>
                      <w:rFonts w:ascii="宋体" w:hAnsi="宋体" w:cs="宋体" w:eastAsia="宋体"/>
                      <w:sz w:val="20"/>
                    </w:rPr>
                    <w:t>项目</w:t>
                  </w:r>
                  <w:r>
                    <w:rPr>
                      <w:rFonts w:ascii="宋体" w:hAnsi="宋体" w:cs="宋体" w:eastAsia="宋体"/>
                      <w:sz w:val="20"/>
                    </w:rPr>
                    <w:t>1 库存商品分类</w:t>
                  </w:r>
                </w:p>
                <w:p>
                  <w:pPr>
                    <w:pStyle w:val="null3"/>
                    <w:jc w:val="left"/>
                  </w:pPr>
                  <w:r>
                    <w:rPr>
                      <w:rFonts w:ascii="宋体" w:hAnsi="宋体" w:cs="宋体" w:eastAsia="宋体"/>
                      <w:sz w:val="20"/>
                    </w:rPr>
                    <w:t>项目</w:t>
                  </w:r>
                  <w:r>
                    <w:rPr>
                      <w:rFonts w:ascii="宋体" w:hAnsi="宋体" w:cs="宋体" w:eastAsia="宋体"/>
                      <w:sz w:val="20"/>
                    </w:rPr>
                    <w:t>2 库存需求预测</w:t>
                  </w:r>
                </w:p>
                <w:p>
                  <w:pPr>
                    <w:pStyle w:val="null3"/>
                    <w:jc w:val="left"/>
                  </w:pPr>
                  <w:r>
                    <w:rPr>
                      <w:rFonts w:ascii="宋体" w:hAnsi="宋体" w:cs="宋体" w:eastAsia="宋体"/>
                      <w:sz w:val="20"/>
                    </w:rPr>
                    <w:t>项目</w:t>
                  </w:r>
                  <w:r>
                    <w:rPr>
                      <w:rFonts w:ascii="宋体" w:hAnsi="宋体" w:cs="宋体" w:eastAsia="宋体"/>
                      <w:sz w:val="20"/>
                    </w:rPr>
                    <w:t>3 库存控制策略</w:t>
                  </w:r>
                </w:p>
                <w:p>
                  <w:pPr>
                    <w:pStyle w:val="null3"/>
                    <w:jc w:val="left"/>
                  </w:pPr>
                  <w:r>
                    <w:rPr>
                      <w:rFonts w:ascii="宋体" w:hAnsi="宋体" w:cs="宋体" w:eastAsia="宋体"/>
                      <w:sz w:val="20"/>
                    </w:rPr>
                    <w:t>（</w:t>
                  </w:r>
                  <w:r>
                    <w:rPr>
                      <w:rFonts w:ascii="宋体" w:hAnsi="宋体" w:cs="宋体" w:eastAsia="宋体"/>
                      <w:sz w:val="20"/>
                    </w:rPr>
                    <w:t>2）运输数据分析</w:t>
                  </w:r>
                </w:p>
                <w:p>
                  <w:pPr>
                    <w:pStyle w:val="null3"/>
                    <w:jc w:val="left"/>
                  </w:pPr>
                  <w:r>
                    <w:rPr>
                      <w:rFonts w:ascii="宋体" w:hAnsi="宋体" w:cs="宋体" w:eastAsia="宋体"/>
                      <w:sz w:val="20"/>
                    </w:rPr>
                    <w:t>项目</w:t>
                  </w:r>
                  <w:r>
                    <w:rPr>
                      <w:rFonts w:ascii="宋体" w:hAnsi="宋体" w:cs="宋体" w:eastAsia="宋体"/>
                      <w:sz w:val="20"/>
                    </w:rPr>
                    <w:t>4 运输网络优化</w:t>
                  </w:r>
                </w:p>
                <w:p>
                  <w:pPr>
                    <w:pStyle w:val="null3"/>
                    <w:jc w:val="left"/>
                  </w:pPr>
                  <w:r>
                    <w:rPr>
                      <w:rFonts w:ascii="宋体" w:hAnsi="宋体" w:cs="宋体" w:eastAsia="宋体"/>
                      <w:sz w:val="20"/>
                    </w:rPr>
                    <w:t>项目</w:t>
                  </w:r>
                  <w:r>
                    <w:rPr>
                      <w:rFonts w:ascii="宋体" w:hAnsi="宋体" w:cs="宋体" w:eastAsia="宋体"/>
                      <w:sz w:val="20"/>
                    </w:rPr>
                    <w:t>5 调度优化策略</w:t>
                  </w:r>
                </w:p>
                <w:p>
                  <w:pPr>
                    <w:pStyle w:val="null3"/>
                    <w:jc w:val="left"/>
                  </w:pPr>
                  <w:r>
                    <w:rPr>
                      <w:rFonts w:ascii="宋体" w:hAnsi="宋体" w:cs="宋体" w:eastAsia="宋体"/>
                      <w:sz w:val="20"/>
                    </w:rPr>
                    <w:t>项目</w:t>
                  </w:r>
                  <w:r>
                    <w:rPr>
                      <w:rFonts w:ascii="宋体" w:hAnsi="宋体" w:cs="宋体" w:eastAsia="宋体"/>
                      <w:sz w:val="20"/>
                    </w:rPr>
                    <w:t>6 车辆装载策略</w:t>
                  </w:r>
                </w:p>
                <w:p>
                  <w:pPr>
                    <w:pStyle w:val="null3"/>
                    <w:jc w:val="left"/>
                  </w:pPr>
                  <w:r>
                    <w:rPr>
                      <w:rFonts w:ascii="宋体" w:hAnsi="宋体" w:cs="宋体" w:eastAsia="宋体"/>
                      <w:sz w:val="20"/>
                    </w:rPr>
                    <w:t>（</w:t>
                  </w:r>
                  <w:r>
                    <w:rPr>
                      <w:rFonts w:ascii="宋体" w:hAnsi="宋体" w:cs="宋体" w:eastAsia="宋体"/>
                      <w:sz w:val="20"/>
                    </w:rPr>
                    <w:t>3）配送管理数据分析</w:t>
                  </w:r>
                </w:p>
                <w:p>
                  <w:pPr>
                    <w:pStyle w:val="null3"/>
                    <w:jc w:val="left"/>
                  </w:pPr>
                  <w:r>
                    <w:rPr>
                      <w:rFonts w:ascii="宋体" w:hAnsi="宋体" w:cs="宋体" w:eastAsia="宋体"/>
                      <w:sz w:val="20"/>
                    </w:rPr>
                    <w:t>项目</w:t>
                  </w:r>
                  <w:r>
                    <w:rPr>
                      <w:rFonts w:ascii="宋体" w:hAnsi="宋体" w:cs="宋体" w:eastAsia="宋体"/>
                      <w:sz w:val="20"/>
                    </w:rPr>
                    <w:t>7 配送中心订单分析</w:t>
                  </w:r>
                </w:p>
                <w:p>
                  <w:pPr>
                    <w:pStyle w:val="null3"/>
                    <w:jc w:val="left"/>
                  </w:pPr>
                  <w:r>
                    <w:rPr>
                      <w:rFonts w:ascii="宋体" w:hAnsi="宋体" w:cs="宋体" w:eastAsia="宋体"/>
                      <w:sz w:val="20"/>
                    </w:rPr>
                    <w:t>项目</w:t>
                  </w:r>
                  <w:r>
                    <w:rPr>
                      <w:rFonts w:ascii="宋体" w:hAnsi="宋体" w:cs="宋体" w:eastAsia="宋体"/>
                      <w:sz w:val="20"/>
                    </w:rPr>
                    <w:t>8 配送中心选址决策</w:t>
                  </w:r>
                </w:p>
                <w:p>
                  <w:pPr>
                    <w:pStyle w:val="null3"/>
                    <w:jc w:val="left"/>
                  </w:pPr>
                  <w:r>
                    <w:rPr>
                      <w:rFonts w:ascii="宋体" w:hAnsi="宋体" w:cs="宋体" w:eastAsia="宋体"/>
                      <w:sz w:val="20"/>
                    </w:rPr>
                    <w:t>项目</w:t>
                  </w:r>
                  <w:r>
                    <w:rPr>
                      <w:rFonts w:ascii="宋体" w:hAnsi="宋体" w:cs="宋体" w:eastAsia="宋体"/>
                      <w:sz w:val="20"/>
                    </w:rPr>
                    <w:t>9 配送效率分析</w:t>
                  </w:r>
                </w:p>
                <w:p>
                  <w:pPr>
                    <w:pStyle w:val="null3"/>
                    <w:jc w:val="left"/>
                  </w:pPr>
                  <w:r>
                    <w:rPr>
                      <w:rFonts w:ascii="宋体" w:hAnsi="宋体" w:cs="宋体" w:eastAsia="宋体"/>
                      <w:sz w:val="20"/>
                    </w:rPr>
                    <w:t>（</w:t>
                  </w:r>
                  <w:r>
                    <w:rPr>
                      <w:rFonts w:ascii="宋体" w:hAnsi="宋体" w:cs="宋体" w:eastAsia="宋体"/>
                      <w:sz w:val="20"/>
                    </w:rPr>
                    <w:t>4）供应链数据分析</w:t>
                  </w:r>
                </w:p>
                <w:p>
                  <w:pPr>
                    <w:pStyle w:val="null3"/>
                    <w:jc w:val="left"/>
                  </w:pPr>
                  <w:r>
                    <w:rPr>
                      <w:rFonts w:ascii="宋体" w:hAnsi="宋体" w:cs="宋体" w:eastAsia="宋体"/>
                      <w:sz w:val="20"/>
                    </w:rPr>
                    <w:t>项目</w:t>
                  </w:r>
                  <w:r>
                    <w:rPr>
                      <w:rFonts w:ascii="宋体" w:hAnsi="宋体" w:cs="宋体" w:eastAsia="宋体"/>
                      <w:sz w:val="20"/>
                    </w:rPr>
                    <w:t>10 供应商评估与选择</w:t>
                  </w:r>
                </w:p>
                <w:p>
                  <w:pPr>
                    <w:pStyle w:val="null3"/>
                    <w:jc w:val="left"/>
                  </w:pPr>
                  <w:r>
                    <w:rPr>
                      <w:rFonts w:ascii="宋体" w:hAnsi="宋体" w:cs="宋体" w:eastAsia="宋体"/>
                      <w:sz w:val="20"/>
                    </w:rPr>
                    <w:t>项目</w:t>
                  </w:r>
                  <w:r>
                    <w:rPr>
                      <w:rFonts w:ascii="宋体" w:hAnsi="宋体" w:cs="宋体" w:eastAsia="宋体"/>
                      <w:sz w:val="20"/>
                    </w:rPr>
                    <w:t>11 供应链供给效率分析</w:t>
                  </w:r>
                </w:p>
                <w:p>
                  <w:pPr>
                    <w:pStyle w:val="null3"/>
                    <w:jc w:val="left"/>
                  </w:pPr>
                  <w:r>
                    <w:rPr>
                      <w:rFonts w:ascii="宋体" w:hAnsi="宋体" w:cs="宋体" w:eastAsia="宋体"/>
                      <w:sz w:val="20"/>
                    </w:rPr>
                    <w:t>项目</w:t>
                  </w:r>
                  <w:r>
                    <w:rPr>
                      <w:rFonts w:ascii="宋体" w:hAnsi="宋体" w:cs="宋体" w:eastAsia="宋体"/>
                      <w:sz w:val="20"/>
                    </w:rPr>
                    <w:t>12 供应链成本优化</w:t>
                  </w:r>
                </w:p>
                <w:p>
                  <w:pPr>
                    <w:pStyle w:val="null3"/>
                    <w:jc w:val="left"/>
                  </w:pPr>
                  <w:r>
                    <w:rPr>
                      <w:rFonts w:ascii="宋体" w:hAnsi="宋体" w:cs="宋体" w:eastAsia="宋体"/>
                      <w:sz w:val="20"/>
                    </w:rPr>
                    <w:t>项目</w:t>
                  </w:r>
                  <w:r>
                    <w:rPr>
                      <w:rFonts w:ascii="宋体" w:hAnsi="宋体" w:cs="宋体" w:eastAsia="宋体"/>
                      <w:sz w:val="20"/>
                    </w:rPr>
                    <w:t>13 供应链风险预测分析</w:t>
                  </w:r>
                </w:p>
                <w:p>
                  <w:pPr>
                    <w:pStyle w:val="null3"/>
                    <w:jc w:val="left"/>
                  </w:pPr>
                  <w:r>
                    <w:rPr>
                      <w:rFonts w:ascii="宋体" w:hAnsi="宋体" w:cs="宋体" w:eastAsia="宋体"/>
                      <w:sz w:val="20"/>
                    </w:rPr>
                    <w:t>（</w:t>
                  </w:r>
                  <w:r>
                    <w:rPr>
                      <w:rFonts w:ascii="宋体" w:hAnsi="宋体" w:cs="宋体" w:eastAsia="宋体"/>
                      <w:sz w:val="20"/>
                    </w:rPr>
                    <w:t>5）市场数据分析</w:t>
                  </w:r>
                </w:p>
                <w:p>
                  <w:pPr>
                    <w:pStyle w:val="null3"/>
                    <w:jc w:val="left"/>
                  </w:pPr>
                  <w:r>
                    <w:rPr>
                      <w:rFonts w:ascii="宋体" w:hAnsi="宋体" w:cs="宋体" w:eastAsia="宋体"/>
                      <w:sz w:val="20"/>
                    </w:rPr>
                    <w:t>项目</w:t>
                  </w:r>
                  <w:r>
                    <w:rPr>
                      <w:rFonts w:ascii="宋体" w:hAnsi="宋体" w:cs="宋体" w:eastAsia="宋体"/>
                      <w:sz w:val="20"/>
                    </w:rPr>
                    <w:t>14 行业态势分析</w:t>
                  </w:r>
                </w:p>
                <w:p>
                  <w:pPr>
                    <w:pStyle w:val="null3"/>
                    <w:jc w:val="left"/>
                  </w:pPr>
                  <w:r>
                    <w:rPr>
                      <w:rFonts w:ascii="宋体" w:hAnsi="宋体" w:cs="宋体" w:eastAsia="宋体"/>
                      <w:sz w:val="20"/>
                    </w:rPr>
                    <w:t>项目</w:t>
                  </w:r>
                  <w:r>
                    <w:rPr>
                      <w:rFonts w:ascii="宋体" w:hAnsi="宋体" w:cs="宋体" w:eastAsia="宋体"/>
                      <w:sz w:val="20"/>
                    </w:rPr>
                    <w:t>15 行业洞察与需求分析</w:t>
                  </w:r>
                </w:p>
                <w:p>
                  <w:pPr>
                    <w:pStyle w:val="null3"/>
                    <w:jc w:val="left"/>
                  </w:pPr>
                  <w:r>
                    <w:rPr>
                      <w:rFonts w:ascii="宋体" w:hAnsi="宋体" w:cs="宋体" w:eastAsia="宋体"/>
                      <w:sz w:val="20"/>
                    </w:rPr>
                    <w:t>项目</w:t>
                  </w:r>
                  <w:r>
                    <w:rPr>
                      <w:rFonts w:ascii="宋体" w:hAnsi="宋体" w:cs="宋体" w:eastAsia="宋体"/>
                      <w:sz w:val="20"/>
                    </w:rPr>
                    <w:t>16 产业链条分析</w:t>
                  </w:r>
                </w:p>
                <w:p>
                  <w:pPr>
                    <w:pStyle w:val="null3"/>
                    <w:jc w:val="left"/>
                  </w:pPr>
                  <w:r>
                    <w:rPr>
                      <w:rFonts w:ascii="宋体" w:hAnsi="宋体" w:cs="宋体" w:eastAsia="宋体"/>
                      <w:sz w:val="20"/>
                    </w:rPr>
                    <w:t>项目</w:t>
                  </w:r>
                  <w:r>
                    <w:rPr>
                      <w:rFonts w:ascii="宋体" w:hAnsi="宋体" w:cs="宋体" w:eastAsia="宋体"/>
                      <w:sz w:val="20"/>
                    </w:rPr>
                    <w:t>17 市场竞对分析</w:t>
                  </w:r>
                </w:p>
                <w:p>
                  <w:pPr>
                    <w:pStyle w:val="null3"/>
                    <w:jc w:val="left"/>
                  </w:pPr>
                  <w:r>
                    <w:rPr>
                      <w:rFonts w:ascii="宋体" w:hAnsi="宋体" w:cs="宋体" w:eastAsia="宋体"/>
                      <w:sz w:val="20"/>
                    </w:rPr>
                    <w:t>（</w:t>
                  </w:r>
                  <w:r>
                    <w:rPr>
                      <w:rFonts w:ascii="宋体" w:hAnsi="宋体" w:cs="宋体" w:eastAsia="宋体"/>
                      <w:sz w:val="20"/>
                    </w:rPr>
                    <w:t>6）产品数据分析</w:t>
                  </w:r>
                </w:p>
                <w:p>
                  <w:pPr>
                    <w:pStyle w:val="null3"/>
                    <w:jc w:val="left"/>
                  </w:pPr>
                  <w:r>
                    <w:rPr>
                      <w:rFonts w:ascii="宋体" w:hAnsi="宋体" w:cs="宋体" w:eastAsia="宋体"/>
                      <w:sz w:val="20"/>
                    </w:rPr>
                    <w:t>项目</w:t>
                  </w:r>
                  <w:r>
                    <w:rPr>
                      <w:rFonts w:ascii="宋体" w:hAnsi="宋体" w:cs="宋体" w:eastAsia="宋体"/>
                      <w:sz w:val="20"/>
                    </w:rPr>
                    <w:t>18 产品结构分析</w:t>
                  </w:r>
                </w:p>
                <w:p>
                  <w:pPr>
                    <w:pStyle w:val="null3"/>
                    <w:jc w:val="left"/>
                  </w:pPr>
                  <w:r>
                    <w:rPr>
                      <w:rFonts w:ascii="宋体" w:hAnsi="宋体" w:cs="宋体" w:eastAsia="宋体"/>
                      <w:sz w:val="20"/>
                    </w:rPr>
                    <w:t>项目</w:t>
                  </w:r>
                  <w:r>
                    <w:rPr>
                      <w:rFonts w:ascii="宋体" w:hAnsi="宋体" w:cs="宋体" w:eastAsia="宋体"/>
                      <w:sz w:val="20"/>
                    </w:rPr>
                    <w:t>19 产品竞对分析</w:t>
                  </w:r>
                </w:p>
                <w:p>
                  <w:pPr>
                    <w:pStyle w:val="null3"/>
                    <w:jc w:val="left"/>
                  </w:pPr>
                  <w:r>
                    <w:rPr>
                      <w:rFonts w:ascii="宋体" w:hAnsi="宋体" w:cs="宋体" w:eastAsia="宋体"/>
                      <w:sz w:val="20"/>
                    </w:rPr>
                    <w:t>项目</w:t>
                  </w:r>
                  <w:r>
                    <w:rPr>
                      <w:rFonts w:ascii="宋体" w:hAnsi="宋体" w:cs="宋体" w:eastAsia="宋体"/>
                      <w:sz w:val="20"/>
                    </w:rPr>
                    <w:t>20 产品生命周期分析</w:t>
                  </w:r>
                </w:p>
                <w:p>
                  <w:pPr>
                    <w:pStyle w:val="null3"/>
                    <w:jc w:val="left"/>
                  </w:pPr>
                  <w:r>
                    <w:rPr>
                      <w:rFonts w:ascii="宋体" w:hAnsi="宋体" w:cs="宋体" w:eastAsia="宋体"/>
                      <w:sz w:val="20"/>
                    </w:rPr>
                    <w:t>项目</w:t>
                  </w:r>
                  <w:r>
                    <w:rPr>
                      <w:rFonts w:ascii="宋体" w:hAnsi="宋体" w:cs="宋体" w:eastAsia="宋体"/>
                      <w:sz w:val="20"/>
                    </w:rPr>
                    <w:t>21 产品关联分析</w:t>
                  </w:r>
                </w:p>
                <w:p>
                  <w:pPr>
                    <w:pStyle w:val="null3"/>
                    <w:jc w:val="left"/>
                  </w:pPr>
                  <w:r>
                    <w:rPr>
                      <w:rFonts w:ascii="宋体" w:hAnsi="宋体" w:cs="宋体" w:eastAsia="宋体"/>
                      <w:sz w:val="20"/>
                    </w:rPr>
                    <w:t>（</w:t>
                  </w:r>
                  <w:r>
                    <w:rPr>
                      <w:rFonts w:ascii="宋体" w:hAnsi="宋体" w:cs="宋体" w:eastAsia="宋体"/>
                      <w:sz w:val="20"/>
                    </w:rPr>
                    <w:t>7）客户数据分析项目</w:t>
                  </w:r>
                </w:p>
                <w:p>
                  <w:pPr>
                    <w:pStyle w:val="null3"/>
                    <w:jc w:val="left"/>
                  </w:pPr>
                  <w:r>
                    <w:rPr>
                      <w:rFonts w:ascii="宋体" w:hAnsi="宋体" w:cs="宋体" w:eastAsia="宋体"/>
                      <w:sz w:val="20"/>
                    </w:rPr>
                    <w:t>项目</w:t>
                  </w:r>
                  <w:r>
                    <w:rPr>
                      <w:rFonts w:ascii="宋体" w:hAnsi="宋体" w:cs="宋体" w:eastAsia="宋体"/>
                      <w:sz w:val="20"/>
                    </w:rPr>
                    <w:t>22 客户画像分析</w:t>
                  </w:r>
                </w:p>
                <w:p>
                  <w:pPr>
                    <w:pStyle w:val="null3"/>
                    <w:jc w:val="left"/>
                  </w:pPr>
                  <w:r>
                    <w:rPr>
                      <w:rFonts w:ascii="宋体" w:hAnsi="宋体" w:cs="宋体" w:eastAsia="宋体"/>
                      <w:sz w:val="20"/>
                    </w:rPr>
                    <w:t>项目</w:t>
                  </w:r>
                  <w:r>
                    <w:rPr>
                      <w:rFonts w:ascii="宋体" w:hAnsi="宋体" w:cs="宋体" w:eastAsia="宋体"/>
                      <w:sz w:val="20"/>
                    </w:rPr>
                    <w:t>23 客户价值评估</w:t>
                  </w:r>
                </w:p>
                <w:p>
                  <w:pPr>
                    <w:pStyle w:val="null3"/>
                    <w:jc w:val="left"/>
                  </w:pPr>
                  <w:r>
                    <w:rPr>
                      <w:rFonts w:ascii="宋体" w:hAnsi="宋体" w:cs="宋体" w:eastAsia="宋体"/>
                      <w:sz w:val="20"/>
                    </w:rPr>
                    <w:t>项目</w:t>
                  </w:r>
                  <w:r>
                    <w:rPr>
                      <w:rFonts w:ascii="宋体" w:hAnsi="宋体" w:cs="宋体" w:eastAsia="宋体"/>
                      <w:sz w:val="20"/>
                    </w:rPr>
                    <w:t>24 客户生命周期分析</w:t>
                  </w:r>
                </w:p>
                <w:p>
                  <w:pPr>
                    <w:pStyle w:val="null3"/>
                    <w:jc w:val="left"/>
                  </w:pPr>
                  <w:r>
                    <w:rPr>
                      <w:rFonts w:ascii="宋体" w:hAnsi="宋体" w:cs="宋体" w:eastAsia="宋体"/>
                      <w:sz w:val="20"/>
                    </w:rPr>
                    <w:t>项目</w:t>
                  </w:r>
                  <w:r>
                    <w:rPr>
                      <w:rFonts w:ascii="宋体" w:hAnsi="宋体" w:cs="宋体" w:eastAsia="宋体"/>
                      <w:sz w:val="20"/>
                    </w:rPr>
                    <w:t>25 客户满意度分析</w:t>
                  </w:r>
                </w:p>
                <w:p>
                  <w:pPr>
                    <w:pStyle w:val="null3"/>
                    <w:jc w:val="left"/>
                  </w:pPr>
                  <w:r>
                    <w:rPr>
                      <w:rFonts w:ascii="宋体" w:hAnsi="宋体" w:cs="宋体" w:eastAsia="宋体"/>
                      <w:sz w:val="20"/>
                    </w:rPr>
                    <w:t>项目</w:t>
                  </w:r>
                  <w:r>
                    <w:rPr>
                      <w:rFonts w:ascii="宋体" w:hAnsi="宋体" w:cs="宋体" w:eastAsia="宋体"/>
                      <w:sz w:val="20"/>
                    </w:rPr>
                    <w:t>26 用户留存分析</w:t>
                  </w:r>
                </w:p>
                <w:p>
                  <w:pPr>
                    <w:pStyle w:val="null3"/>
                    <w:jc w:val="left"/>
                  </w:pPr>
                  <w:r>
                    <w:rPr>
                      <w:rFonts w:ascii="宋体" w:hAnsi="宋体" w:cs="宋体" w:eastAsia="宋体"/>
                      <w:sz w:val="20"/>
                    </w:rPr>
                    <w:t>（</w:t>
                  </w:r>
                  <w:r>
                    <w:rPr>
                      <w:rFonts w:ascii="宋体" w:hAnsi="宋体" w:cs="宋体" w:eastAsia="宋体"/>
                      <w:sz w:val="20"/>
                    </w:rPr>
                    <w:t>8）销售数据分析</w:t>
                  </w:r>
                </w:p>
                <w:p>
                  <w:pPr>
                    <w:pStyle w:val="null3"/>
                    <w:jc w:val="left"/>
                  </w:pPr>
                  <w:r>
                    <w:rPr>
                      <w:rFonts w:ascii="宋体" w:hAnsi="宋体" w:cs="宋体" w:eastAsia="宋体"/>
                      <w:sz w:val="20"/>
                    </w:rPr>
                    <w:t>项目</w:t>
                  </w:r>
                  <w:r>
                    <w:rPr>
                      <w:rFonts w:ascii="宋体" w:hAnsi="宋体" w:cs="宋体" w:eastAsia="宋体"/>
                      <w:sz w:val="20"/>
                    </w:rPr>
                    <w:t>27 市场需求预测</w:t>
                  </w:r>
                </w:p>
                <w:p>
                  <w:pPr>
                    <w:pStyle w:val="null3"/>
                    <w:jc w:val="left"/>
                  </w:pPr>
                  <w:r>
                    <w:rPr>
                      <w:rFonts w:ascii="宋体" w:hAnsi="宋体" w:cs="宋体" w:eastAsia="宋体"/>
                      <w:sz w:val="20"/>
                    </w:rPr>
                    <w:t>项目</w:t>
                  </w:r>
                  <w:r>
                    <w:rPr>
                      <w:rFonts w:ascii="宋体" w:hAnsi="宋体" w:cs="宋体" w:eastAsia="宋体"/>
                      <w:sz w:val="20"/>
                    </w:rPr>
                    <w:t>28 销售转化分析</w:t>
                  </w:r>
                </w:p>
                <w:p>
                  <w:pPr>
                    <w:pStyle w:val="null3"/>
                    <w:jc w:val="left"/>
                  </w:pPr>
                  <w:r>
                    <w:rPr>
                      <w:rFonts w:ascii="宋体" w:hAnsi="宋体" w:cs="宋体" w:eastAsia="宋体"/>
                      <w:sz w:val="20"/>
                    </w:rPr>
                    <w:t>项目</w:t>
                  </w:r>
                  <w:r>
                    <w:rPr>
                      <w:rFonts w:ascii="宋体" w:hAnsi="宋体" w:cs="宋体" w:eastAsia="宋体"/>
                      <w:sz w:val="20"/>
                    </w:rPr>
                    <w:t>29 销售关联分析</w:t>
                  </w:r>
                </w:p>
                <w:p>
                  <w:pPr>
                    <w:pStyle w:val="null3"/>
                    <w:jc w:val="left"/>
                  </w:pPr>
                  <w:r>
                    <w:rPr>
                      <w:rFonts w:ascii="宋体" w:hAnsi="宋体" w:cs="宋体" w:eastAsia="宋体"/>
                      <w:sz w:val="20"/>
                    </w:rPr>
                    <w:t>项目</w:t>
                  </w:r>
                  <w:r>
                    <w:rPr>
                      <w:rFonts w:ascii="宋体" w:hAnsi="宋体" w:cs="宋体" w:eastAsia="宋体"/>
                      <w:sz w:val="20"/>
                    </w:rPr>
                    <w:t>30 销售特征分析</w:t>
                  </w:r>
                </w:p>
                <w:p>
                  <w:pPr>
                    <w:pStyle w:val="null3"/>
                    <w:jc w:val="left"/>
                  </w:pPr>
                  <w:r>
                    <w:rPr>
                      <w:rFonts w:ascii="宋体" w:hAnsi="宋体" w:cs="宋体" w:eastAsia="宋体"/>
                      <w:sz w:val="20"/>
                    </w:rPr>
                    <w:t>（</w:t>
                  </w:r>
                  <w:r>
                    <w:rPr>
                      <w:rFonts w:ascii="宋体" w:hAnsi="宋体" w:cs="宋体" w:eastAsia="宋体"/>
                      <w:sz w:val="20"/>
                    </w:rPr>
                    <w:t>9）运营管理数据分析</w:t>
                  </w:r>
                </w:p>
                <w:p>
                  <w:pPr>
                    <w:pStyle w:val="null3"/>
                    <w:jc w:val="left"/>
                  </w:pPr>
                  <w:r>
                    <w:rPr>
                      <w:rFonts w:ascii="宋体" w:hAnsi="宋体" w:cs="宋体" w:eastAsia="宋体"/>
                      <w:sz w:val="20"/>
                    </w:rPr>
                    <w:t>项目</w:t>
                  </w:r>
                  <w:r>
                    <w:rPr>
                      <w:rFonts w:ascii="宋体" w:hAnsi="宋体" w:cs="宋体" w:eastAsia="宋体"/>
                      <w:sz w:val="20"/>
                    </w:rPr>
                    <w:t>31 广告精准投放分析</w:t>
                  </w:r>
                </w:p>
                <w:p>
                  <w:pPr>
                    <w:pStyle w:val="null3"/>
                    <w:jc w:val="left"/>
                  </w:pPr>
                  <w:r>
                    <w:rPr>
                      <w:rFonts w:ascii="宋体" w:hAnsi="宋体" w:cs="宋体" w:eastAsia="宋体"/>
                      <w:sz w:val="20"/>
                    </w:rPr>
                    <w:t>项目</w:t>
                  </w:r>
                  <w:r>
                    <w:rPr>
                      <w:rFonts w:ascii="宋体" w:hAnsi="宋体" w:cs="宋体" w:eastAsia="宋体"/>
                      <w:sz w:val="20"/>
                    </w:rPr>
                    <w:t>32 用户精准推荐分析</w:t>
                  </w:r>
                </w:p>
                <w:p>
                  <w:pPr>
                    <w:pStyle w:val="null3"/>
                    <w:jc w:val="left"/>
                  </w:pPr>
                  <w:r>
                    <w:rPr>
                      <w:rFonts w:ascii="宋体" w:hAnsi="宋体" w:cs="宋体" w:eastAsia="宋体"/>
                      <w:sz w:val="20"/>
                    </w:rPr>
                    <w:t>项目</w:t>
                  </w:r>
                  <w:r>
                    <w:rPr>
                      <w:rFonts w:ascii="宋体" w:hAnsi="宋体" w:cs="宋体" w:eastAsia="宋体"/>
                      <w:sz w:val="20"/>
                    </w:rPr>
                    <w:t>33 用户行为预测分析</w:t>
                  </w:r>
                </w:p>
                <w:p>
                  <w:pPr>
                    <w:pStyle w:val="null3"/>
                    <w:jc w:val="left"/>
                  </w:pPr>
                  <w:r>
                    <w:rPr>
                      <w:rFonts w:ascii="宋体" w:hAnsi="宋体" w:cs="宋体" w:eastAsia="宋体"/>
                      <w:sz w:val="20"/>
                    </w:rPr>
                    <w:t>项目</w:t>
                  </w:r>
                  <w:r>
                    <w:rPr>
                      <w:rFonts w:ascii="宋体" w:hAnsi="宋体" w:cs="宋体" w:eastAsia="宋体"/>
                      <w:sz w:val="20"/>
                    </w:rPr>
                    <w:t>34 产品评价主题分析</w:t>
                  </w:r>
                </w:p>
                <w:p>
                  <w:pPr>
                    <w:pStyle w:val="null3"/>
                    <w:jc w:val="left"/>
                  </w:pPr>
                  <w:r>
                    <w:rPr>
                      <w:rFonts w:ascii="宋体" w:hAnsi="宋体" w:cs="宋体" w:eastAsia="宋体"/>
                      <w:sz w:val="20"/>
                    </w:rPr>
                    <w:t>项目</w:t>
                  </w:r>
                  <w:r>
                    <w:rPr>
                      <w:rFonts w:ascii="宋体" w:hAnsi="宋体" w:cs="宋体" w:eastAsia="宋体"/>
                      <w:sz w:val="20"/>
                    </w:rPr>
                    <w:t>35 虚假图文宣传分析</w:t>
                  </w:r>
                </w:p>
                <w:p>
                  <w:pPr>
                    <w:pStyle w:val="null3"/>
                    <w:jc w:val="left"/>
                  </w:pPr>
                  <w:r>
                    <w:rPr>
                      <w:rFonts w:ascii="宋体" w:hAnsi="宋体" w:cs="宋体" w:eastAsia="宋体"/>
                      <w:sz w:val="20"/>
                    </w:rPr>
                    <w:t>（五）业财融合实践教学平台</w:t>
                  </w:r>
                </w:p>
                <w:p>
                  <w:pPr>
                    <w:pStyle w:val="null3"/>
                    <w:ind w:firstLine="400"/>
                    <w:jc w:val="left"/>
                  </w:pPr>
                  <w:r>
                    <w:rPr>
                      <w:rFonts w:ascii="宋体" w:hAnsi="宋体" w:cs="宋体" w:eastAsia="宋体"/>
                      <w:sz w:val="20"/>
                    </w:rPr>
                    <w:t>平台要求是采用分布式架构设计支撑的生态云平台，可以支持公有云</w:t>
                  </w:r>
                  <w:r>
                    <w:rPr>
                      <w:rFonts w:ascii="宋体" w:hAnsi="宋体" w:cs="宋体" w:eastAsia="宋体"/>
                      <w:sz w:val="20"/>
                    </w:rPr>
                    <w:t>/专属云/私有云/混合云模式部署；</w:t>
                  </w:r>
                </w:p>
                <w:p>
                  <w:pPr>
                    <w:pStyle w:val="null3"/>
                    <w:ind w:firstLine="400"/>
                    <w:jc w:val="left"/>
                  </w:pPr>
                  <w:r>
                    <w:rPr>
                      <w:rFonts w:ascii="宋体" w:hAnsi="宋体" w:cs="宋体" w:eastAsia="宋体"/>
                      <w:sz w:val="20"/>
                    </w:rPr>
                    <w:t>通过开放平台（</w:t>
                  </w:r>
                  <w:r>
                    <w:rPr>
                      <w:rFonts w:ascii="宋体" w:hAnsi="宋体" w:cs="宋体" w:eastAsia="宋体"/>
                      <w:sz w:val="20"/>
                    </w:rPr>
                    <w:t>OpenAPI），支持ISV(独立平台开发商)接入，标准化、规范化的接入方式，并提供接入指南；</w:t>
                  </w:r>
                </w:p>
                <w:p>
                  <w:pPr>
                    <w:pStyle w:val="null3"/>
                    <w:ind w:firstLine="400"/>
                    <w:jc w:val="left"/>
                  </w:pPr>
                  <w:r>
                    <w:rPr>
                      <w:rFonts w:ascii="宋体" w:hAnsi="宋体" w:cs="宋体" w:eastAsia="宋体"/>
                      <w:sz w:val="20"/>
                    </w:rPr>
                    <w:t>平台架构建设需基于领域驱动设计指导思想，整体采用前后端分离和分布式微服务的弹性计算架构实现；</w:t>
                  </w:r>
                </w:p>
                <w:p>
                  <w:pPr>
                    <w:pStyle w:val="null3"/>
                    <w:ind w:firstLine="400"/>
                    <w:jc w:val="left"/>
                  </w:pPr>
                  <w:r>
                    <w:rPr>
                      <w:rFonts w:ascii="宋体" w:hAnsi="宋体" w:cs="宋体" w:eastAsia="宋体"/>
                      <w:sz w:val="20"/>
                    </w:rPr>
                    <w:t>平台后端要求主要基于</w:t>
                  </w:r>
                  <w:r>
                    <w:rPr>
                      <w:rFonts w:ascii="宋体" w:hAnsi="宋体" w:cs="宋体" w:eastAsia="宋体"/>
                      <w:sz w:val="20"/>
                    </w:rPr>
                    <w:t>Java的Spring cloud实现、前端基于NodeJS＋Dva＋React实现；</w:t>
                  </w:r>
                </w:p>
                <w:p>
                  <w:pPr>
                    <w:pStyle w:val="null3"/>
                    <w:ind w:firstLine="400"/>
                    <w:jc w:val="left"/>
                  </w:pPr>
                  <w:r>
                    <w:rPr>
                      <w:rFonts w:ascii="宋体" w:hAnsi="宋体" w:cs="宋体" w:eastAsia="宋体"/>
                      <w:sz w:val="20"/>
                    </w:rPr>
                    <w:t>平台要具有高内聚、松耦合、业务单一、高性能、高并发、高可能、跨平台、跨语言的特点；</w:t>
                  </w:r>
                </w:p>
                <w:p>
                  <w:pPr>
                    <w:pStyle w:val="null3"/>
                    <w:ind w:firstLine="400"/>
                    <w:jc w:val="left"/>
                  </w:pPr>
                  <w:r>
                    <w:rPr>
                      <w:rFonts w:ascii="宋体" w:hAnsi="宋体" w:cs="宋体" w:eastAsia="宋体"/>
                      <w:sz w:val="20"/>
                    </w:rPr>
                    <w:t>平台需满足多数据源支持，可灵活实现公有云</w:t>
                  </w:r>
                  <w:r>
                    <w:rPr>
                      <w:rFonts w:ascii="宋体" w:hAnsi="宋体" w:cs="宋体" w:eastAsia="宋体"/>
                      <w:sz w:val="20"/>
                    </w:rPr>
                    <w:t>/混合云模式部署的技术一致性。</w:t>
                  </w:r>
                </w:p>
                <w:p>
                  <w:pPr>
                    <w:pStyle w:val="null3"/>
                    <w:ind w:firstLine="400"/>
                    <w:jc w:val="left"/>
                  </w:pPr>
                  <w:r>
                    <w:rPr>
                      <w:rFonts w:ascii="宋体" w:hAnsi="宋体" w:cs="宋体" w:eastAsia="宋体"/>
                      <w:sz w:val="20"/>
                    </w:rPr>
                    <w:t>平台能实现基于全流程</w:t>
                  </w:r>
                  <w:r>
                    <w:rPr>
                      <w:rFonts w:ascii="宋体" w:hAnsi="宋体" w:cs="宋体" w:eastAsia="宋体"/>
                      <w:sz w:val="20"/>
                    </w:rPr>
                    <w:t>DevOps自动化运维，可支持持续集成、分析、服务注册与发现；</w:t>
                  </w:r>
                </w:p>
                <w:p>
                  <w:pPr>
                    <w:pStyle w:val="null3"/>
                    <w:ind w:firstLine="400"/>
                    <w:jc w:val="left"/>
                  </w:pPr>
                  <w:r>
                    <w:rPr>
                      <w:rFonts w:ascii="宋体" w:hAnsi="宋体" w:cs="宋体" w:eastAsia="宋体"/>
                      <w:sz w:val="20"/>
                    </w:rPr>
                    <w:t>平台能支持系统监控、性能监控、日志管理、预警、持续部署；</w:t>
                  </w:r>
                </w:p>
                <w:p>
                  <w:pPr>
                    <w:pStyle w:val="null3"/>
                    <w:ind w:firstLine="400"/>
                    <w:jc w:val="left"/>
                  </w:pPr>
                  <w:r>
                    <w:rPr>
                      <w:rFonts w:ascii="宋体" w:hAnsi="宋体" w:cs="宋体" w:eastAsia="宋体"/>
                      <w:sz w:val="20"/>
                    </w:rPr>
                    <w:t>平台的持续部署要求是基于</w:t>
                  </w:r>
                  <w:r>
                    <w:rPr>
                      <w:rFonts w:ascii="宋体" w:hAnsi="宋体" w:cs="宋体" w:eastAsia="宋体"/>
                      <w:sz w:val="20"/>
                    </w:rPr>
                    <w:t>docker的镜像仓库，Kubernetes的容器云管理调度平台，在线可视化管理、监控、调度容器；</w:t>
                  </w:r>
                </w:p>
                <w:p>
                  <w:pPr>
                    <w:pStyle w:val="null3"/>
                    <w:ind w:firstLine="400"/>
                    <w:jc w:val="left"/>
                  </w:pPr>
                  <w:r>
                    <w:rPr>
                      <w:rFonts w:ascii="宋体" w:hAnsi="宋体" w:cs="宋体" w:eastAsia="宋体"/>
                      <w:sz w:val="20"/>
                    </w:rPr>
                    <w:t>平台基础服务层需支持</w:t>
                  </w:r>
                  <w:r>
                    <w:rPr>
                      <w:rFonts w:ascii="宋体" w:hAnsi="宋体" w:cs="宋体" w:eastAsia="宋体"/>
                      <w:sz w:val="20"/>
                    </w:rPr>
                    <w:t>RDS和NoSQL两种方式，采用MySQL集群和MongoDB集群搭建；</w:t>
                  </w:r>
                </w:p>
                <w:p>
                  <w:pPr>
                    <w:pStyle w:val="null3"/>
                    <w:ind w:firstLine="400"/>
                    <w:jc w:val="left"/>
                  </w:pPr>
                  <w:r>
                    <w:rPr>
                      <w:rFonts w:ascii="宋体" w:hAnsi="宋体" w:cs="宋体" w:eastAsia="宋体"/>
                      <w:sz w:val="20"/>
                    </w:rPr>
                    <w:t>满足支持基于</w:t>
                  </w:r>
                  <w:r>
                    <w:rPr>
                      <w:rFonts w:ascii="宋体" w:hAnsi="宋体" w:cs="宋体" w:eastAsia="宋体"/>
                      <w:sz w:val="20"/>
                    </w:rPr>
                    <w:t>CQRS的分布式事务处理，支持数据自动备份，同时可使用在Redis集群对数据进行缓存；</w:t>
                  </w:r>
                </w:p>
                <w:p>
                  <w:pPr>
                    <w:pStyle w:val="null3"/>
                    <w:ind w:firstLine="400"/>
                    <w:jc w:val="left"/>
                  </w:pPr>
                  <w:r>
                    <w:rPr>
                      <w:rFonts w:ascii="宋体" w:hAnsi="宋体" w:cs="宋体" w:eastAsia="宋体"/>
                      <w:sz w:val="20"/>
                    </w:rPr>
                    <w:t>平台需能够支持大并发，且可以支持进行纯本地化数据源，需支持云端部署。</w:t>
                  </w:r>
                </w:p>
                <w:p>
                  <w:pPr>
                    <w:pStyle w:val="null3"/>
                    <w:ind w:firstLine="400"/>
                    <w:jc w:val="left"/>
                  </w:pPr>
                  <w:r>
                    <w:rPr>
                      <w:rFonts w:ascii="宋体" w:hAnsi="宋体" w:cs="宋体" w:eastAsia="宋体"/>
                      <w:sz w:val="20"/>
                    </w:rPr>
                    <w:t>平台基础服务层需支持短信邮件服务、视频直播</w:t>
                  </w:r>
                  <w:r>
                    <w:rPr>
                      <w:rFonts w:ascii="宋体" w:hAnsi="宋体" w:cs="宋体" w:eastAsia="宋体"/>
                      <w:sz w:val="20"/>
                    </w:rPr>
                    <w:t>/点播服务、消息队列服务、OSS对象存储服务、用户/鉴权服务、RPC服务、WebSocket服务等，保证平台的通用性；除短信邮件及直播服务外，其他基础服务都具备本地化解决方案。</w:t>
                  </w:r>
                </w:p>
                <w:p>
                  <w:pPr>
                    <w:pStyle w:val="null3"/>
                    <w:ind w:firstLine="400"/>
                    <w:jc w:val="left"/>
                  </w:pPr>
                  <w:r>
                    <w:rPr>
                      <w:rFonts w:ascii="宋体" w:hAnsi="宋体" w:cs="宋体" w:eastAsia="宋体"/>
                      <w:sz w:val="20"/>
                    </w:rPr>
                    <w:t>为保证平台安全性，平台的</w:t>
                  </w:r>
                  <w:r>
                    <w:rPr>
                      <w:rFonts w:ascii="宋体" w:hAnsi="宋体" w:cs="宋体" w:eastAsia="宋体"/>
                      <w:sz w:val="20"/>
                    </w:rPr>
                    <w:t>OpenAPI开放生态服务需基于Restful接口方式接入，且所有接口支持数字签名方式；</w:t>
                  </w:r>
                </w:p>
                <w:p>
                  <w:pPr>
                    <w:pStyle w:val="null3"/>
                    <w:ind w:firstLine="400"/>
                    <w:jc w:val="left"/>
                  </w:pPr>
                  <w:r>
                    <w:rPr>
                      <w:rFonts w:ascii="宋体" w:hAnsi="宋体" w:cs="宋体" w:eastAsia="宋体"/>
                      <w:sz w:val="20"/>
                    </w:rPr>
                    <w:t>平台需支持流程推送服务，采用自主开发的流程引擎，通过拉式处理方式，实现准确流程控制和高效流程推送；</w:t>
                  </w:r>
                </w:p>
                <w:p>
                  <w:pPr>
                    <w:pStyle w:val="null3"/>
                    <w:ind w:firstLine="400"/>
                    <w:jc w:val="left"/>
                  </w:pPr>
                  <w:r>
                    <w:rPr>
                      <w:rFonts w:ascii="宋体" w:hAnsi="宋体" w:cs="宋体" w:eastAsia="宋体"/>
                      <w:sz w:val="20"/>
                    </w:rPr>
                    <w:t>平台需兼容主流浏览器（</w:t>
                  </w:r>
                  <w:r>
                    <w:rPr>
                      <w:rFonts w:ascii="宋体" w:hAnsi="宋体" w:cs="宋体" w:eastAsia="宋体"/>
                      <w:sz w:val="20"/>
                    </w:rPr>
                    <w:t>Chrome），不需要安装任何客户端；</w:t>
                  </w:r>
                </w:p>
                <w:p>
                  <w:pPr>
                    <w:pStyle w:val="null3"/>
                    <w:ind w:firstLine="400"/>
                    <w:jc w:val="left"/>
                  </w:pPr>
                  <w:r>
                    <w:rPr>
                      <w:rFonts w:ascii="宋体" w:hAnsi="宋体" w:cs="宋体" w:eastAsia="宋体"/>
                      <w:sz w:val="20"/>
                    </w:rPr>
                    <w:t>平台采用</w:t>
                  </w:r>
                  <w:r>
                    <w:rPr>
                      <w:rFonts w:ascii="宋体" w:hAnsi="宋体" w:cs="宋体" w:eastAsia="宋体"/>
                      <w:sz w:val="20"/>
                    </w:rPr>
                    <w:t>TLS与SSL在传输层对网络连接进行加密，保证数据的安全性。</w:t>
                  </w:r>
                </w:p>
                <w:p>
                  <w:pPr>
                    <w:pStyle w:val="null3"/>
                    <w:ind w:firstLine="400"/>
                    <w:jc w:val="left"/>
                  </w:pPr>
                  <w:r>
                    <w:rPr>
                      <w:rFonts w:ascii="宋体" w:hAnsi="宋体" w:cs="宋体" w:eastAsia="宋体"/>
                      <w:sz w:val="20"/>
                    </w:rPr>
                    <w:t>平台可实现通过对客户端埋点接口调用，对用户行为进行数据采集和大数据分析。</w:t>
                  </w:r>
                </w:p>
                <w:p>
                  <w:pPr>
                    <w:pStyle w:val="null3"/>
                    <w:ind w:firstLine="400"/>
                    <w:jc w:val="left"/>
                  </w:pPr>
                  <w:r>
                    <w:rPr>
                      <w:rFonts w:ascii="宋体" w:hAnsi="宋体" w:cs="宋体" w:eastAsia="宋体"/>
                      <w:sz w:val="20"/>
                    </w:rPr>
                    <w:t>系统运行和异常日志采用主流日志框架</w:t>
                  </w:r>
                  <w:r>
                    <w:rPr>
                      <w:rFonts w:ascii="宋体" w:hAnsi="宋体" w:cs="宋体" w:eastAsia="宋体"/>
                      <w:sz w:val="20"/>
                    </w:rPr>
                    <w:t>logback以文件存储，持久化日志；</w:t>
                  </w:r>
                </w:p>
                <w:p>
                  <w:pPr>
                    <w:pStyle w:val="null3"/>
                    <w:ind w:firstLine="400"/>
                    <w:jc w:val="left"/>
                  </w:pPr>
                  <w:r>
                    <w:rPr>
                      <w:rFonts w:ascii="宋体" w:hAnsi="宋体" w:cs="宋体" w:eastAsia="宋体"/>
                      <w:sz w:val="20"/>
                    </w:rPr>
                    <w:t>★平台包含的教学中心、自由训练中心、模拟考试中心、ERP需可以实现无缝衔接，实现单点登录；</w:t>
                  </w:r>
                </w:p>
                <w:p>
                  <w:pPr>
                    <w:pStyle w:val="null3"/>
                    <w:ind w:firstLine="400"/>
                    <w:jc w:val="left"/>
                  </w:pPr>
                  <w:r>
                    <w:rPr>
                      <w:rFonts w:ascii="宋体" w:hAnsi="宋体" w:cs="宋体" w:eastAsia="宋体"/>
                      <w:sz w:val="20"/>
                    </w:rPr>
                    <w:t>平台应提供业财一体化理论教学与信息化应用技能实操教学相结合的综合教学模式，内置丰富的教学场景和案例；</w:t>
                  </w:r>
                </w:p>
                <w:p>
                  <w:pPr>
                    <w:pStyle w:val="null3"/>
                    <w:ind w:firstLine="400"/>
                    <w:jc w:val="left"/>
                  </w:pPr>
                  <w:r>
                    <w:rPr>
                      <w:rFonts w:ascii="宋体" w:hAnsi="宋体" w:cs="宋体" w:eastAsia="宋体"/>
                      <w:sz w:val="20"/>
                    </w:rPr>
                    <w:t>平台需支持标准操作流程和自由操作流程两种模式。通过技术手段可以控制学生必须按照标准操作流程进行业财一体化业务处理操作、业财一体化财务处理操作，当操作错误时，系统会给出提示，保证学生能按照标准流程完成系统操作；</w:t>
                  </w:r>
                </w:p>
                <w:p>
                  <w:pPr>
                    <w:pStyle w:val="null3"/>
                    <w:ind w:firstLine="400"/>
                    <w:jc w:val="left"/>
                  </w:pPr>
                  <w:r>
                    <w:rPr>
                      <w:rFonts w:ascii="宋体" w:hAnsi="宋体" w:cs="宋体" w:eastAsia="宋体"/>
                      <w:sz w:val="20"/>
                    </w:rPr>
                    <w:t>平台支持在标准操作流程基础上进行自由操作，体验</w:t>
                  </w:r>
                  <w:r>
                    <w:rPr>
                      <w:rFonts w:ascii="宋体" w:hAnsi="宋体" w:cs="宋体" w:eastAsia="宋体"/>
                      <w:sz w:val="20"/>
                    </w:rPr>
                    <w:t>ERP实现企业实务的多路径多通道；</w:t>
                  </w:r>
                </w:p>
                <w:p>
                  <w:pPr>
                    <w:pStyle w:val="null3"/>
                    <w:ind w:firstLine="400"/>
                    <w:jc w:val="left"/>
                  </w:pPr>
                  <w:r>
                    <w:rPr>
                      <w:rFonts w:ascii="宋体" w:hAnsi="宋体" w:cs="宋体" w:eastAsia="宋体"/>
                      <w:sz w:val="20"/>
                    </w:rPr>
                    <w:t>平台需具有教学、训练、模拟考试的功能，其中教学与自由训练中心需包含业财一体化初级课程学习模块、业财一体化中级课程学习模块、业财一体化初级自训练模块、业财一体化中级自训练模块；模拟考试中心需包含业财一体化初级模拟考试试题、业财一体化中级模拟考试试题；</w:t>
                  </w:r>
                </w:p>
                <w:p>
                  <w:pPr>
                    <w:pStyle w:val="null3"/>
                    <w:ind w:firstLine="400"/>
                    <w:jc w:val="left"/>
                  </w:pPr>
                  <w:r>
                    <w:rPr>
                      <w:rFonts w:ascii="宋体" w:hAnsi="宋体" w:cs="宋体" w:eastAsia="宋体"/>
                      <w:sz w:val="20"/>
                    </w:rPr>
                    <w:t>★平台课程学习模块中设置的课程内容要求以真实企业案例、工作任务、业务数据为主体，应包含业财一体信息化应用配套教材大纲，演示在ERP中各岗位技能点的标准操作流程；根据配套教材任务内容，讲解该任务涉及到的业务知识点及对应系统操作标准流程，包括ERP操作讲解，税务及开票等仿真系统操作讲解；能引用“scorm演示课件”还原真实ERP的操作，跟踪式引导学生操作并判断操作正确性，带着学生演示系统标准操作流程；在演示过程中，带着学生一步一步操作，如果操作错误，会给出提示，保证学生能按照标准流程完成系统操作；</w:t>
                  </w:r>
                </w:p>
                <w:p>
                  <w:pPr>
                    <w:pStyle w:val="null3"/>
                    <w:ind w:firstLine="400"/>
                    <w:jc w:val="left"/>
                  </w:pPr>
                  <w:r>
                    <w:rPr>
                      <w:rFonts w:ascii="宋体" w:hAnsi="宋体" w:cs="宋体" w:eastAsia="宋体"/>
                      <w:sz w:val="20"/>
                    </w:rPr>
                    <w:t>★平台自由训练模块需包含业财一体化应用题面、ERP标准操作训练题、ERP初始账套、ERP自由训练评分点；平台初级自由训练模块以完整的一套训练题库包含的企业经营业务为主体，可实现依托训练平台无缝衔接ERP、税务云仿真系统等真实企业应用软件，让学生在真实系统中按照业务顺序和要求，工作标准流程进行操作，并根据学生操作记录进行甄别，时时给出教学评价与成绩，达到自评自考的进阶训练目的；</w:t>
                  </w:r>
                </w:p>
                <w:p>
                  <w:pPr>
                    <w:pStyle w:val="null3"/>
                    <w:ind w:firstLine="400"/>
                    <w:jc w:val="left"/>
                  </w:pPr>
                  <w:r>
                    <w:rPr>
                      <w:rFonts w:ascii="宋体" w:hAnsi="宋体" w:cs="宋体" w:eastAsia="宋体"/>
                      <w:sz w:val="20"/>
                    </w:rPr>
                    <w:t>平台中的模拟考试中心需包含业财一体化模拟考试考务管理及模拟考试题库；主要功能为模拟考试训练；按照考试模式，进行模拟考试训练；以便让学生在真实的考试环境下，进行模拟训练，以提高考试成绩；</w:t>
                  </w:r>
                </w:p>
                <w:p>
                  <w:pPr>
                    <w:pStyle w:val="null3"/>
                    <w:ind w:firstLine="400"/>
                    <w:jc w:val="left"/>
                  </w:pPr>
                  <w:r>
                    <w:rPr>
                      <w:rFonts w:ascii="宋体" w:hAnsi="宋体" w:cs="宋体" w:eastAsia="宋体"/>
                      <w:sz w:val="20"/>
                    </w:rPr>
                    <w:t>平台需满足从任务整体学习进度和单个学生学习进度两个维度提供数据化分析，为教师授课提供数据依据，以便控制进度；</w:t>
                  </w:r>
                </w:p>
                <w:p>
                  <w:pPr>
                    <w:pStyle w:val="null3"/>
                    <w:ind w:firstLine="400"/>
                    <w:jc w:val="left"/>
                  </w:pPr>
                  <w:r>
                    <w:rPr>
                      <w:rFonts w:ascii="宋体" w:hAnsi="宋体" w:cs="宋体" w:eastAsia="宋体"/>
                      <w:sz w:val="20"/>
                    </w:rPr>
                    <w:t>平台需支持学生质量分析，支持对学生的考勤、作业、日志、学习时间、学习教学资源的次数等进行统计、分析、排名，评价学生学习态度与努力情况，需支持查看学生平时成绩、主观评分、最终成绩；可批量导出，用于教学存档；</w:t>
                  </w:r>
                </w:p>
                <w:p>
                  <w:pPr>
                    <w:pStyle w:val="null3"/>
                    <w:ind w:firstLine="400"/>
                    <w:jc w:val="left"/>
                  </w:pPr>
                  <w:r>
                    <w:rPr>
                      <w:rFonts w:ascii="宋体" w:hAnsi="宋体" w:cs="宋体" w:eastAsia="宋体"/>
                      <w:sz w:val="20"/>
                    </w:rPr>
                    <w:t>平台设计的初级训练内容包括业财一体信息化平台基础设置与维护、业财一体信息化平台期初数据录入、业财一体信息化平台典型财务处理、业财一体信息化平台典型业务处理、业财一体信息化平台增值税业务处理、业财一体信息化平台月末处理及会计档案管理等内容；</w:t>
                  </w:r>
                </w:p>
                <w:p>
                  <w:pPr>
                    <w:pStyle w:val="null3"/>
                    <w:ind w:firstLine="400"/>
                    <w:jc w:val="left"/>
                  </w:pPr>
                  <w:r>
                    <w:rPr>
                      <w:rFonts w:ascii="宋体" w:hAnsi="宋体" w:cs="宋体" w:eastAsia="宋体"/>
                      <w:sz w:val="20"/>
                    </w:rPr>
                    <w:t>平台设计的中级训练内容包括业财一体信息化平台业务流程实施、业财一体信息化平台期初数据维护、业财一体信息化平台财务处理、业财一体信息化平台业务处理、业财一体信息化平台税务业务管理、业财一体信息化平台期末业财账务处理。</w:t>
                  </w:r>
                </w:p>
                <w:p>
                  <w:pPr>
                    <w:pStyle w:val="null3"/>
                    <w:ind w:firstLine="400"/>
                    <w:jc w:val="left"/>
                  </w:pPr>
                  <w:r>
                    <w:rPr>
                      <w:rFonts w:ascii="宋体" w:hAnsi="宋体" w:cs="宋体" w:eastAsia="宋体"/>
                      <w:sz w:val="20"/>
                    </w:rPr>
                    <w:t>平台可以实现出纳业务处理的训练内容，包括在信息化平台上查询待签字的现金、银行类凭证并进行签字处理；查询现金日记账、银行存款日记账、资金日报表的现金、银行存款科目的发生额及余额情况并保存到本地；在平台支票登记簿中增加支票、签发支票；查询银行对账单，编制银行存款余额调节表；进行现金日记账的账实核对。</w:t>
                  </w:r>
                </w:p>
                <w:p>
                  <w:pPr>
                    <w:pStyle w:val="null3"/>
                    <w:ind w:firstLine="400"/>
                    <w:jc w:val="left"/>
                  </w:pPr>
                  <w:r>
                    <w:rPr>
                      <w:rFonts w:ascii="宋体" w:hAnsi="宋体" w:cs="宋体" w:eastAsia="宋体"/>
                      <w:sz w:val="20"/>
                    </w:rPr>
                    <w:t>该平台需能进行增值税发票管理的训练，包括在信息化平台中录入增值税进项发票；</w:t>
                  </w:r>
                </w:p>
                <w:p>
                  <w:pPr>
                    <w:pStyle w:val="null3"/>
                    <w:ind w:firstLine="400"/>
                    <w:jc w:val="left"/>
                  </w:pPr>
                  <w:r>
                    <w:rPr>
                      <w:rFonts w:ascii="宋体" w:hAnsi="宋体" w:cs="宋体" w:eastAsia="宋体"/>
                      <w:sz w:val="20"/>
                    </w:rPr>
                    <w:t>平台需能进行增值税发票开具的学习、训练，包括在信息化平台上进行开具增值税专用发票、增值税普通发票、电子发票；</w:t>
                  </w:r>
                </w:p>
                <w:p>
                  <w:pPr>
                    <w:pStyle w:val="null3"/>
                    <w:ind w:firstLine="400"/>
                    <w:jc w:val="left"/>
                  </w:pPr>
                  <w:r>
                    <w:rPr>
                      <w:rFonts w:ascii="宋体" w:hAnsi="宋体" w:cs="宋体" w:eastAsia="宋体"/>
                      <w:sz w:val="20"/>
                    </w:rPr>
                    <w:t>能进行扫描开票训练、能进行企业已保存未开票及已开票数据查询训练、能进行企业受票台账查询、能进行销项发票管理训练（包括销售发票汇总表、销项发票明细表、销售统计表）、能进行进项发票统计表查询训练、能进行进项认证训练、能进行进项转出管理训练、能进行视同销售管理训练、能进行个税申报训练（包括员工个人信息采集及</w:t>
                  </w:r>
                  <w:r>
                    <w:rPr>
                      <w:rFonts w:ascii="宋体" w:hAnsi="宋体" w:cs="宋体" w:eastAsia="宋体"/>
                      <w:sz w:val="20"/>
                    </w:rPr>
                    <w:t>正常工资薪金报税训练）；</w:t>
                  </w:r>
                </w:p>
                <w:p>
                  <w:pPr>
                    <w:pStyle w:val="null3"/>
                    <w:ind w:firstLine="400"/>
                    <w:jc w:val="left"/>
                  </w:pPr>
                  <w:r>
                    <w:rPr>
                      <w:rFonts w:ascii="宋体" w:hAnsi="宋体" w:cs="宋体" w:eastAsia="宋体"/>
                      <w:sz w:val="20"/>
                    </w:rPr>
                    <w:t>平台需能进行增值税发票验证，包括在信息化平台上进行增值税发票（教学中心给出的发票）的进行发票真伪验证；</w:t>
                  </w:r>
                </w:p>
                <w:p>
                  <w:pPr>
                    <w:pStyle w:val="null3"/>
                    <w:ind w:firstLine="400"/>
                    <w:jc w:val="left"/>
                  </w:pPr>
                  <w:r>
                    <w:rPr>
                      <w:rFonts w:ascii="宋体" w:hAnsi="宋体" w:cs="宋体" w:eastAsia="宋体"/>
                      <w:sz w:val="20"/>
                    </w:rPr>
                    <w:t>平台需能进行增值税纳税申报学习训练，包括在信息化平台上计算进项税额、销项税额及应交增值税数据；填制增值税纳税申报表附表；正确填制增值税纳税申报表；并依据缴款回执生成凭证。</w:t>
                  </w:r>
                </w:p>
                <w:p>
                  <w:pPr>
                    <w:pStyle w:val="null3"/>
                    <w:ind w:firstLine="400"/>
                    <w:jc w:val="left"/>
                  </w:pPr>
                  <w:r>
                    <w:rPr>
                      <w:rFonts w:ascii="宋体" w:hAnsi="宋体" w:cs="宋体" w:eastAsia="宋体"/>
                      <w:sz w:val="20"/>
                    </w:rPr>
                    <w:t>平台中级能力训练模块中，业财期初数据稽核训练内容包括：进行固定资产期初数据账面检查，进行固定资产期初稽核；进行期初库存数据账面检查、实际盘点，进行库存期初稽核；对应收应付业务期初数据进行稽核；对合同业务、采购业务期初数据进行稽核；依据库存期初稽核结果、固定资产期初稽核结果、应收应付期初稽核结果、合同业务期初稽核结果、采购业务期初稽核结果，进行财务账务期初稽核；</w:t>
                  </w:r>
                </w:p>
                <w:p>
                  <w:pPr>
                    <w:pStyle w:val="null3"/>
                    <w:ind w:firstLine="400"/>
                    <w:jc w:val="left"/>
                  </w:pPr>
                  <w:r>
                    <w:rPr>
                      <w:rFonts w:ascii="宋体" w:hAnsi="宋体" w:cs="宋体" w:eastAsia="宋体"/>
                      <w:sz w:val="20"/>
                    </w:rPr>
                    <w:t>★应收应付业务处理训练内容包括：在信息化平台上对采购发票、销售发票、付款单、收款单进行录入及审核处理、核销处理，并生成记账凭证。进行收付款业务处理，并生成收付款类业务记账凭证。进行应收冲预收、应收冲应收、应收冲应付、应付冲应付、应付冲预付、应付冲应收、红票对冲等业务处理及客户供应商业务的合并或调整。进行应收应付票据业务处理，包括票据贴现、背书、转出、换票、计息、结算等业务。进行坏账业务处理，包括计提坏账准备、坏账发生、坏账收回等业务。进行取消操作、反结账操作；</w:t>
                  </w:r>
                </w:p>
                <w:p>
                  <w:pPr>
                    <w:pStyle w:val="null3"/>
                    <w:ind w:firstLine="400"/>
                    <w:jc w:val="left"/>
                  </w:pPr>
                  <w:r>
                    <w:rPr>
                      <w:rFonts w:ascii="宋体" w:hAnsi="宋体" w:cs="宋体" w:eastAsia="宋体"/>
                      <w:sz w:val="20"/>
                    </w:rPr>
                    <w:t>固定资产业务处理训练内容包括：在信息化平台进行固定资产增加业务处理，并生成记账凭证；对固定资产进行原值增减、使用部门调整、使用年限调整、累计折旧调整等变更业务处理，并按需生成凭证；进行计提固定资产折旧，并单张或批量生成记账凭证；进行资产处置、资产变卖等资产减少处理，及取消资产减少处理，并生成记账凭证；进行资产盘点业务，并进行资产盘盈</w:t>
                  </w:r>
                  <w:r>
                    <w:rPr>
                      <w:rFonts w:ascii="宋体" w:hAnsi="宋体" w:cs="宋体" w:eastAsia="宋体"/>
                      <w:sz w:val="20"/>
                    </w:rPr>
                    <w:t>盘亏处理；</w:t>
                  </w:r>
                </w:p>
                <w:p>
                  <w:pPr>
                    <w:pStyle w:val="null3"/>
                    <w:ind w:firstLine="400"/>
                    <w:jc w:val="left"/>
                  </w:pPr>
                  <w:r>
                    <w:rPr>
                      <w:rFonts w:ascii="宋体" w:hAnsi="宋体" w:cs="宋体" w:eastAsia="宋体"/>
                      <w:sz w:val="20"/>
                    </w:rPr>
                    <w:t>网上银行业务处理训练内容包括：在信息化平台进行支付的录入、复核、审批、支付及变更业务，并生成记账凭证；进行账户余额、交易明细、银行扣款明细等信息查询；进行付款单据对账；</w:t>
                  </w:r>
                </w:p>
                <w:p>
                  <w:pPr>
                    <w:pStyle w:val="null3"/>
                    <w:ind w:firstLine="400"/>
                    <w:jc w:val="left"/>
                  </w:pPr>
                  <w:r>
                    <w:rPr>
                      <w:rFonts w:ascii="宋体" w:hAnsi="宋体" w:cs="宋体" w:eastAsia="宋体"/>
                      <w:sz w:val="20"/>
                    </w:rPr>
                    <w:t>网上报销业务处理训练内容包括：在信息化平台进行费用申请及借款业务；进行日常报销业务；对费用申请、日常报销等进行财务审核及业务处理，并正确生成凭证；进行借款到期报警、借款账龄分析、借款统计及明细表、收支明细表等支撑操作；</w:t>
                  </w:r>
                </w:p>
                <w:p>
                  <w:pPr>
                    <w:pStyle w:val="null3"/>
                    <w:ind w:firstLine="400"/>
                    <w:jc w:val="left"/>
                  </w:pPr>
                  <w:r>
                    <w:rPr>
                      <w:rFonts w:ascii="宋体" w:hAnsi="宋体" w:cs="宋体" w:eastAsia="宋体"/>
                      <w:sz w:val="20"/>
                    </w:rPr>
                    <w:t>合同业务处理训练内容包括：在信息化平台录入合同信息；录入合同执行单；进行合同结算业务，录入合同结算单；进行付款申请处理；为业务部门提供合同执行情况表、合同收付款执行情况表等合同分析报表；</w:t>
                  </w:r>
                </w:p>
                <w:p>
                  <w:pPr>
                    <w:pStyle w:val="null3"/>
                    <w:ind w:firstLine="400"/>
                    <w:jc w:val="left"/>
                  </w:pPr>
                  <w:r>
                    <w:rPr>
                      <w:rFonts w:ascii="宋体" w:hAnsi="宋体" w:cs="宋体" w:eastAsia="宋体"/>
                      <w:sz w:val="20"/>
                    </w:rPr>
                    <w:t>采购业务处理训练内容包括：在信息化平台进行采购询比价业务处理；进行受托代销业务处理，并生成凭证；进行代管业务处理，并生成凭证；进行采购折扣业务处理，并生成凭证；进行采购付款申请业务处理，并生成凭证；进行退货退票业务处理，并生成凭证；</w:t>
                  </w:r>
                </w:p>
                <w:p>
                  <w:pPr>
                    <w:pStyle w:val="null3"/>
                    <w:ind w:firstLine="400"/>
                    <w:jc w:val="left"/>
                  </w:pPr>
                  <w:r>
                    <w:rPr>
                      <w:rFonts w:ascii="宋体" w:hAnsi="宋体" w:cs="宋体" w:eastAsia="宋体"/>
                      <w:sz w:val="20"/>
                    </w:rPr>
                    <w:t>销售业务处理训练内容包括：在信息化平台中对不同客户设置不同的价格策略；进行收取定金的销售业务，并生成凭证；进行委托代销业务处理，并生成凭证；进行零售日报业务处理，并生成凭证；进行分期收款业务处理，并生成凭证；进行直运销售业务处理，并生成凭证；进行代垫运费业务处理并生成凭证；</w:t>
                  </w:r>
                </w:p>
                <w:p>
                  <w:pPr>
                    <w:pStyle w:val="null3"/>
                    <w:ind w:firstLine="400"/>
                    <w:jc w:val="left"/>
                  </w:pPr>
                  <w:r>
                    <w:rPr>
                      <w:rFonts w:ascii="宋体" w:hAnsi="宋体" w:cs="宋体" w:eastAsia="宋体"/>
                      <w:sz w:val="20"/>
                    </w:rPr>
                    <w:t>库存及存货业务处理训练内容包括：在信息化平台上录入生产领料单、材料出库单、</w:t>
                  </w:r>
                  <w:r>
                    <w:rPr>
                      <w:rFonts w:ascii="宋体" w:hAnsi="宋体" w:cs="宋体" w:eastAsia="宋体"/>
                      <w:sz w:val="20"/>
                    </w:rPr>
                    <w:t>产品入库单、产品出库单等，为产品成本计算提供数据来源。</w:t>
                  </w:r>
                  <w:r>
                    <w:rPr>
                      <w:rFonts w:ascii="宋体" w:hAnsi="宋体" w:cs="宋体" w:eastAsia="宋体"/>
                      <w:sz w:val="20"/>
                    </w:rPr>
                    <w:t>进行产品出入库业务，并按照实际选择的计价方式进行财务处理，生成凭证。</w:t>
                  </w:r>
                  <w:r>
                    <w:rPr>
                      <w:rFonts w:ascii="宋体" w:hAnsi="宋体" w:cs="宋体" w:eastAsia="宋体"/>
                      <w:sz w:val="20"/>
                    </w:rPr>
                    <w:t>进行产品调拨业务，并按照实际选择的计价方式进行财务处理，并生成凭证。</w:t>
                  </w:r>
                  <w:r>
                    <w:rPr>
                      <w:rFonts w:ascii="宋体" w:hAnsi="宋体" w:cs="宋体" w:eastAsia="宋体"/>
                      <w:sz w:val="20"/>
                    </w:rPr>
                    <w:t>进行产品借入借出业务，并按照实际选择的计价方式进行财务处理，并生成凭证。进行产品组装拆卸业务，并按照实际选择的计价方式进行财务处理，并生成凭证。进行产品形态转换业务，并按照实际</w:t>
                  </w:r>
                  <w:r>
                    <w:rPr>
                      <w:rFonts w:ascii="宋体" w:hAnsi="宋体" w:cs="宋体" w:eastAsia="宋体"/>
                      <w:sz w:val="20"/>
                    </w:rPr>
                    <w:t>选择的计价方式进行财务处理，并生成凭证。进行按仓库或按产品计提跌价准备业务进行财务处理，并生成凭证。</w:t>
                  </w:r>
                </w:p>
                <w:p>
                  <w:pPr>
                    <w:pStyle w:val="null3"/>
                    <w:ind w:firstLine="400"/>
                    <w:jc w:val="left"/>
                  </w:pPr>
                  <w:r>
                    <w:rPr>
                      <w:rFonts w:ascii="宋体" w:hAnsi="宋体" w:cs="宋体" w:eastAsia="宋体"/>
                      <w:sz w:val="20"/>
                    </w:rPr>
                    <w:t>售后服务业务处理训练内容包括：在信息化平台售后进行服务协议编制及修改业务。进行服务请求的录入及转服务单的业务处理。进行服务单执行录入及服务单费用的录入，以便及时进行服务结算确认收入。进行客户服务回访及客户投诉业务处理，以便正确反映服务情况进行业务提升。进行服务业务执行结算，并进行应收业务处理。为业务部门提供服务协议执行明细表及服务产品追溯表等服务业务报表。</w:t>
                  </w:r>
                </w:p>
                <w:p>
                  <w:pPr>
                    <w:pStyle w:val="null3"/>
                    <w:ind w:firstLine="400"/>
                    <w:jc w:val="left"/>
                  </w:pPr>
                  <w:r>
                    <w:rPr>
                      <w:rFonts w:ascii="宋体" w:hAnsi="宋体" w:cs="宋体" w:eastAsia="宋体"/>
                      <w:sz w:val="20"/>
                    </w:rPr>
                    <w:t>薪资福利业务处理训练内容包括：在信息化平台中进行工资项目调整，工资分摊公式设置；进行分类薪资计算及发放工作；进行工资分摊处理，将薪资费用计入到成本费用科目；计算员工的社会福利金额，并生成社保公积金的申报明细表。</w:t>
                  </w:r>
                </w:p>
                <w:p>
                  <w:pPr>
                    <w:pStyle w:val="null3"/>
                    <w:ind w:firstLine="400"/>
                    <w:jc w:val="left"/>
                  </w:pPr>
                  <w:r>
                    <w:rPr>
                      <w:rFonts w:ascii="宋体" w:hAnsi="宋体" w:cs="宋体" w:eastAsia="宋体"/>
                      <w:sz w:val="20"/>
                    </w:rPr>
                    <w:t>增值税业务管理训练内容包括：在信息化平台上正确开具增值税专用发票，增值税普通发票，电子发票，及发票作废工作。在信息化平台上填写增值税纳税申报表及附列资料。</w:t>
                  </w:r>
                </w:p>
                <w:p>
                  <w:pPr>
                    <w:pStyle w:val="null3"/>
                    <w:ind w:firstLine="400"/>
                    <w:jc w:val="left"/>
                  </w:pPr>
                  <w:r>
                    <w:rPr>
                      <w:rFonts w:ascii="宋体" w:hAnsi="宋体" w:cs="宋体" w:eastAsia="宋体"/>
                      <w:sz w:val="20"/>
                    </w:rPr>
                    <w:t>平台训练内容还需满足对其他税务处理的训练要求，进行教育费附加、地方教育费附加、城市维护建设税等税费的统计与核算。进行教育费附加、地方教育费附加、城市维护建设税等税费的申报及缴纳。</w:t>
                  </w:r>
                </w:p>
                <w:p>
                  <w:pPr>
                    <w:pStyle w:val="null3"/>
                    <w:ind w:firstLine="400"/>
                    <w:jc w:val="left"/>
                  </w:pPr>
                  <w:r>
                    <w:rPr>
                      <w:rFonts w:ascii="宋体" w:hAnsi="宋体" w:cs="宋体" w:eastAsia="宋体"/>
                      <w:sz w:val="20"/>
                    </w:rPr>
                    <w:t>平台可实现对期末业务处理的训练，包括在信息化平台上依据存货实际计价方式，对期末库存商品进行期末处理，为期末成本核算提供数据来源。对供应链模块进行期末结账处理。对固定资产、应收应付、发票、网上银行、网上报销模块进行期末结账处理。对业务系统进行反结账处理。进行薪资福利模块期末结账及年结；</w:t>
                  </w:r>
                </w:p>
                <w:p>
                  <w:pPr>
                    <w:pStyle w:val="null3"/>
                    <w:ind w:firstLine="400"/>
                    <w:jc w:val="left"/>
                  </w:pPr>
                  <w:r>
                    <w:rPr>
                      <w:rFonts w:ascii="宋体" w:hAnsi="宋体" w:cs="宋体" w:eastAsia="宋体"/>
                      <w:sz w:val="20"/>
                    </w:rPr>
                    <w:t>平台可实现对期末账务处理的训练，包括在信息化平台进行所得税结转。进行期末损益结转。进行计提法定盈余公积业务。进行期末对账、期末结账、反结账、年结、反年结业务处理。</w:t>
                  </w:r>
                </w:p>
                <w:p>
                  <w:pPr>
                    <w:pStyle w:val="null3"/>
                    <w:ind w:firstLine="400"/>
                    <w:jc w:val="left"/>
                  </w:pPr>
                  <w:r>
                    <w:rPr>
                      <w:rFonts w:ascii="宋体" w:hAnsi="宋体" w:cs="宋体" w:eastAsia="宋体"/>
                      <w:sz w:val="20"/>
                    </w:rPr>
                    <w:t>★平台可实现对财务报表编制与分析的训练，包括在信息化平台上设计财务分析表的表样格式；自定义表内、表间、多表取数公式，生成财务分析报表，依据财务分析报表进行财务分析，为企业经营决策提供依据。</w:t>
                  </w:r>
                </w:p>
                <w:p>
                  <w:pPr>
                    <w:pStyle w:val="null3"/>
                    <w:jc w:val="left"/>
                  </w:pPr>
                  <w:r>
                    <w:rPr>
                      <w:rFonts w:ascii="宋体" w:hAnsi="宋体" w:cs="宋体" w:eastAsia="宋体"/>
                      <w:sz w:val="20"/>
                    </w:rPr>
                    <w:t>三、配套设备及环境建设</w:t>
                  </w:r>
                </w:p>
                <w:tbl>
                  <w:tblPr>
                    <w:tblBorders>
                      <w:top w:val="none" w:color="000000" w:sz="4"/>
                      <w:left w:val="none" w:color="000000" w:sz="4"/>
                      <w:bottom w:val="none" w:color="000000" w:sz="4"/>
                      <w:right w:val="none" w:color="000000" w:sz="4"/>
                      <w:insideH w:val="none"/>
                      <w:insideV w:val="none"/>
                    </w:tblBorders>
                  </w:tblPr>
                  <w:tblGrid>
                    <w:gridCol w:w="527"/>
                    <w:gridCol w:w="105"/>
                  </w:tblGrid>
                  <w:tr>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技术参数</w:t>
                        </w:r>
                      </w:p>
                    </w:tc>
                    <w:tc>
                      <w:tcPr>
                        <w:tcW w:type="dxa" w:w="1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数量</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尺寸：</w:t>
                        </w:r>
                        <w:r>
                          <w:rPr>
                            <w:rFonts w:ascii="宋体" w:hAnsi="宋体" w:cs="宋体" w:eastAsia="宋体"/>
                            <w:sz w:val="20"/>
                          </w:rPr>
                          <w:t>1200mm*600mm*1100mm（长宽高）</w:t>
                        </w:r>
                      </w:p>
                      <w:p>
                        <w:pPr>
                          <w:pStyle w:val="null3"/>
                          <w:jc w:val="left"/>
                        </w:pPr>
                        <w:r>
                          <w:rPr>
                            <w:rFonts w:ascii="宋体" w:hAnsi="宋体" w:cs="宋体" w:eastAsia="宋体"/>
                            <w:sz w:val="20"/>
                          </w:rPr>
                          <w:t>材质：</w:t>
                        </w:r>
                        <w:r>
                          <w:rPr>
                            <w:rFonts w:ascii="宋体" w:hAnsi="宋体" w:cs="宋体" w:eastAsia="宋体"/>
                            <w:sz w:val="20"/>
                          </w:rPr>
                          <w:t>E1级环保板材</w:t>
                        </w:r>
                      </w:p>
                      <w:p>
                        <w:pPr>
                          <w:pStyle w:val="null3"/>
                          <w:jc w:val="left"/>
                        </w:pPr>
                        <w:r>
                          <w:rPr>
                            <w:rFonts w:ascii="宋体" w:hAnsi="宋体" w:cs="宋体" w:eastAsia="宋体"/>
                            <w:sz w:val="20"/>
                          </w:rPr>
                          <w:t>特征：加厚台面，台面防剐蹭，耐高温，配置工位柜，含走线孔，搭配办公椅</w:t>
                        </w:r>
                      </w:p>
                    </w:tc>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18套</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尺寸：</w:t>
                        </w:r>
                        <w:r>
                          <w:rPr>
                            <w:rFonts w:ascii="宋体" w:hAnsi="宋体" w:cs="宋体" w:eastAsia="宋体"/>
                            <w:sz w:val="20"/>
                          </w:rPr>
                          <w:t>80-150cm*25-35cm*180-220cm（长宽高）</w:t>
                        </w:r>
                      </w:p>
                      <w:p>
                        <w:pPr>
                          <w:pStyle w:val="null3"/>
                          <w:jc w:val="left"/>
                        </w:pPr>
                        <w:r>
                          <w:rPr>
                            <w:rFonts w:ascii="宋体" w:hAnsi="宋体" w:cs="宋体" w:eastAsia="宋体"/>
                            <w:sz w:val="20"/>
                          </w:rPr>
                          <w:t>材料：</w:t>
                        </w:r>
                        <w:r>
                          <w:rPr>
                            <w:rFonts w:ascii="宋体" w:hAnsi="宋体" w:cs="宋体" w:eastAsia="宋体"/>
                            <w:sz w:val="20"/>
                          </w:rPr>
                          <w:t>E1级环保板材，高温静电烤漆，板材加厚承重强</w:t>
                        </w:r>
                      </w:p>
                      <w:p>
                        <w:pPr>
                          <w:pStyle w:val="null3"/>
                          <w:jc w:val="left"/>
                        </w:pPr>
                        <w:r>
                          <w:rPr>
                            <w:rFonts w:ascii="宋体" w:hAnsi="宋体" w:cs="宋体" w:eastAsia="宋体"/>
                            <w:sz w:val="20"/>
                          </w:rPr>
                          <w:t>风格：简约</w:t>
                        </w:r>
                      </w:p>
                    </w:tc>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1套</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尺寸：</w:t>
                        </w:r>
                        <w:r>
                          <w:rPr>
                            <w:rFonts w:ascii="宋体" w:hAnsi="宋体" w:cs="宋体" w:eastAsia="宋体"/>
                            <w:sz w:val="20"/>
                          </w:rPr>
                          <w:t>60-100cm*24-30cm*160-200cm（长宽高）</w:t>
                        </w:r>
                      </w:p>
                      <w:p>
                        <w:pPr>
                          <w:pStyle w:val="null3"/>
                          <w:jc w:val="left"/>
                        </w:pPr>
                        <w:r>
                          <w:rPr>
                            <w:rFonts w:ascii="宋体" w:hAnsi="宋体" w:cs="宋体" w:eastAsia="宋体"/>
                            <w:sz w:val="20"/>
                          </w:rPr>
                          <w:t>材质：</w:t>
                        </w:r>
                        <w:r>
                          <w:rPr>
                            <w:rFonts w:ascii="宋体" w:hAnsi="宋体" w:cs="宋体" w:eastAsia="宋体"/>
                            <w:sz w:val="20"/>
                          </w:rPr>
                          <w:t>E1级环保板材，高温静电烤漆，板材加厚承重强，可组合</w:t>
                        </w:r>
                      </w:p>
                    </w:tc>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5套</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大黑板学校专用书写板</w:t>
                        </w:r>
                        <w:r>
                          <w:rPr>
                            <w:rFonts w:ascii="宋体" w:hAnsi="宋体" w:cs="宋体" w:eastAsia="宋体"/>
                            <w:sz w:val="20"/>
                          </w:rPr>
                          <w:t>平面树脂白板</w:t>
                        </w:r>
                        <w:r>
                          <w:rPr>
                            <w:rFonts w:ascii="宋体" w:hAnsi="宋体" w:cs="宋体" w:eastAsia="宋体"/>
                            <w:sz w:val="20"/>
                          </w:rPr>
                          <w:t xml:space="preserve"> 120*大于180cm</w:t>
                        </w:r>
                      </w:p>
                    </w:tc>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3套</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通玻对开柜子</w:t>
                        </w:r>
                        <w:r>
                          <w:rPr>
                            <w:rFonts w:ascii="宋体" w:hAnsi="宋体" w:cs="宋体" w:eastAsia="宋体"/>
                            <w:sz w:val="20"/>
                          </w:rPr>
                          <w:t>(玻门中二轴)，尺寸:1800*850*390mm，中二斗玻璃文件柜，材质201，板材厚度0.8MM，玻璃采用3C钢化玻璃，上玻璃对开门，下不锈钢对开门，中间两个抽屉，抽屉采用三级滑轨高强度结实耐用，锁子采用大拇指锁具2000把不互开，拉手采用铝合金</w:t>
                        </w:r>
                      </w:p>
                      <w:p>
                        <w:pPr>
                          <w:pStyle w:val="null3"/>
                          <w:jc w:val="left"/>
                        </w:pPr>
                        <w:r>
                          <w:rPr>
                            <w:rFonts w:ascii="宋体" w:hAnsi="宋体" w:cs="宋体" w:eastAsia="宋体"/>
                            <w:sz w:val="20"/>
                          </w:rPr>
                          <w:t>材质结实耐用，板材厚度有</w:t>
                        </w:r>
                        <w:r>
                          <w:rPr>
                            <w:rFonts w:ascii="宋体" w:hAnsi="宋体" w:cs="宋体" w:eastAsia="宋体"/>
                            <w:sz w:val="20"/>
                          </w:rPr>
                          <w:t>0.8mm</w:t>
                        </w:r>
                      </w:p>
                    </w:tc>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4套</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CPU： Intel Core i7-12700 12C 2.1 ；</w:t>
                        </w:r>
                      </w:p>
                      <w:p>
                        <w:pPr>
                          <w:pStyle w:val="null3"/>
                          <w:jc w:val="left"/>
                        </w:pPr>
                        <w:r>
                          <w:rPr>
                            <w:rFonts w:ascii="宋体" w:hAnsi="宋体" w:cs="宋体" w:eastAsia="宋体"/>
                            <w:sz w:val="20"/>
                          </w:rPr>
                          <w:t>主板：</w:t>
                        </w:r>
                        <w:r>
                          <w:rPr>
                            <w:rFonts w:ascii="宋体" w:hAnsi="宋体" w:cs="宋体" w:eastAsia="宋体"/>
                            <w:sz w:val="20"/>
                          </w:rPr>
                          <w:t>Intel 600系列及以上芯片组</w:t>
                        </w:r>
                      </w:p>
                      <w:p>
                        <w:pPr>
                          <w:pStyle w:val="null3"/>
                          <w:jc w:val="left"/>
                        </w:pPr>
                        <w:r>
                          <w:rPr>
                            <w:rFonts w:ascii="宋体" w:hAnsi="宋体" w:cs="宋体" w:eastAsia="宋体"/>
                            <w:sz w:val="20"/>
                          </w:rPr>
                          <w:t>内存：</w:t>
                        </w:r>
                        <w:r>
                          <w:rPr>
                            <w:rFonts w:ascii="宋体" w:hAnsi="宋体" w:cs="宋体" w:eastAsia="宋体"/>
                            <w:sz w:val="20"/>
                          </w:rPr>
                          <w:t>16GB DDR4 3200MHz ；</w:t>
                        </w:r>
                      </w:p>
                      <w:p>
                        <w:pPr>
                          <w:pStyle w:val="null3"/>
                          <w:jc w:val="left"/>
                        </w:pPr>
                        <w:r>
                          <w:rPr>
                            <w:rFonts w:ascii="宋体" w:hAnsi="宋体" w:cs="宋体" w:eastAsia="宋体"/>
                            <w:sz w:val="20"/>
                          </w:rPr>
                          <w:t>硬盘</w:t>
                        </w:r>
                        <w:r>
                          <w:rPr>
                            <w:rFonts w:ascii="宋体" w:hAnsi="宋体" w:cs="宋体" w:eastAsia="宋体"/>
                            <w:sz w:val="20"/>
                          </w:rPr>
                          <w:t>:256GB M.2+1T SATA；</w:t>
                        </w:r>
                      </w:p>
                      <w:p>
                        <w:pPr>
                          <w:pStyle w:val="null3"/>
                          <w:jc w:val="left"/>
                        </w:pPr>
                        <w:r>
                          <w:rPr>
                            <w:rFonts w:ascii="宋体" w:hAnsi="宋体" w:cs="宋体" w:eastAsia="宋体"/>
                            <w:sz w:val="20"/>
                          </w:rPr>
                          <w:t>显卡：集成；</w:t>
                        </w:r>
                      </w:p>
                      <w:p>
                        <w:pPr>
                          <w:pStyle w:val="null3"/>
                          <w:jc w:val="left"/>
                        </w:pPr>
                        <w:r>
                          <w:rPr>
                            <w:rFonts w:ascii="宋体" w:hAnsi="宋体" w:cs="宋体" w:eastAsia="宋体"/>
                            <w:sz w:val="20"/>
                          </w:rPr>
                          <w:t>声卡：集成</w:t>
                        </w:r>
                        <w:r>
                          <w:rPr>
                            <w:rFonts w:ascii="宋体" w:hAnsi="宋体" w:cs="宋体" w:eastAsia="宋体"/>
                            <w:sz w:val="20"/>
                          </w:rPr>
                          <w:t>HD Audio;</w:t>
                        </w:r>
                      </w:p>
                      <w:p>
                        <w:pPr>
                          <w:pStyle w:val="null3"/>
                          <w:jc w:val="left"/>
                        </w:pPr>
                        <w:r>
                          <w:rPr>
                            <w:rFonts w:ascii="宋体" w:hAnsi="宋体" w:cs="宋体" w:eastAsia="宋体"/>
                            <w:sz w:val="20"/>
                          </w:rPr>
                          <w:t>网卡：集成</w:t>
                        </w:r>
                        <w:r>
                          <w:rPr>
                            <w:rFonts w:ascii="宋体" w:hAnsi="宋体" w:cs="宋体" w:eastAsia="宋体"/>
                            <w:sz w:val="20"/>
                          </w:rPr>
                          <w:t>10M/100/1000MB自适应网卡；</w:t>
                        </w:r>
                      </w:p>
                      <w:p>
                        <w:pPr>
                          <w:pStyle w:val="null3"/>
                          <w:jc w:val="left"/>
                        </w:pPr>
                        <w:r>
                          <w:rPr>
                            <w:rFonts w:ascii="宋体" w:hAnsi="宋体" w:cs="宋体" w:eastAsia="宋体"/>
                            <w:sz w:val="20"/>
                          </w:rPr>
                          <w:t>电源：</w:t>
                        </w:r>
                        <w:r>
                          <w:rPr>
                            <w:rFonts w:ascii="宋体" w:hAnsi="宋体" w:cs="宋体" w:eastAsia="宋体"/>
                            <w:sz w:val="20"/>
                          </w:rPr>
                          <w:t>260W 节能电源</w:t>
                        </w:r>
                      </w:p>
                      <w:p>
                        <w:pPr>
                          <w:pStyle w:val="null3"/>
                          <w:jc w:val="left"/>
                        </w:pPr>
                        <w:r>
                          <w:rPr>
                            <w:rFonts w:ascii="宋体" w:hAnsi="宋体" w:cs="宋体" w:eastAsia="宋体"/>
                            <w:sz w:val="20"/>
                          </w:rPr>
                          <w:t>接口：</w:t>
                        </w:r>
                        <w:r>
                          <w:rPr>
                            <w:rFonts w:ascii="宋体" w:hAnsi="宋体" w:cs="宋体" w:eastAsia="宋体"/>
                            <w:sz w:val="20"/>
                          </w:rPr>
                          <w:t>6个USB接口(其中至少4个USB 3.2 G1)、1个串口、VGA+DP接口（VGA非转接）, USB屏蔽技术，仅识别USB键盘、鼠标，无法识别USB读取设备，有效防止数据泄露,含WIFI</w:t>
                        </w:r>
                      </w:p>
                      <w:p>
                        <w:pPr>
                          <w:pStyle w:val="null3"/>
                          <w:jc w:val="left"/>
                        </w:pPr>
                        <w:r>
                          <w:rPr>
                            <w:rFonts w:ascii="宋体" w:hAnsi="宋体" w:cs="宋体" w:eastAsia="宋体"/>
                            <w:sz w:val="20"/>
                          </w:rPr>
                          <w:t>键鼠：键盘、鼠标；</w:t>
                        </w:r>
                      </w:p>
                      <w:p>
                        <w:pPr>
                          <w:pStyle w:val="null3"/>
                          <w:jc w:val="left"/>
                        </w:pPr>
                        <w:r>
                          <w:rPr>
                            <w:rFonts w:ascii="宋体" w:hAnsi="宋体" w:cs="宋体" w:eastAsia="宋体"/>
                            <w:sz w:val="20"/>
                          </w:rPr>
                          <w:t>机箱：可立可卧小机箱；机箱</w:t>
                        </w:r>
                        <w:r>
                          <w:rPr>
                            <w:rFonts w:ascii="宋体" w:hAnsi="宋体" w:cs="宋体" w:eastAsia="宋体"/>
                            <w:sz w:val="20"/>
                          </w:rPr>
                          <w:t>7.4L</w:t>
                        </w:r>
                      </w:p>
                      <w:p>
                        <w:pPr>
                          <w:pStyle w:val="null3"/>
                          <w:jc w:val="left"/>
                        </w:pPr>
                        <w:r>
                          <w:rPr>
                            <w:rFonts w:ascii="宋体" w:hAnsi="宋体" w:cs="宋体" w:eastAsia="宋体"/>
                            <w:sz w:val="20"/>
                          </w:rPr>
                          <w:t>显示模块：</w:t>
                        </w:r>
                        <w:r>
                          <w:rPr>
                            <w:rFonts w:ascii="宋体" w:hAnsi="宋体" w:cs="宋体" w:eastAsia="宋体"/>
                            <w:sz w:val="20"/>
                          </w:rPr>
                          <w:t>32寸 显示模块</w:t>
                        </w:r>
                      </w:p>
                      <w:p>
                        <w:pPr>
                          <w:pStyle w:val="null3"/>
                          <w:jc w:val="left"/>
                        </w:pPr>
                        <w:r>
                          <w:rPr>
                            <w:rFonts w:ascii="宋体" w:hAnsi="宋体" w:cs="宋体" w:eastAsia="宋体"/>
                            <w:sz w:val="20"/>
                          </w:rPr>
                          <w:t>正版</w:t>
                        </w:r>
                        <w:r>
                          <w:rPr>
                            <w:rFonts w:ascii="宋体" w:hAnsi="宋体" w:cs="宋体" w:eastAsia="宋体"/>
                            <w:sz w:val="20"/>
                          </w:rPr>
                          <w:t>win11操作系统</w:t>
                        </w:r>
                        <w:r>
                          <w:rPr>
                            <w:rFonts w:ascii="宋体" w:hAnsi="宋体" w:cs="宋体" w:eastAsia="宋体"/>
                            <w:sz w:val="20"/>
                          </w:rPr>
                          <w:t>（</w:t>
                        </w:r>
                        <w:r>
                          <w:rPr>
                            <w:rFonts w:ascii="宋体" w:hAnsi="宋体" w:cs="宋体" w:eastAsia="宋体"/>
                            <w:sz w:val="20"/>
                          </w:rPr>
                          <w:t>专业版</w:t>
                        </w:r>
                        <w:r>
                          <w:rPr>
                            <w:rFonts w:ascii="宋体" w:hAnsi="宋体" w:cs="宋体" w:eastAsia="宋体"/>
                            <w:sz w:val="20"/>
                          </w:rPr>
                          <w:t>）</w:t>
                        </w:r>
                      </w:p>
                      <w:p>
                        <w:pPr>
                          <w:pStyle w:val="null3"/>
                          <w:jc w:val="left"/>
                        </w:pPr>
                        <w:r>
                          <w:rPr>
                            <w:rFonts w:ascii="宋体" w:hAnsi="宋体" w:cs="宋体" w:eastAsia="宋体"/>
                            <w:sz w:val="20"/>
                          </w:rPr>
                          <w:t>服务：三年原厂上门服务</w:t>
                        </w:r>
                      </w:p>
                      <w:p>
                        <w:pPr>
                          <w:pStyle w:val="null3"/>
                          <w:jc w:val="left"/>
                        </w:pPr>
                        <w:r>
                          <w:rPr>
                            <w:rFonts w:ascii="宋体" w:hAnsi="宋体" w:cs="宋体" w:eastAsia="宋体"/>
                            <w:sz w:val="20"/>
                          </w:rPr>
                          <w:t>供货时提供产品来源渠道合法的证明文件（包含但不限于销售协议、代理协议、原厂授权等）以及原厂售后服务承诺函。</w:t>
                        </w:r>
                      </w:p>
                    </w:tc>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17台</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交换机</w:t>
                        </w:r>
                        <w:r>
                          <w:rPr>
                            <w:rFonts w:ascii="宋体" w:hAnsi="宋体" w:cs="宋体" w:eastAsia="宋体"/>
                            <w:sz w:val="20"/>
                          </w:rPr>
                          <w:t>24口千兆以太网+4千兆光纤口企业级网络全管理弱三层公司办公室无噪音，交换容量360Gbps,包转发率80Mpps，交流供电。</w:t>
                        </w:r>
                      </w:p>
                    </w:tc>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1套</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1.2米22U加厚（教室交换机用）</w:t>
                        </w:r>
                      </w:p>
                    </w:tc>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1套</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尺寸：</w:t>
                        </w:r>
                        <w:r>
                          <w:rPr>
                            <w:rFonts w:ascii="宋体" w:hAnsi="宋体" w:cs="宋体" w:eastAsia="宋体"/>
                            <w:sz w:val="20"/>
                          </w:rPr>
                          <w:t>2-3人围、1人围*2</w:t>
                        </w:r>
                      </w:p>
                      <w:p>
                        <w:pPr>
                          <w:pStyle w:val="null3"/>
                          <w:jc w:val="both"/>
                        </w:pPr>
                        <w:r>
                          <w:rPr>
                            <w:rFonts w:ascii="宋体" w:hAnsi="宋体" w:cs="宋体" w:eastAsia="宋体"/>
                            <w:sz w:val="20"/>
                          </w:rPr>
                          <w:t>材料：聚酯纤维</w:t>
                        </w:r>
                      </w:p>
                      <w:p>
                        <w:pPr>
                          <w:pStyle w:val="null3"/>
                          <w:jc w:val="both"/>
                        </w:pPr>
                        <w:r>
                          <w:rPr>
                            <w:rFonts w:ascii="宋体" w:hAnsi="宋体" w:cs="宋体" w:eastAsia="宋体"/>
                            <w:sz w:val="20"/>
                          </w:rPr>
                          <w:t>座包填充：海绵</w:t>
                        </w:r>
                      </w:p>
                      <w:p>
                        <w:pPr>
                          <w:pStyle w:val="null3"/>
                          <w:jc w:val="both"/>
                        </w:pPr>
                        <w:r>
                          <w:rPr>
                            <w:rFonts w:ascii="宋体" w:hAnsi="宋体" w:cs="宋体" w:eastAsia="宋体"/>
                            <w:sz w:val="20"/>
                          </w:rPr>
                          <w:t>框架：实木</w:t>
                        </w:r>
                        <w:r>
                          <w:rPr>
                            <w:rFonts w:ascii="宋体" w:hAnsi="宋体" w:cs="宋体" w:eastAsia="宋体"/>
                            <w:sz w:val="20"/>
                          </w:rPr>
                          <w:t>+蛇形弹簧</w:t>
                        </w:r>
                      </w:p>
                      <w:p>
                        <w:pPr>
                          <w:pStyle w:val="null3"/>
                          <w:jc w:val="both"/>
                        </w:pPr>
                        <w:r>
                          <w:rPr>
                            <w:rFonts w:ascii="宋体" w:hAnsi="宋体" w:cs="宋体" w:eastAsia="宋体"/>
                            <w:sz w:val="20"/>
                          </w:rPr>
                          <w:t>沙发腿：实木</w:t>
                        </w:r>
                      </w:p>
                    </w:tc>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4套</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尺寸：长</w:t>
                        </w:r>
                        <w:r>
                          <w:rPr>
                            <w:rFonts w:ascii="宋体" w:hAnsi="宋体" w:cs="宋体" w:eastAsia="宋体"/>
                            <w:sz w:val="20"/>
                          </w:rPr>
                          <w:t>60-80 厘米，宽 40-60 厘米，高 45-55 厘米。</w:t>
                        </w:r>
                      </w:p>
                      <w:p>
                        <w:pPr>
                          <w:pStyle w:val="null3"/>
                          <w:jc w:val="left"/>
                        </w:pPr>
                        <w:r>
                          <w:rPr>
                            <w:rFonts w:ascii="宋体" w:hAnsi="宋体" w:cs="宋体" w:eastAsia="宋体"/>
                            <w:sz w:val="20"/>
                          </w:rPr>
                          <w:t>材质：桌面采用厚度</w:t>
                        </w:r>
                        <w:r>
                          <w:rPr>
                            <w:rFonts w:ascii="宋体" w:hAnsi="宋体" w:cs="宋体" w:eastAsia="宋体"/>
                            <w:sz w:val="20"/>
                          </w:rPr>
                          <w:t>1.5-2 厘米的优质环保板材，具有耐磨、耐高温、易清洁特性；桌腿为金属材质，直径 2-3 厘米，管壁厚度 1-1.5 毫米，表面经防锈处理并喷塑，颜色均匀无瑕疵。</w:t>
                        </w:r>
                      </w:p>
                      <w:p>
                        <w:pPr>
                          <w:pStyle w:val="null3"/>
                          <w:jc w:val="left"/>
                        </w:pPr>
                        <w:r>
                          <w:rPr>
                            <w:rFonts w:ascii="宋体" w:hAnsi="宋体" w:cs="宋体" w:eastAsia="宋体"/>
                            <w:sz w:val="20"/>
                          </w:rPr>
                          <w:t>结构：可拆卸式结构，连接部位采用优质五金件，安装便捷且稳固，能承受不低于</w:t>
                        </w:r>
                        <w:r>
                          <w:rPr>
                            <w:rFonts w:ascii="宋体" w:hAnsi="宋体" w:cs="宋体" w:eastAsia="宋体"/>
                            <w:sz w:val="20"/>
                          </w:rPr>
                          <w:t>50 公斤的重量。</w:t>
                        </w:r>
                      </w:p>
                      <w:p>
                        <w:pPr>
                          <w:pStyle w:val="null3"/>
                          <w:jc w:val="left"/>
                        </w:pPr>
                        <w:r>
                          <w:rPr>
                            <w:rFonts w:ascii="宋体" w:hAnsi="宋体" w:cs="宋体" w:eastAsia="宋体"/>
                            <w:sz w:val="20"/>
                          </w:rPr>
                          <w:t>外观：桌面边缘光滑无毛刺，整体造型简约大方，颜色可选择经典的黑色、白色或木纹色等，颜色偏差不超过行业标准规定范围。</w:t>
                        </w:r>
                      </w:p>
                    </w:tc>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4套</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进行与该套设备相匹配的环境建设（墙面颜色根据整体设计而定，营造墙面氛围）</w:t>
                        </w:r>
                      </w:p>
                    </w:tc>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根据平面设计图进行隔断并安装玻璃门（密码锁）</w:t>
                        </w:r>
                      </w:p>
                    </w:tc>
                    <w:tc>
                      <w:tcPr>
                        <w:tcW w:type="dxa" w:w="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quot;times new roman&quot;" w:hAnsi="&quot;times new roman&quot;" w:cs="&quot;times new roman&quot;" w:eastAsia="&quot;times new roman&quot;"/>
                      <w:sz w:val="19"/>
                    </w:rPr>
                    <w:t xml:space="preserve"> </w:t>
                  </w:r>
                </w:p>
                <w:p>
                  <w:pPr>
                    <w:pStyle w:val="null3"/>
                  </w:pPr>
                  <w:r>
                    <w:rPr>
                      <w:rFonts w:ascii="&quot;times new roman&quot;" w:hAnsi="&quot;times new roman&quot;" w:cs="&quot;times new roman&quot;" w:eastAsia="&quot;times new roman&quot;"/>
                      <w:sz w:val="19"/>
                    </w:rPr>
                    <w:t xml:space="preserve"> </w:t>
                  </w:r>
                </w:p>
                <w:p>
                  <w:pPr>
                    <w:pStyle w:val="null3"/>
                  </w:pPr>
                  <w:r>
                    <w:rPr>
                      <w:rFonts w:ascii="&quot;times new roman&quot;" w:hAnsi="&quot;times new roman&quot;" w:cs="&quot;times new roman&quot;" w:eastAsia="&quot;times new roman&quot;"/>
                      <w:sz w:val="19"/>
                    </w:rPr>
                    <w:t xml:space="preserve"> </w:t>
                  </w:r>
                </w:p>
                <w:p>
                  <w:pPr>
                    <w:pStyle w:val="null3"/>
                  </w:pPr>
                  <w:r>
                    <w:rPr>
                      <w:rFonts w:ascii="&quot;times new roman&quot;" w:hAnsi="&quot;times new roman&quot;" w:cs="&quot;times new roman&quot;" w:eastAsia="&quot;times new roman&quot;"/>
                      <w:sz w:val="19"/>
                    </w:rPr>
                    <w:t xml:space="preserve"> </w:t>
                  </w:r>
                </w:p>
                <w:p>
                  <w:pPr>
                    <w:pStyle w:val="null3"/>
                  </w:pPr>
                  <w:r>
                    <w:rPr>
                      <w:rFonts w:ascii="&quot;times new roman&quot;" w:hAnsi="&quot;times new roman&quot;" w:cs="&quot;times new roman&quot;" w:eastAsia="&quot;times new roman&quot;"/>
                      <w:sz w:val="19"/>
                    </w:rPr>
                    <w:t xml:space="preserve"> </w:t>
                  </w:r>
                </w:p>
                <w:p>
                  <w:pPr>
                    <w:pStyle w:val="null3"/>
                  </w:pPr>
                  <w:r>
                    <w:rPr>
                      <w:rFonts w:ascii="&quot;times new roman&quot;" w:hAnsi="&quot;times new roman&quot;" w:cs="&quot;times new roman&quot;" w:eastAsia="&quot;times new roman&quot;"/>
                      <w:sz w:val="19"/>
                    </w:rPr>
                    <w:t xml:space="preserve"> </w:t>
                  </w:r>
                </w:p>
                <w:p>
                  <w:pPr>
                    <w:pStyle w:val="null3"/>
                  </w:pPr>
                  <w:r>
                    <w:rPr>
                      <w:rFonts w:ascii="&quot;times new roman&quot;" w:hAnsi="&quot;times new roman&quot;" w:cs="&quot;times new roman&quot;" w:eastAsia="&quot;times new roman&quot;"/>
                      <w:sz w:val="19"/>
                    </w:rPr>
                    <w:t xml:space="preserve"> </w:t>
                  </w:r>
                </w:p>
                <w:p>
                  <w:pPr>
                    <w:pStyle w:val="null3"/>
                  </w:pPr>
                  <w:r>
                    <w:rPr>
                      <w:rFonts w:ascii="&quot;times new roman&quot;" w:hAnsi="&quot;times new roman&quot;" w:cs="&quot;times new roman&quot;" w:eastAsia="&quot;times new roman&quot;"/>
                      <w:sz w:val="19"/>
                    </w:rPr>
                    <w:t xml:space="preserve"> </w:t>
                  </w:r>
                </w:p>
                <w:p>
                  <w:pPr>
                    <w:pStyle w:val="null3"/>
                  </w:pPr>
                  <w:r>
                    <w:rPr>
                      <w:rFonts w:ascii="&quot;times new roman&quot;" w:hAnsi="&quot;times new roman&quot;" w:cs="&quot;times new roman&quot;" w:eastAsia="&quot;times new roman&quot;"/>
                      <w:sz w:val="19"/>
                    </w:rPr>
                    <w:t xml:space="preserve"> </w:t>
                  </w:r>
                </w:p>
                <w:p>
                  <w:pPr>
                    <w:pStyle w:val="null3"/>
                  </w:pPr>
                  <w:r>
                    <w:rPr>
                      <w:rFonts w:ascii="&quot;times new roman&quot;" w:hAnsi="&quot;times new roman&quot;" w:cs="&quot;times new roman&quot;" w:eastAsia="&quot;times new roman&quot;"/>
                      <w:sz w:val="19"/>
                      <w:color w:val="FFFFFF"/>
                    </w:rPr>
                    <w:t>-</w:t>
                  </w:r>
                </w:p>
                <w:p>
                  <w:pPr>
                    <w:pStyle w:val="null3"/>
                    <w:ind w:firstLine="400"/>
                    <w:jc w:val="left"/>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制造业产业链虚拟仿真智能交互设备</w:t>
                  </w:r>
                </w:p>
                <w:p>
                  <w:pPr>
                    <w:pStyle w:val="null3"/>
                    <w:jc w:val="left"/>
                  </w:pPr>
                  <w:r>
                    <w:rPr>
                      <w:rFonts w:ascii="宋体" w:hAnsi="宋体" w:cs="宋体" w:eastAsia="宋体"/>
                      <w:sz w:val="20"/>
                    </w:rPr>
                    <w:t>（整体配置）</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calibri" w:hAnsi="calibri" w:cs="calibri" w:eastAsia="calibri"/>
                      <w:sz w:val="19"/>
                    </w:rPr>
                    <w:t>7</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实验工作台</w:t>
                  </w:r>
                </w:p>
                <w:tbl>
                  <w:tblPr>
                    <w:tblBorders>
                      <w:top w:val="none" w:color="000000" w:sz="4"/>
                      <w:left w:val="none" w:color="000000" w:sz="4"/>
                      <w:bottom w:val="none" w:color="000000" w:sz="4"/>
                      <w:right w:val="none" w:color="000000" w:sz="4"/>
                      <w:insideH w:val="none"/>
                      <w:insideV w:val="none"/>
                    </w:tblBorders>
                  </w:tblPr>
                  <w:tblGrid>
                    <w:gridCol w:w="318"/>
                    <w:gridCol w:w="318"/>
                  </w:tblGrid>
                  <w:tr>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技术参数</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数量</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w:t>
                        </w:r>
                        <w:r>
                          <w:rPr>
                            <w:rFonts w:ascii="宋体" w:hAnsi="宋体" w:cs="宋体" w:eastAsia="宋体"/>
                            <w:sz w:val="20"/>
                          </w:rPr>
                          <w:t>1）整机采用钣金承载式机身，圆弧角度设计，工作台留有置物空间，方便放置。</w:t>
                        </w:r>
                      </w:p>
                      <w:p>
                        <w:pPr>
                          <w:pStyle w:val="null3"/>
                          <w:jc w:val="left"/>
                        </w:pPr>
                        <w:r>
                          <w:rPr>
                            <w:rFonts w:ascii="宋体" w:hAnsi="宋体" w:cs="宋体" w:eastAsia="宋体"/>
                            <w:sz w:val="20"/>
                          </w:rPr>
                          <w:t>（</w:t>
                        </w:r>
                        <w:r>
                          <w:rPr>
                            <w:rFonts w:ascii="宋体" w:hAnsi="宋体" w:cs="宋体" w:eastAsia="宋体"/>
                            <w:sz w:val="20"/>
                          </w:rPr>
                          <w:t>2）支持上下分层机箱布局设计，上层为主机层，下层为收纳层。</w:t>
                        </w:r>
                      </w:p>
                      <w:p>
                        <w:pPr>
                          <w:pStyle w:val="null3"/>
                          <w:jc w:val="left"/>
                        </w:pPr>
                        <w:r>
                          <w:rPr>
                            <w:rFonts w:ascii="宋体" w:hAnsi="宋体" w:cs="宋体" w:eastAsia="宋体"/>
                            <w:sz w:val="20"/>
                          </w:rPr>
                          <w:t>（</w:t>
                        </w:r>
                        <w:r>
                          <w:rPr>
                            <w:rFonts w:ascii="宋体" w:hAnsi="宋体" w:cs="宋体" w:eastAsia="宋体"/>
                            <w:sz w:val="20"/>
                          </w:rPr>
                          <w:t>3）前置开机按钮，前置USB端口不少于2个，便于插入U盘使用。</w:t>
                        </w:r>
                      </w:p>
                      <w:p>
                        <w:pPr>
                          <w:pStyle w:val="null3"/>
                          <w:jc w:val="left"/>
                        </w:pPr>
                        <w:r>
                          <w:rPr>
                            <w:rFonts w:ascii="宋体" w:hAnsi="宋体" w:cs="宋体" w:eastAsia="宋体"/>
                            <w:sz w:val="20"/>
                          </w:rPr>
                          <w:t>（</w:t>
                        </w:r>
                        <w:r>
                          <w:rPr>
                            <w:rFonts w:ascii="宋体" w:hAnsi="宋体" w:cs="宋体" w:eastAsia="宋体"/>
                            <w:sz w:val="20"/>
                          </w:rPr>
                          <w:t>4）该设备电源一体化设计，显示与服务一体化设计。</w:t>
                        </w:r>
                      </w:p>
                      <w:p>
                        <w:pPr>
                          <w:pStyle w:val="null3"/>
                          <w:jc w:val="left"/>
                        </w:pPr>
                        <w:r>
                          <w:rPr>
                            <w:rFonts w:ascii="宋体" w:hAnsi="宋体" w:cs="宋体" w:eastAsia="宋体"/>
                            <w:sz w:val="20"/>
                          </w:rPr>
                          <w:t>（</w:t>
                        </w:r>
                        <w:r>
                          <w:rPr>
                            <w:rFonts w:ascii="宋体" w:hAnsi="宋体" w:cs="宋体" w:eastAsia="宋体"/>
                            <w:sz w:val="20"/>
                          </w:rPr>
                          <w:t>5） 支持配套制造业产业链实训项目进行使用，实现 VR（虚拟现实）场景式教学实训。</w:t>
                        </w:r>
                        <w:r>
                          <w:br/>
                        </w:r>
                        <w:r>
                          <w:rPr>
                            <w:rFonts w:ascii="宋体" w:hAnsi="宋体" w:cs="宋体" w:eastAsia="宋体"/>
                            <w:sz w:val="20"/>
                          </w:rPr>
                          <w:t>（</w:t>
                        </w:r>
                        <w:r>
                          <w:rPr>
                            <w:rFonts w:ascii="宋体" w:hAnsi="宋体" w:cs="宋体" w:eastAsia="宋体"/>
                            <w:sz w:val="20"/>
                          </w:rPr>
                          <w:t>6）支持温控：支持。</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1套</w:t>
                        </w:r>
                      </w:p>
                    </w:tc>
                  </w:tr>
                </w:tbl>
                <w:p>
                  <w:pPr>
                    <w:pStyle w:val="null3"/>
                    <w:jc w:val="left"/>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制造业产业链虚拟仿真智能交互设备（触控显示单元）</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calibri" w:hAnsi="calibri" w:cs="calibri" w:eastAsia="calibri"/>
                      <w:sz w:val="19"/>
                    </w:rPr>
                    <w:t>8</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触控显示单元</w:t>
                  </w:r>
                </w:p>
                <w:tbl>
                  <w:tblPr>
                    <w:tblBorders>
                      <w:top w:val="none" w:color="000000" w:sz="4"/>
                      <w:left w:val="none" w:color="000000" w:sz="4"/>
                      <w:bottom w:val="none" w:color="000000" w:sz="4"/>
                      <w:right w:val="none" w:color="000000" w:sz="4"/>
                      <w:insideH w:val="none"/>
                      <w:insideV w:val="none"/>
                    </w:tblBorders>
                  </w:tblPr>
                  <w:tblGrid>
                    <w:gridCol w:w="318"/>
                    <w:gridCol w:w="318"/>
                  </w:tblGrid>
                  <w:tr>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技术参数</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数量</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w:t>
                        </w:r>
                        <w:r>
                          <w:rPr>
                            <w:rFonts w:ascii="宋体" w:hAnsi="宋体" w:cs="宋体" w:eastAsia="宋体"/>
                            <w:sz w:val="20"/>
                          </w:rPr>
                          <w:t>1）采用55寸工业LED看板，分辨率达不低于3840×2160，显示亮度≥500cd/㎡。</w:t>
                        </w:r>
                      </w:p>
                      <w:p>
                        <w:pPr>
                          <w:pStyle w:val="null3"/>
                          <w:jc w:val="left"/>
                        </w:pPr>
                        <w:r>
                          <w:rPr>
                            <w:rFonts w:ascii="宋体" w:hAnsi="宋体" w:cs="宋体" w:eastAsia="宋体"/>
                            <w:sz w:val="20"/>
                          </w:rPr>
                          <w:t>（</w:t>
                        </w:r>
                        <w:r>
                          <w:rPr>
                            <w:rFonts w:ascii="宋体" w:hAnsi="宋体" w:cs="宋体" w:eastAsia="宋体"/>
                            <w:sz w:val="20"/>
                          </w:rPr>
                          <w:t>2）支持高通道电容触摸屏，配合令牌可实现物体识别功能，支持手指和令牌同时触摸，都流畅顺滑。</w:t>
                        </w:r>
                      </w:p>
                      <w:p>
                        <w:pPr>
                          <w:pStyle w:val="null3"/>
                          <w:jc w:val="left"/>
                        </w:pPr>
                        <w:r>
                          <w:rPr>
                            <w:rFonts w:ascii="宋体" w:hAnsi="宋体" w:cs="宋体" w:eastAsia="宋体"/>
                            <w:sz w:val="20"/>
                          </w:rPr>
                          <w:t>（</w:t>
                        </w:r>
                        <w:r>
                          <w:rPr>
                            <w:rFonts w:ascii="宋体" w:hAnsi="宋体" w:cs="宋体" w:eastAsia="宋体"/>
                            <w:sz w:val="20"/>
                          </w:rPr>
                          <w:t>3）采用莫氏7级防爆钢化玻璃，坚固耐用，保护LCD屏幕</w:t>
                        </w:r>
                      </w:p>
                      <w:p>
                        <w:pPr>
                          <w:pStyle w:val="null3"/>
                          <w:jc w:val="left"/>
                        </w:pPr>
                        <w:r>
                          <w:rPr>
                            <w:rFonts w:ascii="宋体" w:hAnsi="宋体" w:cs="宋体" w:eastAsia="宋体"/>
                            <w:sz w:val="20"/>
                          </w:rPr>
                          <w:t>（</w:t>
                        </w:r>
                        <w:r>
                          <w:rPr>
                            <w:rFonts w:ascii="宋体" w:hAnsi="宋体" w:cs="宋体" w:eastAsia="宋体"/>
                            <w:sz w:val="20"/>
                          </w:rPr>
                          <w:t>4）提供触控复位开关，静电干扰电容触控功能时可立即复位恢复使用，触控需要隐藏位置设计。</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1套</w:t>
                        </w:r>
                      </w:p>
                    </w:tc>
                  </w:tr>
                </w:tbl>
                <w:p>
                  <w:pPr>
                    <w:pStyle w:val="null3"/>
                    <w:jc w:val="left"/>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制造业产业链虚拟仿真智能交互设备</w:t>
                  </w:r>
                </w:p>
                <w:p>
                  <w:pPr>
                    <w:pStyle w:val="null3"/>
                    <w:jc w:val="left"/>
                  </w:pPr>
                  <w:r>
                    <w:rPr>
                      <w:rFonts w:ascii="宋体" w:hAnsi="宋体" w:cs="宋体" w:eastAsia="宋体"/>
                      <w:sz w:val="20"/>
                    </w:rPr>
                    <w:t>（计算单元）</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calibri" w:hAnsi="calibri" w:cs="calibri" w:eastAsia="calibri"/>
                      <w:sz w:val="19"/>
                    </w:rPr>
                    <w:t>9</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计算单元</w:t>
                  </w:r>
                </w:p>
                <w:tbl>
                  <w:tblPr>
                    <w:tblBorders>
                      <w:top w:val="none" w:color="000000" w:sz="4"/>
                      <w:left w:val="none" w:color="000000" w:sz="4"/>
                      <w:bottom w:val="none" w:color="000000" w:sz="4"/>
                      <w:right w:val="none" w:color="000000" w:sz="4"/>
                      <w:insideH w:val="none"/>
                      <w:insideV w:val="none"/>
                    </w:tblBorders>
                  </w:tblPr>
                  <w:tblGrid>
                    <w:gridCol w:w="318"/>
                    <w:gridCol w:w="318"/>
                  </w:tblGrid>
                  <w:tr>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技术参数</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数量</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w:t>
                        </w:r>
                        <w:r>
                          <w:rPr>
                            <w:rFonts w:ascii="宋体" w:hAnsi="宋体" w:cs="宋体" w:eastAsia="宋体"/>
                            <w:sz w:val="20"/>
                          </w:rPr>
                          <w:t>1）采用高配置工业服务站，服务站级电源，通风散热良好，可支撑CPU、GPU满负荷稳定输出</w:t>
                        </w:r>
                      </w:p>
                      <w:p>
                        <w:pPr>
                          <w:pStyle w:val="null3"/>
                          <w:jc w:val="left"/>
                        </w:pPr>
                        <w:r>
                          <w:rPr>
                            <w:rFonts w:ascii="宋体" w:hAnsi="宋体" w:cs="宋体" w:eastAsia="宋体"/>
                            <w:sz w:val="20"/>
                          </w:rPr>
                          <w:t>（</w:t>
                        </w:r>
                        <w:r>
                          <w:rPr>
                            <w:rFonts w:ascii="宋体" w:hAnsi="宋体" w:cs="宋体" w:eastAsia="宋体"/>
                            <w:sz w:val="20"/>
                          </w:rPr>
                          <w:t>2）配置要求：CPU不低于i</w:t>
                        </w:r>
                        <w:r>
                          <w:rPr>
                            <w:rFonts w:ascii="宋体" w:hAnsi="宋体" w:cs="宋体" w:eastAsia="宋体"/>
                            <w:sz w:val="20"/>
                          </w:rPr>
                          <w:t>9</w:t>
                        </w:r>
                        <w:r>
                          <w:rPr>
                            <w:rFonts w:ascii="宋体" w:hAnsi="宋体" w:cs="宋体" w:eastAsia="宋体"/>
                            <w:sz w:val="20"/>
                          </w:rPr>
                          <w:t>，内存不低于</w:t>
                        </w:r>
                        <w:r>
                          <w:rPr>
                            <w:rFonts w:ascii="宋体" w:hAnsi="宋体" w:cs="宋体" w:eastAsia="宋体"/>
                            <w:sz w:val="20"/>
                          </w:rPr>
                          <w:t>64</w:t>
                        </w:r>
                        <w:r>
                          <w:rPr>
                            <w:rFonts w:ascii="宋体" w:hAnsi="宋体" w:cs="宋体" w:eastAsia="宋体"/>
                            <w:sz w:val="20"/>
                          </w:rPr>
                          <w:t>GB，硬盘不低于</w:t>
                        </w:r>
                        <w:r>
                          <w:rPr>
                            <w:rFonts w:ascii="宋体" w:hAnsi="宋体" w:cs="宋体" w:eastAsia="宋体"/>
                            <w:sz w:val="20"/>
                          </w:rPr>
                          <w:t>16T</w:t>
                        </w:r>
                        <w:r>
                          <w:rPr>
                            <w:rFonts w:ascii="宋体" w:hAnsi="宋体" w:cs="宋体" w:eastAsia="宋体"/>
                            <w:sz w:val="20"/>
                          </w:rPr>
                          <w:t xml:space="preserve"> </w:t>
                        </w:r>
                        <w:r>
                          <w:rPr>
                            <w:rFonts w:ascii="宋体" w:hAnsi="宋体" w:cs="宋体" w:eastAsia="宋体"/>
                            <w:sz w:val="20"/>
                          </w:rPr>
                          <w:t>SSD，显卡显存容量：不低于</w:t>
                        </w:r>
                        <w:r>
                          <w:rPr>
                            <w:rFonts w:ascii="宋体" w:hAnsi="宋体" w:cs="宋体" w:eastAsia="宋体"/>
                            <w:sz w:val="20"/>
                          </w:rPr>
                          <w:t>1</w:t>
                        </w:r>
                        <w:r>
                          <w:rPr>
                            <w:rFonts w:ascii="宋体" w:hAnsi="宋体" w:cs="宋体" w:eastAsia="宋体"/>
                            <w:sz w:val="20"/>
                          </w:rPr>
                          <w:t>6GB；支持WIFI 6</w:t>
                        </w:r>
                      </w:p>
                      <w:p>
                        <w:pPr>
                          <w:pStyle w:val="null3"/>
                          <w:jc w:val="left"/>
                        </w:pPr>
                        <w:r>
                          <w:rPr>
                            <w:rFonts w:ascii="宋体" w:hAnsi="宋体" w:cs="宋体" w:eastAsia="宋体"/>
                            <w:sz w:val="20"/>
                          </w:rPr>
                          <w:t>（</w:t>
                        </w:r>
                        <w:r>
                          <w:rPr>
                            <w:rFonts w:ascii="宋体" w:hAnsi="宋体" w:cs="宋体" w:eastAsia="宋体"/>
                            <w:sz w:val="20"/>
                          </w:rPr>
                          <w:t>3）供电电源：</w:t>
                        </w:r>
                      </w:p>
                      <w:p>
                        <w:pPr>
                          <w:pStyle w:val="null3"/>
                          <w:jc w:val="left"/>
                        </w:pPr>
                        <w:r>
                          <w:rPr>
                            <w:rFonts w:ascii="宋体" w:hAnsi="宋体" w:cs="宋体" w:eastAsia="宋体"/>
                            <w:sz w:val="20"/>
                          </w:rPr>
                          <w:t>1）风扇 120mm×120mm×38mm；</w:t>
                        </w:r>
                      </w:p>
                      <w:p>
                        <w:pPr>
                          <w:pStyle w:val="null3"/>
                          <w:jc w:val="left"/>
                        </w:pPr>
                        <w:r>
                          <w:rPr>
                            <w:rFonts w:ascii="宋体" w:hAnsi="宋体" w:cs="宋体" w:eastAsia="宋体"/>
                            <w:sz w:val="20"/>
                          </w:rPr>
                          <w:t>2）PFC：主动 PFC；</w:t>
                        </w:r>
                      </w:p>
                      <w:p>
                        <w:pPr>
                          <w:pStyle w:val="null3"/>
                          <w:jc w:val="left"/>
                        </w:pPr>
                        <w:r>
                          <w:rPr>
                            <w:rFonts w:ascii="宋体" w:hAnsi="宋体" w:cs="宋体" w:eastAsia="宋体"/>
                            <w:sz w:val="20"/>
                          </w:rPr>
                          <w:t>3）主电源接口：20+4 pin；</w:t>
                        </w:r>
                      </w:p>
                      <w:p>
                        <w:pPr>
                          <w:pStyle w:val="null3"/>
                          <w:jc w:val="left"/>
                        </w:pPr>
                        <w:r>
                          <w:rPr>
                            <w:rFonts w:ascii="宋体" w:hAnsi="宋体" w:cs="宋体" w:eastAsia="宋体"/>
                            <w:sz w:val="20"/>
                          </w:rPr>
                          <w:t>4）CPU 12V 供电接口：4pin+4pin；</w:t>
                        </w:r>
                      </w:p>
                      <w:p>
                        <w:pPr>
                          <w:pStyle w:val="null3"/>
                          <w:jc w:val="left"/>
                        </w:pPr>
                        <w:r>
                          <w:rPr>
                            <w:rFonts w:ascii="宋体" w:hAnsi="宋体" w:cs="宋体" w:eastAsia="宋体"/>
                            <w:sz w:val="20"/>
                          </w:rPr>
                          <w:t>5）D 型 4pin 接口：5 个；</w:t>
                        </w:r>
                      </w:p>
                      <w:p>
                        <w:pPr>
                          <w:pStyle w:val="null3"/>
                          <w:jc w:val="left"/>
                        </w:pPr>
                        <w:r>
                          <w:rPr>
                            <w:rFonts w:ascii="宋体" w:hAnsi="宋体" w:cs="宋体" w:eastAsia="宋体"/>
                            <w:sz w:val="20"/>
                          </w:rPr>
                          <w:t>6）SATA 接口：6 个；</w:t>
                        </w:r>
                      </w:p>
                      <w:p>
                        <w:pPr>
                          <w:pStyle w:val="null3"/>
                          <w:jc w:val="left"/>
                        </w:pPr>
                        <w:r>
                          <w:rPr>
                            <w:rFonts w:ascii="宋体" w:hAnsi="宋体" w:cs="宋体" w:eastAsia="宋体"/>
                            <w:sz w:val="20"/>
                          </w:rPr>
                          <w:t>7）8pin PCI-E 接口：（6+2）pin x4；</w:t>
                        </w:r>
                      </w:p>
                      <w:p>
                        <w:pPr>
                          <w:pStyle w:val="null3"/>
                          <w:jc w:val="left"/>
                        </w:pPr>
                        <w:r>
                          <w:rPr>
                            <w:rFonts w:ascii="宋体" w:hAnsi="宋体" w:cs="宋体" w:eastAsia="宋体"/>
                            <w:sz w:val="20"/>
                          </w:rPr>
                          <w:t>8）6pin PCI-E 接口：4 个；</w:t>
                        </w:r>
                      </w:p>
                      <w:p>
                        <w:pPr>
                          <w:pStyle w:val="null3"/>
                          <w:jc w:val="left"/>
                        </w:pPr>
                        <w:r>
                          <w:rPr>
                            <w:rFonts w:ascii="宋体" w:hAnsi="宋体" w:cs="宋体" w:eastAsia="宋体"/>
                            <w:sz w:val="20"/>
                          </w:rPr>
                          <w:t>9）支持宽幅：是；</w:t>
                        </w:r>
                      </w:p>
                      <w:p>
                        <w:pPr>
                          <w:pStyle w:val="null3"/>
                          <w:jc w:val="left"/>
                        </w:pPr>
                        <w:r>
                          <w:rPr>
                            <w:rFonts w:ascii="宋体" w:hAnsi="宋体" w:cs="宋体" w:eastAsia="宋体"/>
                            <w:sz w:val="20"/>
                          </w:rPr>
                          <w:t>10）支持温控：支持。</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1套</w:t>
                        </w:r>
                      </w:p>
                    </w:tc>
                  </w:tr>
                </w:tbl>
                <w:p>
                  <w:pPr>
                    <w:pStyle w:val="null3"/>
                    <w:jc w:val="left"/>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制造业产业链虚拟仿真智能交互设备（互动令牌）</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calibri" w:hAnsi="calibri" w:cs="calibri" w:eastAsia="calibri"/>
                      <w:sz w:val="19"/>
                    </w:rPr>
                    <w:t>10</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互动令牌</w:t>
                  </w:r>
                </w:p>
                <w:tbl>
                  <w:tblPr>
                    <w:tblBorders>
                      <w:top w:val="none" w:color="000000" w:sz="4"/>
                      <w:left w:val="none" w:color="000000" w:sz="4"/>
                      <w:bottom w:val="none" w:color="000000" w:sz="4"/>
                      <w:right w:val="none" w:color="000000" w:sz="4"/>
                      <w:insideH w:val="none"/>
                      <w:insideV w:val="none"/>
                    </w:tblBorders>
                  </w:tblPr>
                  <w:tblGrid>
                    <w:gridCol w:w="318"/>
                    <w:gridCol w:w="318"/>
                  </w:tblGrid>
                  <w:tr>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技术参数</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数量</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具备独立物体识别芯片，可实现旋转、移动等操作，配合课程场景，实现学生实际操作知卡在3D场景中漫游、构建，可不依赖该实物上的图形，避免图形受损后识别有误。对应实物操作，并可结合手指触摸屏幕，可实时在感知桌面或认知桌面进行相应显示，并对于有数据逻辑的进行数据输入、操作，实现图形级、数据级的人机交互。</w:t>
                        </w:r>
                      </w:p>
                      <w:p>
                        <w:pPr>
                          <w:pStyle w:val="null3"/>
                          <w:jc w:val="left"/>
                        </w:pPr>
                        <w:r>
                          <w:rPr>
                            <w:rFonts w:ascii="宋体" w:hAnsi="宋体" w:cs="宋体" w:eastAsia="宋体"/>
                            <w:sz w:val="20"/>
                          </w:rPr>
                          <w:t>支持互动待机功能，超过</w:t>
                        </w:r>
                        <w:r>
                          <w:rPr>
                            <w:rFonts w:ascii="宋体" w:hAnsi="宋体" w:cs="宋体" w:eastAsia="宋体"/>
                            <w:sz w:val="20"/>
                          </w:rPr>
                          <w:t>20秒时间不移动令牌即进入待机状态，指示灯熄灭，再次移动后指示灯亮。</w:t>
                        </w:r>
                      </w:p>
                      <w:p>
                        <w:pPr>
                          <w:pStyle w:val="null3"/>
                          <w:jc w:val="left"/>
                        </w:pPr>
                        <w:r>
                          <w:rPr>
                            <w:rFonts w:ascii="宋体" w:hAnsi="宋体" w:cs="宋体" w:eastAsia="宋体"/>
                            <w:sz w:val="20"/>
                          </w:rPr>
                          <w:t>2.互动令牌内置充电电池，支持独立type-c 充电口。</w:t>
                        </w:r>
                      </w:p>
                      <w:p>
                        <w:pPr>
                          <w:pStyle w:val="null3"/>
                          <w:jc w:val="left"/>
                        </w:pPr>
                        <w:r>
                          <w:rPr>
                            <w:rFonts w:ascii="宋体" w:hAnsi="宋体" w:cs="宋体" w:eastAsia="宋体"/>
                            <w:sz w:val="20"/>
                          </w:rPr>
                          <w:t>3.提供有针对令牌的开发SDK，可识别令牌移动、旋转、以及令牌编码识别。（需提供SDK说明文件与界面截图）</w:t>
                        </w:r>
                      </w:p>
                      <w:p>
                        <w:pPr>
                          <w:pStyle w:val="null3"/>
                          <w:jc w:val="left"/>
                        </w:pPr>
                        <w:r>
                          <w:rPr>
                            <w:rFonts w:ascii="宋体" w:hAnsi="宋体" w:cs="宋体" w:eastAsia="宋体"/>
                            <w:sz w:val="20"/>
                          </w:rPr>
                          <w:t>4.互动令牌需要满足以下功能：</w:t>
                        </w:r>
                      </w:p>
                      <w:p>
                        <w:pPr>
                          <w:pStyle w:val="null3"/>
                          <w:jc w:val="left"/>
                        </w:pPr>
                        <w:r>
                          <w:rPr>
                            <w:rFonts w:ascii="宋体" w:hAnsi="宋体" w:cs="宋体" w:eastAsia="宋体"/>
                            <w:sz w:val="20"/>
                          </w:rPr>
                          <w:t>1）漫游：综观企业、场景选择、漫游；</w:t>
                        </w:r>
                      </w:p>
                      <w:p>
                        <w:pPr>
                          <w:pStyle w:val="null3"/>
                          <w:jc w:val="left"/>
                        </w:pPr>
                        <w:r>
                          <w:rPr>
                            <w:rFonts w:ascii="宋体" w:hAnsi="宋体" w:cs="宋体" w:eastAsia="宋体"/>
                            <w:sz w:val="20"/>
                          </w:rPr>
                          <w:t>2）资源播放：可进行视频、PPT、WORD等教学资源播放、暂停、回看；</w:t>
                        </w:r>
                      </w:p>
                      <w:p>
                        <w:pPr>
                          <w:pStyle w:val="null3"/>
                          <w:jc w:val="left"/>
                        </w:pPr>
                        <w:r>
                          <w:rPr>
                            <w:rFonts w:ascii="宋体" w:hAnsi="宋体" w:cs="宋体" w:eastAsia="宋体"/>
                            <w:sz w:val="20"/>
                          </w:rPr>
                          <w:t>3）实训任务操作：接收任务，选择任务进行仿真工作、数据分析。</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1套</w:t>
                        </w:r>
                      </w:p>
                    </w:tc>
                  </w:tr>
                </w:tbl>
                <w:p>
                  <w:pPr>
                    <w:pStyle w:val="null3"/>
                    <w:jc w:val="left"/>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制造业产业链虚拟仿真智能交互设备（制造业产业链虚拟仿真智能互动教学平台）</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calibri" w:hAnsi="calibri" w:cs="calibri" w:eastAsia="calibri"/>
                      <w:sz w:val="19"/>
                    </w:rPr>
                    <w:t>11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制造业产业链虚拟仿真智能互动教学平台</w:t>
                  </w:r>
                  <w:r>
                    <w:rPr>
                      <w:rFonts w:ascii="宋体" w:hAnsi="宋体" w:cs="宋体" w:eastAsia="宋体"/>
                      <w:sz w:val="20"/>
                    </w:rPr>
                    <w:t>-上屏</w:t>
                  </w:r>
                </w:p>
                <w:tbl>
                  <w:tblPr>
                    <w:tblBorders>
                      <w:top w:val="none" w:color="000000" w:sz="4"/>
                      <w:left w:val="none" w:color="000000" w:sz="4"/>
                      <w:bottom w:val="none" w:color="000000" w:sz="4"/>
                      <w:right w:val="none" w:color="000000" w:sz="4"/>
                      <w:insideH w:val="none"/>
                      <w:insideV w:val="none"/>
                    </w:tblBorders>
                  </w:tblPr>
                  <w:tblGrid>
                    <w:gridCol w:w="318"/>
                    <w:gridCol w:w="318"/>
                  </w:tblGrid>
                  <w:tr>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技术参数</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数量</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智能认知屏</w:t>
                        </w:r>
                        <w:r>
                          <w:rPr>
                            <w:rFonts w:ascii="宋体" w:hAnsi="宋体" w:cs="宋体" w:eastAsia="宋体"/>
                            <w:sz w:val="20"/>
                          </w:rPr>
                          <w:t>1个，该设备的交互性能要求信息同步速率&lt;1ms；识别误差&lt;0.01cm；响应时间&lt;1ms；图形性能要求支持上前盏动态人造光源；支持上千万面模型渲染、60fps以上高清实时渲染、动态LOD、Hybrid AA、（hardware AA+postproce ss AA）、PCF soft shadow、VXGI、SSDO；该设备由显示单元构成。</w:t>
                        </w:r>
                      </w:p>
                      <w:p>
                        <w:pPr>
                          <w:pStyle w:val="null3"/>
                          <w:jc w:val="left"/>
                        </w:pPr>
                        <w:r>
                          <w:rPr>
                            <w:rFonts w:ascii="宋体" w:hAnsi="宋体" w:cs="宋体" w:eastAsia="宋体"/>
                            <w:sz w:val="20"/>
                          </w:rPr>
                          <w:t>显示单元：</w:t>
                        </w:r>
                      </w:p>
                      <w:p>
                        <w:pPr>
                          <w:pStyle w:val="null3"/>
                          <w:jc w:val="left"/>
                        </w:pPr>
                        <w:r>
                          <w:rPr>
                            <w:rFonts w:ascii="宋体" w:hAnsi="宋体" w:cs="宋体" w:eastAsia="宋体"/>
                            <w:sz w:val="20"/>
                          </w:rPr>
                          <w:t>屏幕尺寸：</w:t>
                        </w:r>
                        <w:r>
                          <w:rPr>
                            <w:rFonts w:ascii="宋体" w:hAnsi="宋体" w:cs="宋体" w:eastAsia="宋体"/>
                            <w:sz w:val="20"/>
                          </w:rPr>
                          <w:t>70英寸</w:t>
                        </w:r>
                      </w:p>
                      <w:p>
                        <w:pPr>
                          <w:pStyle w:val="null3"/>
                          <w:jc w:val="left"/>
                        </w:pPr>
                        <w:r>
                          <w:rPr>
                            <w:rFonts w:ascii="宋体" w:hAnsi="宋体" w:cs="宋体" w:eastAsia="宋体"/>
                            <w:sz w:val="20"/>
                          </w:rPr>
                          <w:t>屏幕分辨率：全高清（</w:t>
                        </w:r>
                        <w:r>
                          <w:rPr>
                            <w:rFonts w:ascii="宋体" w:hAnsi="宋体" w:cs="宋体" w:eastAsia="宋体"/>
                            <w:sz w:val="20"/>
                          </w:rPr>
                          <w:t>1920 x 1080）</w:t>
                        </w:r>
                      </w:p>
                      <w:p>
                        <w:pPr>
                          <w:pStyle w:val="null3"/>
                          <w:jc w:val="left"/>
                        </w:pPr>
                        <w:r>
                          <w:rPr>
                            <w:rFonts w:ascii="宋体" w:hAnsi="宋体" w:cs="宋体" w:eastAsia="宋体"/>
                            <w:sz w:val="20"/>
                          </w:rPr>
                          <w:t>屏幕比例：</w:t>
                        </w:r>
                        <w:r>
                          <w:rPr>
                            <w:rFonts w:ascii="宋体" w:hAnsi="宋体" w:cs="宋体" w:eastAsia="宋体"/>
                            <w:sz w:val="20"/>
                          </w:rPr>
                          <w:t>16:9</w:t>
                        </w:r>
                      </w:p>
                      <w:p>
                        <w:pPr>
                          <w:pStyle w:val="null3"/>
                          <w:jc w:val="left"/>
                        </w:pPr>
                        <w:r>
                          <w:rPr>
                            <w:rFonts w:ascii="宋体" w:hAnsi="宋体" w:cs="宋体" w:eastAsia="宋体"/>
                            <w:sz w:val="20"/>
                          </w:rPr>
                          <w:t>背光源：</w:t>
                        </w:r>
                        <w:r>
                          <w:rPr>
                            <w:rFonts w:ascii="宋体" w:hAnsi="宋体" w:cs="宋体" w:eastAsia="宋体"/>
                            <w:sz w:val="20"/>
                          </w:rPr>
                          <w:t>LED</w:t>
                        </w:r>
                      </w:p>
                      <w:p>
                        <w:pPr>
                          <w:pStyle w:val="null3"/>
                          <w:jc w:val="left"/>
                        </w:pPr>
                        <w:r>
                          <w:rPr>
                            <w:rFonts w:ascii="宋体" w:hAnsi="宋体" w:cs="宋体" w:eastAsia="宋体"/>
                            <w:sz w:val="20"/>
                          </w:rPr>
                          <w:t>扫描方式：逐行扫描</w:t>
                        </w:r>
                      </w:p>
                      <w:p>
                        <w:pPr>
                          <w:pStyle w:val="null3"/>
                          <w:jc w:val="left"/>
                        </w:pPr>
                        <w:r>
                          <w:rPr>
                            <w:rFonts w:ascii="宋体" w:hAnsi="宋体" w:cs="宋体" w:eastAsia="宋体"/>
                            <w:sz w:val="20"/>
                          </w:rPr>
                          <w:t>网络连接：支持</w:t>
                        </w:r>
                      </w:p>
                      <w:p>
                        <w:pPr>
                          <w:pStyle w:val="null3"/>
                          <w:jc w:val="left"/>
                        </w:pPr>
                        <w:r>
                          <w:rPr>
                            <w:rFonts w:ascii="宋体" w:hAnsi="宋体" w:cs="宋体" w:eastAsia="宋体"/>
                            <w:sz w:val="20"/>
                          </w:rPr>
                          <w:t>音频系统：立体声</w:t>
                        </w:r>
                      </w:p>
                      <w:p>
                        <w:pPr>
                          <w:pStyle w:val="null3"/>
                          <w:jc w:val="left"/>
                        </w:pPr>
                        <w:r>
                          <w:rPr>
                            <w:rFonts w:ascii="宋体" w:hAnsi="宋体" w:cs="宋体" w:eastAsia="宋体"/>
                            <w:sz w:val="20"/>
                          </w:rPr>
                          <w:t>电源功率（</w:t>
                        </w:r>
                        <w:r>
                          <w:rPr>
                            <w:rFonts w:ascii="宋体" w:hAnsi="宋体" w:cs="宋体" w:eastAsia="宋体"/>
                            <w:sz w:val="20"/>
                          </w:rPr>
                          <w:t>w）：127W</w:t>
                        </w:r>
                      </w:p>
                      <w:p>
                        <w:pPr>
                          <w:pStyle w:val="null3"/>
                          <w:jc w:val="left"/>
                        </w:pPr>
                        <w:r>
                          <w:rPr>
                            <w:rFonts w:ascii="宋体" w:hAnsi="宋体" w:cs="宋体" w:eastAsia="宋体"/>
                            <w:sz w:val="20"/>
                          </w:rPr>
                          <w:t>待机功率（</w:t>
                        </w:r>
                        <w:r>
                          <w:rPr>
                            <w:rFonts w:ascii="宋体" w:hAnsi="宋体" w:cs="宋体" w:eastAsia="宋体"/>
                            <w:sz w:val="20"/>
                          </w:rPr>
                          <w:t>w）：≤0.5W</w:t>
                        </w:r>
                      </w:p>
                      <w:p>
                        <w:pPr>
                          <w:pStyle w:val="null3"/>
                          <w:jc w:val="left"/>
                        </w:pPr>
                        <w:r>
                          <w:rPr>
                            <w:rFonts w:ascii="宋体" w:hAnsi="宋体" w:cs="宋体" w:eastAsia="宋体"/>
                            <w:sz w:val="20"/>
                          </w:rPr>
                          <w:t>工作电压（</w:t>
                        </w:r>
                        <w:r>
                          <w:rPr>
                            <w:rFonts w:ascii="宋体" w:hAnsi="宋体" w:cs="宋体" w:eastAsia="宋体"/>
                            <w:sz w:val="20"/>
                          </w:rPr>
                          <w:t>v）：220v</w:t>
                        </w:r>
                      </w:p>
                      <w:p>
                        <w:pPr>
                          <w:pStyle w:val="null3"/>
                          <w:jc w:val="left"/>
                        </w:pPr>
                        <w:r>
                          <w:rPr>
                            <w:rFonts w:ascii="宋体" w:hAnsi="宋体" w:cs="宋体" w:eastAsia="宋体"/>
                            <w:sz w:val="20"/>
                          </w:rPr>
                          <w:t>USB2.0接口：1个</w:t>
                        </w:r>
                      </w:p>
                      <w:p>
                        <w:pPr>
                          <w:pStyle w:val="null3"/>
                          <w:jc w:val="left"/>
                        </w:pPr>
                        <w:r>
                          <w:rPr>
                            <w:rFonts w:ascii="宋体" w:hAnsi="宋体" w:cs="宋体" w:eastAsia="宋体"/>
                            <w:sz w:val="20"/>
                          </w:rPr>
                          <w:t>USB3.0接口：1个</w:t>
                        </w:r>
                      </w:p>
                      <w:p>
                        <w:pPr>
                          <w:pStyle w:val="null3"/>
                          <w:jc w:val="left"/>
                        </w:pPr>
                        <w:r>
                          <w:rPr>
                            <w:rFonts w:ascii="宋体" w:hAnsi="宋体" w:cs="宋体" w:eastAsia="宋体"/>
                            <w:sz w:val="20"/>
                          </w:rPr>
                          <w:t>HDMI1.4接口：1个</w:t>
                        </w:r>
                      </w:p>
                      <w:p>
                        <w:pPr>
                          <w:pStyle w:val="null3"/>
                          <w:jc w:val="left"/>
                        </w:pPr>
                        <w:r>
                          <w:rPr>
                            <w:rFonts w:ascii="宋体" w:hAnsi="宋体" w:cs="宋体" w:eastAsia="宋体"/>
                            <w:sz w:val="20"/>
                          </w:rPr>
                          <w:t>HDMI2.0接口：1个</w:t>
                        </w:r>
                      </w:p>
                      <w:p>
                        <w:pPr>
                          <w:pStyle w:val="null3"/>
                          <w:jc w:val="left"/>
                        </w:pPr>
                        <w:r>
                          <w:rPr>
                            <w:rFonts w:ascii="宋体" w:hAnsi="宋体" w:cs="宋体" w:eastAsia="宋体"/>
                            <w:sz w:val="20"/>
                          </w:rPr>
                          <w:t>耳机端口：</w:t>
                        </w:r>
                        <w:r>
                          <w:rPr>
                            <w:rFonts w:ascii="宋体" w:hAnsi="宋体" w:cs="宋体" w:eastAsia="宋体"/>
                            <w:sz w:val="20"/>
                          </w:rPr>
                          <w:t>1个。</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1套</w:t>
                        </w:r>
                      </w:p>
                    </w:tc>
                  </w:tr>
                </w:tbl>
                <w:p>
                  <w:pPr>
                    <w:pStyle w:val="null3"/>
                    <w:jc w:val="left"/>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制造业产业链虚拟仿真智能交互设备</w:t>
                  </w:r>
                </w:p>
                <w:p>
                  <w:pPr>
                    <w:pStyle w:val="null3"/>
                    <w:jc w:val="both"/>
                  </w:pPr>
                  <w:r>
                    <w:rPr>
                      <w:rFonts w:ascii="宋体" w:hAnsi="宋体" w:cs="宋体" w:eastAsia="宋体"/>
                      <w:sz w:val="20"/>
                    </w:rPr>
                    <w:t>（资源配置）</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calibri" w:hAnsi="calibri" w:cs="calibri" w:eastAsia="calibri"/>
                      <w:sz w:val="19"/>
                    </w:rPr>
                    <w:t>12</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一、系统构建</w:t>
                  </w:r>
                </w:p>
                <w:p>
                  <w:pPr>
                    <w:pStyle w:val="null3"/>
                    <w:jc w:val="left"/>
                  </w:pPr>
                  <w:r>
                    <w:rPr>
                      <w:rFonts w:ascii="宋体" w:hAnsi="宋体" w:cs="宋体" w:eastAsia="宋体"/>
                      <w:sz w:val="20"/>
                    </w:rPr>
                    <w:t>遵循</w:t>
                  </w:r>
                  <w:r>
                    <w:rPr>
                      <w:rFonts w:ascii="宋体" w:hAnsi="宋体" w:cs="宋体" w:eastAsia="宋体"/>
                      <w:sz w:val="20"/>
                    </w:rPr>
                    <w:t>SOA设计原则和技术标准，能够构建标准的总线平台，提供松耦合模式，将业务逻辑和应用逻辑、数据逻辑等进行分离，支持最新Web Services标准，包括SOAP 1.1/1.2、WSDL 1.1、MTOM/XOP、WS-I Basic Profile 1.1等，支持Web Services自有的安全性WS-Security和寻址功能WS-Addressing，可以实现Web Services 同步和异步不同形式的调用；</w:t>
                  </w:r>
                </w:p>
                <w:p>
                  <w:pPr>
                    <w:pStyle w:val="null3"/>
                    <w:jc w:val="left"/>
                  </w:pPr>
                  <w:r>
                    <w:rPr>
                      <w:rFonts w:ascii="宋体" w:hAnsi="宋体" w:cs="宋体" w:eastAsia="宋体"/>
                      <w:sz w:val="20"/>
                    </w:rPr>
                    <w:t>支持基于消息内容的处理和路由，可执行一系列方式的消息交互，包括了过滤、充实、监视、分发、关联、拆分（一对多）和合成（多对一）等。</w:t>
                  </w:r>
                </w:p>
                <w:p>
                  <w:pPr>
                    <w:pStyle w:val="null3"/>
                    <w:jc w:val="left"/>
                  </w:pPr>
                  <w:r>
                    <w:rPr>
                      <w:rFonts w:ascii="宋体" w:hAnsi="宋体" w:cs="宋体" w:eastAsia="宋体"/>
                      <w:sz w:val="20"/>
                    </w:rPr>
                    <w:t>标准</w:t>
                  </w:r>
                  <w:r>
                    <w:rPr>
                      <w:rFonts w:ascii="宋体" w:hAnsi="宋体" w:cs="宋体" w:eastAsia="宋体"/>
                      <w:sz w:val="20"/>
                    </w:rPr>
                    <w:t>XML数据的格式转换，并且可以通过图形化映射组件、XSLT、客户化Java程序等多种方式实现转换功能。</w:t>
                  </w:r>
                </w:p>
                <w:p>
                  <w:pPr>
                    <w:pStyle w:val="null3"/>
                    <w:jc w:val="left"/>
                  </w:pPr>
                  <w:r>
                    <w:rPr>
                      <w:rFonts w:ascii="宋体" w:hAnsi="宋体" w:cs="宋体" w:eastAsia="宋体"/>
                      <w:sz w:val="20"/>
                    </w:rPr>
                    <w:t>非标准</w:t>
                  </w:r>
                  <w:r>
                    <w:rPr>
                      <w:rFonts w:ascii="宋体" w:hAnsi="宋体" w:cs="宋体" w:eastAsia="宋体"/>
                      <w:sz w:val="20"/>
                    </w:rPr>
                    <w:t>XML数据的格式转换，实现XML消息格式和其他数据格式之间的映射，包括了JSON、C Record、JMS、TDS分隔符、平文本、行业专有数据格式等多种格式，同时也要支持自定义数据格式。</w:t>
                  </w:r>
                </w:p>
                <w:p>
                  <w:pPr>
                    <w:pStyle w:val="null3"/>
                    <w:jc w:val="left"/>
                  </w:pPr>
                  <w:r>
                    <w:rPr>
                      <w:rFonts w:ascii="宋体" w:hAnsi="宋体" w:cs="宋体" w:eastAsia="宋体"/>
                      <w:sz w:val="20"/>
                    </w:rPr>
                    <w:t>支持灵活可管理的情境交互架构，支持模拟汇总后的查询分析、可视化呈现以满足实训基地的实战、实训教学需求；</w:t>
                  </w:r>
                </w:p>
                <w:p>
                  <w:pPr>
                    <w:pStyle w:val="null3"/>
                    <w:jc w:val="left"/>
                  </w:pPr>
                  <w:r>
                    <w:rPr>
                      <w:rFonts w:ascii="宋体" w:hAnsi="宋体" w:cs="宋体" w:eastAsia="宋体"/>
                      <w:sz w:val="20"/>
                    </w:rPr>
                    <w:t>支持主流数据库，如：</w:t>
                  </w:r>
                  <w:r>
                    <w:rPr>
                      <w:rFonts w:ascii="宋体" w:hAnsi="宋体" w:cs="宋体" w:eastAsia="宋体"/>
                      <w:sz w:val="20"/>
                    </w:rPr>
                    <w:t>Mysql5.6；</w:t>
                  </w:r>
                </w:p>
                <w:p>
                  <w:pPr>
                    <w:pStyle w:val="null3"/>
                    <w:jc w:val="left"/>
                  </w:pPr>
                  <w:r>
                    <w:rPr>
                      <w:rFonts w:ascii="宋体" w:hAnsi="宋体" w:cs="宋体" w:eastAsia="宋体"/>
                      <w:sz w:val="20"/>
                    </w:rPr>
                    <w:t>系统所有操作通过</w:t>
                  </w:r>
                  <w:r>
                    <w:rPr>
                      <w:rFonts w:ascii="宋体" w:hAnsi="宋体" w:cs="宋体" w:eastAsia="宋体"/>
                      <w:sz w:val="20"/>
                    </w:rPr>
                    <w:t>Log4j记录操作日志,使用Redis缓存加快速度；层与层之间关联采用松耦合框架技术实现业务；</w:t>
                  </w:r>
                </w:p>
                <w:p>
                  <w:pPr>
                    <w:pStyle w:val="null3"/>
                    <w:jc w:val="left"/>
                  </w:pPr>
                  <w:r>
                    <w:rPr>
                      <w:rFonts w:ascii="宋体" w:hAnsi="宋体" w:cs="宋体" w:eastAsia="宋体"/>
                      <w:sz w:val="20"/>
                    </w:rPr>
                    <w:t>支持</w:t>
                  </w:r>
                  <w:r>
                    <w:rPr>
                      <w:rFonts w:ascii="宋体" w:hAnsi="宋体" w:cs="宋体" w:eastAsia="宋体"/>
                      <w:sz w:val="20"/>
                    </w:rPr>
                    <w:t>windows 操作系统下的触控一体机及PC；</w:t>
                  </w:r>
                </w:p>
                <w:p>
                  <w:pPr>
                    <w:pStyle w:val="null3"/>
                    <w:jc w:val="left"/>
                  </w:pPr>
                  <w:r>
                    <w:rPr>
                      <w:rFonts w:ascii="宋体" w:hAnsi="宋体" w:cs="宋体" w:eastAsia="宋体"/>
                      <w:sz w:val="20"/>
                    </w:rPr>
                    <w:t>展现层通过</w:t>
                  </w:r>
                  <w:r>
                    <w:rPr>
                      <w:rFonts w:ascii="宋体" w:hAnsi="宋体" w:cs="宋体" w:eastAsia="宋体"/>
                      <w:sz w:val="20"/>
                    </w:rPr>
                    <w:t>react、reac-dva、readx 、antdui-Ant Design、JSP、Less、CascadingStyleSheets3、ECMAScript6、Echarts实现；</w:t>
                  </w:r>
                </w:p>
                <w:p>
                  <w:pPr>
                    <w:pStyle w:val="null3"/>
                    <w:jc w:val="left"/>
                  </w:pPr>
                  <w:r>
                    <w:rPr>
                      <w:rFonts w:ascii="宋体" w:hAnsi="宋体" w:cs="宋体" w:eastAsia="宋体"/>
                      <w:sz w:val="20"/>
                    </w:rPr>
                    <w:t>控制层通过</w:t>
                  </w:r>
                  <w:r>
                    <w:rPr>
                      <w:rFonts w:ascii="宋体" w:hAnsi="宋体" w:cs="宋体" w:eastAsia="宋体"/>
                      <w:sz w:val="20"/>
                    </w:rPr>
                    <w:t>Controller实现；模型层通过Java标准类来实现；与数据库的交互，采用MyBatis持久层框架。</w:t>
                  </w:r>
                </w:p>
                <w:p>
                  <w:pPr>
                    <w:pStyle w:val="null3"/>
                    <w:jc w:val="left"/>
                  </w:pPr>
                  <w:r>
                    <w:rPr>
                      <w:rFonts w:ascii="宋体" w:hAnsi="宋体" w:cs="宋体" w:eastAsia="宋体"/>
                      <w:sz w:val="20"/>
                    </w:rPr>
                    <w:t>二、虚拟情境仿真平台</w:t>
                  </w:r>
                  <w:r>
                    <w:rPr>
                      <w:rFonts w:ascii="宋体" w:hAnsi="宋体" w:cs="宋体" w:eastAsia="宋体"/>
                      <w:sz w:val="20"/>
                    </w:rPr>
                    <w:t>（</w:t>
                  </w:r>
                  <w:r>
                    <w:rPr>
                      <w:rFonts w:ascii="宋体" w:hAnsi="宋体" w:cs="宋体" w:eastAsia="宋体"/>
                      <w:sz w:val="20"/>
                    </w:rPr>
                    <w:t>需要现场演示</w:t>
                  </w:r>
                  <w:r>
                    <w:rPr>
                      <w:rFonts w:ascii="宋体" w:hAnsi="宋体" w:cs="宋体" w:eastAsia="宋体"/>
                      <w:sz w:val="20"/>
                    </w:rPr>
                    <w:t>）</w:t>
                  </w:r>
                </w:p>
                <w:p>
                  <w:pPr>
                    <w:pStyle w:val="null3"/>
                    <w:jc w:val="left"/>
                  </w:pPr>
                  <w:r>
                    <w:rPr>
                      <w:rFonts w:ascii="宋体" w:hAnsi="宋体" w:cs="宋体" w:eastAsia="宋体"/>
                      <w:sz w:val="20"/>
                    </w:rPr>
                    <w:t>可通过虚拟情境仿真场景手段进行三个不同类型行业的企业案例的虚拟仿真化实现，并可对产业链上下游进行模拟运营加深强化理解所学内容</w:t>
                  </w:r>
                </w:p>
                <w:p>
                  <w:pPr>
                    <w:pStyle w:val="null3"/>
                    <w:jc w:val="left"/>
                  </w:pPr>
                  <w:r>
                    <w:rPr>
                      <w:rFonts w:ascii="宋体" w:hAnsi="宋体" w:cs="宋体" w:eastAsia="宋体"/>
                      <w:sz w:val="20"/>
                    </w:rPr>
                    <w:t>平台应涵盖制造业产业链相关企业运营的具体工作内容，包括生产管理、财务管理、市场营销、供应链管理等，通过虚拟情境仿真技术将制造型行业的企业、流通型行业的企业、商贸型行业的企业运营模式的全真还原，可支持人、机、场景三者实时响应互动，可实现虚拟场景实时动态变化；</w:t>
                  </w:r>
                </w:p>
                <w:p>
                  <w:pPr>
                    <w:pStyle w:val="null3"/>
                    <w:jc w:val="left"/>
                  </w:pPr>
                  <w:r>
                    <w:rPr>
                      <w:rFonts w:ascii="宋体" w:hAnsi="宋体" w:cs="宋体" w:eastAsia="宋体"/>
                      <w:sz w:val="20"/>
                    </w:rPr>
                    <w:t>△虚拟情境仿真平台提供至少20个以上业务工作流程，应包括教学大纲、教学资源与PPT、使用指导书、教师授课操作手册(此项要求提供软件功能截图)。</w:t>
                  </w:r>
                </w:p>
                <w:p>
                  <w:pPr>
                    <w:pStyle w:val="null3"/>
                    <w:jc w:val="left"/>
                  </w:pPr>
                  <w:r>
                    <w:rPr>
                      <w:rFonts w:ascii="宋体" w:hAnsi="宋体" w:cs="宋体" w:eastAsia="宋体"/>
                      <w:sz w:val="20"/>
                    </w:rPr>
                    <w:t>三、教师管理模块</w:t>
                  </w:r>
                </w:p>
                <w:p>
                  <w:pPr>
                    <w:pStyle w:val="null3"/>
                    <w:jc w:val="left"/>
                  </w:pPr>
                  <w:r>
                    <w:rPr>
                      <w:rFonts w:ascii="宋体" w:hAnsi="宋体" w:cs="宋体" w:eastAsia="宋体"/>
                      <w:sz w:val="20"/>
                    </w:rPr>
                    <w:t>支持教师创建多个班级不同进程同时开课或训练，班级之间数据相互独立；</w:t>
                  </w:r>
                </w:p>
                <w:p>
                  <w:pPr>
                    <w:pStyle w:val="null3"/>
                    <w:jc w:val="left"/>
                  </w:pPr>
                  <w:r>
                    <w:rPr>
                      <w:rFonts w:ascii="宋体" w:hAnsi="宋体" w:cs="宋体" w:eastAsia="宋体"/>
                      <w:sz w:val="20"/>
                    </w:rPr>
                    <w:t>实训岗位：通过图形化统计展示已完成上岗的组织数量及已完成上岗数，支持按照组织或岗位筛选查看完成上岗及未上岗的情况，查看未上岗学生情况，快速了解上岗情况，提升课前准备效率；同时支持强制下岗操作；</w:t>
                  </w:r>
                </w:p>
                <w:p>
                  <w:pPr>
                    <w:pStyle w:val="null3"/>
                    <w:jc w:val="left"/>
                  </w:pPr>
                  <w:r>
                    <w:rPr>
                      <w:rFonts w:ascii="宋体" w:hAnsi="宋体" w:cs="宋体" w:eastAsia="宋体"/>
                      <w:sz w:val="20"/>
                    </w:rPr>
                    <w:t>课程初始化：支持教师创建班级后，设置班级内的组织数量，并可选择设置单人团队模式或多人团队模式；</w:t>
                  </w:r>
                </w:p>
                <w:p>
                  <w:pPr>
                    <w:pStyle w:val="null3"/>
                    <w:jc w:val="left"/>
                  </w:pPr>
                  <w:r>
                    <w:rPr>
                      <w:rFonts w:ascii="宋体" w:hAnsi="宋体" w:cs="宋体" w:eastAsia="宋体"/>
                      <w:sz w:val="20"/>
                    </w:rPr>
                    <w:t>下发实训任务：支持任务列表展示，教师可依据教学计划、讲次管理，根据教学进度进行实训任务推送，可分阶段将教学任务推送给学生；</w:t>
                  </w:r>
                </w:p>
                <w:p>
                  <w:pPr>
                    <w:pStyle w:val="null3"/>
                    <w:jc w:val="left"/>
                  </w:pPr>
                  <w:r>
                    <w:rPr>
                      <w:rFonts w:ascii="宋体" w:hAnsi="宋体" w:cs="宋体" w:eastAsia="宋体"/>
                      <w:sz w:val="20"/>
                    </w:rPr>
                    <w:t>虚拟日期：提供教学日历，教师可根据教学任务需要切换系统虚拟日期，完成不同时间阶段的教学任务；</w:t>
                  </w:r>
                </w:p>
                <w:p>
                  <w:pPr>
                    <w:pStyle w:val="null3"/>
                    <w:jc w:val="left"/>
                  </w:pPr>
                  <w:r>
                    <w:rPr>
                      <w:rFonts w:ascii="宋体" w:hAnsi="宋体" w:cs="宋体" w:eastAsia="宋体"/>
                      <w:sz w:val="20"/>
                    </w:rPr>
                    <w:t>数据看板：支持按学生或者团队查看数据看板，数据看板类型不少于</w:t>
                  </w:r>
                  <w:r>
                    <w:rPr>
                      <w:rFonts w:ascii="宋体" w:hAnsi="宋体" w:cs="宋体" w:eastAsia="宋体"/>
                      <w:sz w:val="20"/>
                    </w:rPr>
                    <w:t>4种，需包括职能部门业务处理、仓储区域布局优化、业务流程构建；流程展示不少于4种，应包括按销售与采购流程、制造行业成本核算、企业计划与生产管理、智慧门店购物流程构建(此项要求提供软件功能截图)；</w:t>
                  </w:r>
                </w:p>
                <w:p>
                  <w:pPr>
                    <w:pStyle w:val="null3"/>
                    <w:jc w:val="left"/>
                  </w:pPr>
                  <w:r>
                    <w:rPr>
                      <w:rFonts w:ascii="宋体" w:hAnsi="宋体" w:cs="宋体" w:eastAsia="宋体"/>
                      <w:sz w:val="20"/>
                    </w:rPr>
                    <w:t>完成情况：支持教师可实时看到每个学生、每个任务活动操作和客观题答题的结果，根据实训所完成的数据（实务优化、组织业态认知、基础票据认知、业务认知、流程认知、活动进度）对学生的实训考核进行评分；</w:t>
                  </w:r>
                </w:p>
                <w:p>
                  <w:pPr>
                    <w:pStyle w:val="null3"/>
                    <w:jc w:val="left"/>
                  </w:pPr>
                  <w:r>
                    <w:rPr>
                      <w:rFonts w:ascii="宋体" w:hAnsi="宋体" w:cs="宋体" w:eastAsia="宋体"/>
                      <w:sz w:val="20"/>
                    </w:rPr>
                    <w:t>标准答案：教师可看到实务处理的正确答案、符合国家标准行业的企业业务流程构建和财务资金流的处理等，满足实训与教学相结合的使用；</w:t>
                  </w:r>
                </w:p>
                <w:p>
                  <w:pPr>
                    <w:pStyle w:val="null3"/>
                    <w:jc w:val="left"/>
                  </w:pPr>
                  <w:r>
                    <w:rPr>
                      <w:rFonts w:ascii="宋体" w:hAnsi="宋体" w:cs="宋体" w:eastAsia="宋体"/>
                      <w:sz w:val="20"/>
                    </w:rPr>
                    <w:t>学生排名：支持按学生个人与团队筛选查看排名情况与具体模块考核分数</w:t>
                  </w:r>
                  <w:r>
                    <w:rPr>
                      <w:rFonts w:ascii="宋体" w:hAnsi="宋体" w:cs="宋体" w:eastAsia="宋体"/>
                      <w:sz w:val="20"/>
                    </w:rPr>
                    <w:t>,需提供不少于7项，包括：团队名称、学生名称、总分、活动进度、教师评分、基础票据认知、组织业态认知等，可进行排名显示；</w:t>
                  </w:r>
                </w:p>
                <w:p>
                  <w:pPr>
                    <w:pStyle w:val="null3"/>
                    <w:jc w:val="left"/>
                  </w:pPr>
                  <w:r>
                    <w:rPr>
                      <w:rFonts w:ascii="宋体" w:hAnsi="宋体" w:cs="宋体" w:eastAsia="宋体"/>
                      <w:sz w:val="20"/>
                    </w:rPr>
                    <w:t>四、学生端实训模块</w:t>
                  </w:r>
                </w:p>
                <w:p>
                  <w:pPr>
                    <w:pStyle w:val="null3"/>
                    <w:jc w:val="left"/>
                  </w:pPr>
                  <w:r>
                    <w:rPr>
                      <w:rFonts w:ascii="宋体" w:hAnsi="宋体" w:cs="宋体" w:eastAsia="宋体"/>
                      <w:sz w:val="20"/>
                    </w:rPr>
                    <w:t>★可通过普通电脑浏览器进入虚拟仿真情境场景，支持开启单屏和双屏两种模式，可直接基于鼠标操作的漫游、视角转切换；</w:t>
                  </w:r>
                </w:p>
                <w:p>
                  <w:pPr>
                    <w:pStyle w:val="null3"/>
                    <w:jc w:val="left"/>
                  </w:pPr>
                  <w:r>
                    <w:rPr>
                      <w:rFonts w:ascii="宋体" w:hAnsi="宋体" w:cs="宋体" w:eastAsia="宋体"/>
                      <w:sz w:val="20"/>
                    </w:rPr>
                    <w:t>学生实训过程中，可实时查看个人和团队排名情况，需提供不少于</w:t>
                  </w:r>
                  <w:r>
                    <w:rPr>
                      <w:rFonts w:ascii="宋体" w:hAnsi="宋体" w:cs="宋体" w:eastAsia="宋体"/>
                      <w:sz w:val="20"/>
                    </w:rPr>
                    <w:t>7种分数明细包括组织业态认知得分、业务认知得分、基础票据认知得分、客观题答题得分、画布流程构建得分、总分、查看实务处理结果等信息；</w:t>
                  </w:r>
                </w:p>
                <w:p>
                  <w:pPr>
                    <w:pStyle w:val="null3"/>
                    <w:jc w:val="left"/>
                  </w:pPr>
                  <w:r>
                    <w:rPr>
                      <w:rFonts w:ascii="宋体" w:hAnsi="宋体" w:cs="宋体" w:eastAsia="宋体"/>
                      <w:sz w:val="20"/>
                    </w:rPr>
                    <w:t>学生实训时可按团队实时查看任务完成进度，任务支持按活动说明、画布拖拽、流程操作、测评题等分为至少</w:t>
                  </w:r>
                  <w:r>
                    <w:rPr>
                      <w:rFonts w:ascii="宋体" w:hAnsi="宋体" w:cs="宋体" w:eastAsia="宋体"/>
                      <w:sz w:val="20"/>
                    </w:rPr>
                    <w:t>4类，任务总数不少50个；</w:t>
                  </w:r>
                </w:p>
                <w:p>
                  <w:pPr>
                    <w:pStyle w:val="null3"/>
                    <w:jc w:val="left"/>
                  </w:pPr>
                  <w:r>
                    <w:rPr>
                      <w:rFonts w:ascii="宋体" w:hAnsi="宋体" w:cs="宋体" w:eastAsia="宋体"/>
                      <w:sz w:val="20"/>
                    </w:rPr>
                    <w:t>支持在实训中进行测评题作答，题目数量不低于</w:t>
                  </w:r>
                  <w:r>
                    <w:rPr>
                      <w:rFonts w:ascii="宋体" w:hAnsi="宋体" w:cs="宋体" w:eastAsia="宋体"/>
                      <w:sz w:val="20"/>
                    </w:rPr>
                    <w:t>35题；</w:t>
                  </w:r>
                </w:p>
                <w:p>
                  <w:pPr>
                    <w:pStyle w:val="null3"/>
                    <w:jc w:val="left"/>
                  </w:pPr>
                  <w:r>
                    <w:rPr>
                      <w:rFonts w:ascii="宋体" w:hAnsi="宋体" w:cs="宋体" w:eastAsia="宋体"/>
                      <w:sz w:val="20"/>
                    </w:rPr>
                    <w:t>支持进行实训总结与考核：阶段考核、成果总结、成绩点评；</w:t>
                  </w:r>
                </w:p>
                <w:p>
                  <w:pPr>
                    <w:pStyle w:val="null3"/>
                    <w:jc w:val="left"/>
                  </w:pPr>
                  <w:r>
                    <w:rPr>
                      <w:rFonts w:ascii="宋体" w:hAnsi="宋体" w:cs="宋体" w:eastAsia="宋体"/>
                      <w:sz w:val="20"/>
                    </w:rPr>
                    <w:t>实训过程中，学生可随时查看业务认知、分类拖拽、布局优化、消息处理等动态操作数</w:t>
                  </w:r>
                </w:p>
                <w:p>
                  <w:pPr>
                    <w:pStyle w:val="null3"/>
                    <w:jc w:val="left"/>
                  </w:pPr>
                  <w:r>
                    <w:rPr>
                      <w:rFonts w:ascii="宋体" w:hAnsi="宋体" w:cs="宋体" w:eastAsia="宋体"/>
                      <w:sz w:val="20"/>
                    </w:rPr>
                    <w:t>五、产业链实训模块</w:t>
                  </w:r>
                </w:p>
                <w:p>
                  <w:pPr>
                    <w:pStyle w:val="null3"/>
                    <w:jc w:val="left"/>
                  </w:pPr>
                  <w:r>
                    <w:rPr>
                      <w:rFonts w:ascii="宋体" w:hAnsi="宋体" w:cs="宋体" w:eastAsia="宋体"/>
                      <w:sz w:val="20"/>
                    </w:rPr>
                    <w:t>（一）制造行业情境实训</w:t>
                  </w:r>
                </w:p>
                <w:p>
                  <w:pPr>
                    <w:pStyle w:val="null3"/>
                    <w:jc w:val="left"/>
                  </w:pPr>
                  <w:r>
                    <w:rPr>
                      <w:rFonts w:ascii="宋体" w:hAnsi="宋体" w:cs="宋体" w:eastAsia="宋体"/>
                      <w:sz w:val="20"/>
                    </w:rPr>
                    <w:t>制造型企业整体认知：案例模块以制造行业和典型智能制造型企业为原型，基于智能算法、多组织模型设计，分析其公司的组织架构，不少于</w:t>
                  </w:r>
                  <w:r>
                    <w:rPr>
                      <w:rFonts w:ascii="宋体" w:hAnsi="宋体" w:cs="宋体" w:eastAsia="宋体"/>
                      <w:sz w:val="20"/>
                    </w:rPr>
                    <w:t>7个职能部门，包括生产部、销售部、采购部、品质部、物流部、财务部和人力资源部；</w:t>
                  </w:r>
                </w:p>
                <w:p>
                  <w:pPr>
                    <w:pStyle w:val="null3"/>
                    <w:jc w:val="left"/>
                  </w:pPr>
                  <w:r>
                    <w:rPr>
                      <w:rFonts w:ascii="宋体" w:hAnsi="宋体" w:cs="宋体" w:eastAsia="宋体"/>
                      <w:sz w:val="20"/>
                    </w:rPr>
                    <w:t>智能制造区域认知：通过智能算法与仿真模型，可仿真模拟制造型企业的智能制造生产车间，进行生产设备展示及名称和用途介绍，</w:t>
                  </w:r>
                  <w:r>
                    <w:rPr>
                      <w:rFonts w:ascii="宋体" w:hAnsi="宋体" w:cs="宋体" w:eastAsia="宋体"/>
                      <w:sz w:val="20"/>
                    </w:rPr>
                    <w:t>AR热点不少于10种包含：单品拣选机器人、AGV顶升机器人、AGV机器人充电桩、90°转弯滚筒机、RFID读写器、防撞栏、分流板、笼车、电动叉车、机械臂分拣机器人等；</w:t>
                  </w:r>
                </w:p>
                <w:p>
                  <w:pPr>
                    <w:pStyle w:val="null3"/>
                    <w:jc w:val="left"/>
                  </w:pPr>
                  <w:r>
                    <w:rPr>
                      <w:rFonts w:ascii="宋体" w:hAnsi="宋体" w:cs="宋体" w:eastAsia="宋体"/>
                      <w:sz w:val="20"/>
                    </w:rPr>
                    <w:t>▲通过实务处理，在场景里支持人机互动操作、手动操作包括拖拽、移动、摆放，建模元素不少于10种包括托盘、轻型仓储货架、单品拣选机器人、自动贴标机、RFID读写器、自动搬运叉车、自动打印贴码机、自动化生产线、高级检测中心等、安全围栏等，支持安排任务学生作答场景布局题；</w:t>
                  </w:r>
                </w:p>
                <w:p>
                  <w:pPr>
                    <w:pStyle w:val="null3"/>
                    <w:jc w:val="left"/>
                  </w:pPr>
                  <w:r>
                    <w:rPr>
                      <w:rFonts w:ascii="宋体" w:hAnsi="宋体" w:cs="宋体" w:eastAsia="宋体"/>
                      <w:sz w:val="20"/>
                    </w:rPr>
                    <w:t>仓储区域认知：支持通过智能算法提供部分设备摆放不合理，可拖动至正确的位置的参数，场景漫游有引导线与热点至热点区域后，可在商品展示区域介绍、仓储设备介绍，支持安排任务学生作答场景布局题；</w:t>
                  </w:r>
                </w:p>
                <w:p>
                  <w:pPr>
                    <w:pStyle w:val="null3"/>
                    <w:jc w:val="left"/>
                  </w:pPr>
                  <w:r>
                    <w:rPr>
                      <w:rFonts w:ascii="宋体" w:hAnsi="宋体" w:cs="宋体" w:eastAsia="宋体"/>
                      <w:sz w:val="20"/>
                    </w:rPr>
                    <w:t>构建流程画布：通过企业真实案例和思维导图等教学资源，学生可了解不少于</w:t>
                  </w:r>
                  <w:r>
                    <w:rPr>
                      <w:rFonts w:ascii="宋体" w:hAnsi="宋体" w:cs="宋体" w:eastAsia="宋体"/>
                      <w:sz w:val="20"/>
                    </w:rPr>
                    <w:t>5个制造企业经营计划环节的知识学习，包括企业的业务流程、生产管理流程、制定化产品业务流程、销售计划制定流程、企业盘点的计划制定与实施方式等，支持发布任务，不少于20个流程池学生在流程画布中操作，按照合理的顺序进行排布构建；</w:t>
                  </w:r>
                </w:p>
                <w:p>
                  <w:pPr>
                    <w:pStyle w:val="null3"/>
                    <w:jc w:val="left"/>
                  </w:pPr>
                  <w:r>
                    <w:rPr>
                      <w:rFonts w:ascii="宋体" w:hAnsi="宋体" w:cs="宋体" w:eastAsia="宋体"/>
                      <w:sz w:val="20"/>
                    </w:rPr>
                    <w:t>理论测评题：通过教学资源中的制造型企业案例、采购管理案例、库存管理案例及财务处理案例，了解采购方法、库存控制方法、制造业财务工作工序、企业的成本核算、材料采购及领用、人工费用、制造费用的财务处理，支持发布相关内容的客观题不少于</w:t>
                  </w:r>
                  <w:r>
                    <w:rPr>
                      <w:rFonts w:ascii="宋体" w:hAnsi="宋体" w:cs="宋体" w:eastAsia="宋体"/>
                      <w:sz w:val="20"/>
                    </w:rPr>
                    <w:t>30道，；</w:t>
                  </w:r>
                </w:p>
                <w:p>
                  <w:pPr>
                    <w:pStyle w:val="null3"/>
                    <w:jc w:val="left"/>
                  </w:pPr>
                  <w:r>
                    <w:rPr>
                      <w:rFonts w:ascii="宋体" w:hAnsi="宋体" w:cs="宋体" w:eastAsia="宋体"/>
                      <w:sz w:val="20"/>
                    </w:rPr>
                    <w:t>关键业务单据：支持查看仿真票据样式，包括发票、采购单、入库单、销售单，对票据分类和来源有所认知；</w:t>
                  </w:r>
                </w:p>
                <w:p>
                  <w:pPr>
                    <w:pStyle w:val="null3"/>
                    <w:jc w:val="left"/>
                  </w:pPr>
                  <w:r>
                    <w:rPr>
                      <w:rFonts w:ascii="宋体" w:hAnsi="宋体" w:cs="宋体" w:eastAsia="宋体"/>
                      <w:sz w:val="20"/>
                    </w:rPr>
                    <w:t>（二）流通行业情境实训</w:t>
                  </w:r>
                </w:p>
                <w:p>
                  <w:pPr>
                    <w:pStyle w:val="null3"/>
                    <w:jc w:val="left"/>
                  </w:pPr>
                  <w:r>
                    <w:rPr>
                      <w:rFonts w:ascii="宋体" w:hAnsi="宋体" w:cs="宋体" w:eastAsia="宋体"/>
                      <w:sz w:val="20"/>
                    </w:rPr>
                    <w:t>虚拟仿真场景：支持场景漫游，可根据激活热点进行区域设备介绍不少于</w:t>
                  </w:r>
                  <w:r>
                    <w:rPr>
                      <w:rFonts w:ascii="宋体" w:hAnsi="宋体" w:cs="宋体" w:eastAsia="宋体"/>
                      <w:sz w:val="20"/>
                    </w:rPr>
                    <w:t>10种，包括AGV小车、Re-Bin Wall、安灯系统、滚筒运输线、自动扫码设备、Andon灯、单品拣选机器人、AGV顶升机器人、FID手持机、自动搬运叉车等；</w:t>
                  </w:r>
                </w:p>
                <w:p>
                  <w:pPr>
                    <w:pStyle w:val="null3"/>
                    <w:jc w:val="left"/>
                  </w:pPr>
                  <w:r>
                    <w:rPr>
                      <w:rFonts w:ascii="宋体" w:hAnsi="宋体" w:cs="宋体" w:eastAsia="宋体"/>
                      <w:sz w:val="20"/>
                    </w:rPr>
                    <w:t>仓储区域布局优化：支持仿真模型和场景漫游，可模拟智能仓到达场景中热点指示位置后，进行布局优化处理；</w:t>
                  </w:r>
                </w:p>
                <w:p>
                  <w:pPr>
                    <w:pStyle w:val="null3"/>
                    <w:jc w:val="left"/>
                  </w:pPr>
                  <w:r>
                    <w:rPr>
                      <w:rFonts w:ascii="宋体" w:hAnsi="宋体" w:cs="宋体" w:eastAsia="宋体"/>
                      <w:sz w:val="20"/>
                    </w:rPr>
                    <w:t>流通型企业业务：通过教学资源展示，可了解不少于</w:t>
                  </w:r>
                  <w:r>
                    <w:rPr>
                      <w:rFonts w:ascii="宋体" w:hAnsi="宋体" w:cs="宋体" w:eastAsia="宋体"/>
                      <w:sz w:val="20"/>
                    </w:rPr>
                    <w:t>4个环节包括采购、运输、仓储、销售等具体内容，不少于三个活动包括建立销售渠道、提供物流服务、展开商品营销等，支持发布认知理论测评答题任务，不少于5道；</w:t>
                  </w:r>
                </w:p>
                <w:p>
                  <w:pPr>
                    <w:pStyle w:val="null3"/>
                    <w:jc w:val="left"/>
                  </w:pPr>
                  <w:r>
                    <w:rPr>
                      <w:rFonts w:ascii="宋体" w:hAnsi="宋体" w:cs="宋体" w:eastAsia="宋体"/>
                      <w:sz w:val="20"/>
                    </w:rPr>
                    <w:t>销售与采购认知：通过教学资源展示，可了解流通行业的</w:t>
                  </w:r>
                  <w:r>
                    <w:rPr>
                      <w:rFonts w:ascii="宋体" w:hAnsi="宋体" w:cs="宋体" w:eastAsia="宋体"/>
                      <w:sz w:val="20"/>
                    </w:rPr>
                    <w:t>TOB销售业务、TOC销售业务及采购订货业务；销售流程不少于5个环节，包括寻找客户、推销产品、签订合同、发货和收款等；采购流程不少于7个环节，包括确定采购需求、寻找供应商、询价、比价和议价、签订合同、采购和验收等，支持发布分类答题任务，不少于10道；</w:t>
                  </w:r>
                </w:p>
                <w:p>
                  <w:pPr>
                    <w:pStyle w:val="null3"/>
                    <w:jc w:val="left"/>
                  </w:pPr>
                  <w:r>
                    <w:rPr>
                      <w:rFonts w:ascii="宋体" w:hAnsi="宋体" w:cs="宋体" w:eastAsia="宋体"/>
                      <w:sz w:val="20"/>
                    </w:rPr>
                    <w:t>（三）商贸行业情境实训</w:t>
                  </w:r>
                </w:p>
                <w:p>
                  <w:pPr>
                    <w:pStyle w:val="null3"/>
                    <w:jc w:val="left"/>
                  </w:pPr>
                  <w:r>
                    <w:rPr>
                      <w:rFonts w:ascii="宋体" w:hAnsi="宋体" w:cs="宋体" w:eastAsia="宋体"/>
                      <w:sz w:val="20"/>
                    </w:rPr>
                    <w:t>虚拟仿真场景：支持场景漫游，可根据激活热点进行门店区域、设备及岗位职责介绍不少于</w:t>
                  </w:r>
                  <w:r>
                    <w:rPr>
                      <w:rFonts w:ascii="宋体" w:hAnsi="宋体" w:cs="宋体" w:eastAsia="宋体"/>
                      <w:sz w:val="20"/>
                    </w:rPr>
                    <w:t>11种，包括收银台、冷藏展示柜、超市单面货架、中岛货架、风幕柜、蒸包柜、关东煮设备、台式加热柜、台式保温柜、食品冷柜、水吧台等；</w:t>
                  </w:r>
                </w:p>
                <w:p>
                  <w:pPr>
                    <w:pStyle w:val="null3"/>
                    <w:jc w:val="left"/>
                  </w:pPr>
                  <w:r>
                    <w:rPr>
                      <w:rFonts w:ascii="宋体" w:hAnsi="宋体" w:cs="宋体" w:eastAsia="宋体"/>
                      <w:sz w:val="20"/>
                    </w:rPr>
                    <w:t>商贸型企业整体认知：支持通过教学资源展示，了解商贸企业的业务流程和</w:t>
                  </w:r>
                  <w:r>
                    <w:rPr>
                      <w:rFonts w:ascii="宋体" w:hAnsi="宋体" w:cs="宋体" w:eastAsia="宋体"/>
                      <w:sz w:val="20"/>
                    </w:rPr>
                    <w:t>O2O业务的概念，包括线上平台、线下门店、配送服务、会员管理和数据分析等；</w:t>
                  </w:r>
                </w:p>
                <w:p>
                  <w:pPr>
                    <w:pStyle w:val="null3"/>
                    <w:jc w:val="left"/>
                  </w:pPr>
                  <w:r>
                    <w:rPr>
                      <w:rFonts w:ascii="宋体" w:hAnsi="宋体" w:cs="宋体" w:eastAsia="宋体"/>
                      <w:sz w:val="20"/>
                    </w:rPr>
                    <w:t>智慧门店介绍：支持通过教学资源展示，了解智慧门店业务功能，不少于</w:t>
                  </w:r>
                  <w:r>
                    <w:rPr>
                      <w:rFonts w:ascii="宋体" w:hAnsi="宋体" w:cs="宋体" w:eastAsia="宋体"/>
                      <w:sz w:val="20"/>
                    </w:rPr>
                    <w:t>6个部分，包括智能客户接待、个性化推荐、智能库存管理、智能结算、数据分析与决策支持和智能营销；了解智慧门店技术框架，包括云计算、物联网技术及人工智能技术等，支持发布流程构建任务，不少于7个流程池，学生在流程画布中操作，按照合理的顺序进行排布；</w:t>
                  </w:r>
                </w:p>
                <w:p>
                  <w:pPr>
                    <w:pStyle w:val="null3"/>
                    <w:jc w:val="left"/>
                  </w:pPr>
                  <w:r>
                    <w:rPr>
                      <w:rFonts w:ascii="宋体" w:hAnsi="宋体" w:cs="宋体" w:eastAsia="宋体"/>
                      <w:sz w:val="20"/>
                    </w:rPr>
                    <w:t>存货管理流程：通过商贸企业真实存货管理案例展示，认知集采管理和存货管理，支持发布流程构建任务，不少于</w:t>
                  </w:r>
                  <w:r>
                    <w:rPr>
                      <w:rFonts w:ascii="宋体" w:hAnsi="宋体" w:cs="宋体" w:eastAsia="宋体"/>
                      <w:sz w:val="20"/>
                    </w:rPr>
                    <w:t>7个流程池，学生在流程画布中操作，按照合理的顺序进行排布；</w:t>
                  </w:r>
                </w:p>
                <w:p>
                  <w:pPr>
                    <w:pStyle w:val="null3"/>
                    <w:jc w:val="left"/>
                  </w:pPr>
                  <w:r>
                    <w:rPr>
                      <w:rFonts w:ascii="宋体" w:hAnsi="宋体" w:cs="宋体" w:eastAsia="宋体"/>
                      <w:sz w:val="20"/>
                    </w:rPr>
                    <w:t>六、装备制造产业链运营沙盘系统</w:t>
                  </w:r>
                </w:p>
                <w:p>
                  <w:pPr>
                    <w:pStyle w:val="null3"/>
                    <w:jc w:val="left"/>
                  </w:pPr>
                  <w:r>
                    <w:rPr>
                      <w:rFonts w:ascii="宋体" w:hAnsi="宋体" w:cs="宋体" w:eastAsia="宋体"/>
                      <w:sz w:val="20"/>
                    </w:rPr>
                    <w:t>以制造业产业链相关企业为原型，基于智能算法、多组织模型设计，借助比赛系统将若干一线城市、沿海城市等作为商业背景，通过组队参赛、分岗分工，以团队为单位进行竞赛；</w:t>
                  </w:r>
                </w:p>
                <w:p>
                  <w:pPr>
                    <w:pStyle w:val="null3"/>
                    <w:jc w:val="left"/>
                  </w:pPr>
                  <w:r>
                    <w:rPr>
                      <w:rFonts w:ascii="宋体" w:hAnsi="宋体" w:cs="宋体" w:eastAsia="宋体"/>
                      <w:sz w:val="20"/>
                    </w:rPr>
                    <w:t>模块中需提供至少</w:t>
                  </w:r>
                  <w:r>
                    <w:rPr>
                      <w:rFonts w:ascii="宋体" w:hAnsi="宋体" w:cs="宋体" w:eastAsia="宋体"/>
                      <w:sz w:val="20"/>
                    </w:rPr>
                    <w:t>15种商品案例，需包含不少于10个城市，支持不同城市间的距离与运费、物流时效有关联，可影响经营结果；</w:t>
                  </w:r>
                </w:p>
                <w:p>
                  <w:pPr>
                    <w:pStyle w:val="null3"/>
                    <w:jc w:val="left"/>
                  </w:pPr>
                  <w:r>
                    <w:rPr>
                      <w:rFonts w:ascii="宋体" w:hAnsi="宋体" w:cs="宋体" w:eastAsia="宋体"/>
                      <w:sz w:val="20"/>
                    </w:rPr>
                    <w:t>需提供至少</w:t>
                  </w:r>
                  <w:r>
                    <w:rPr>
                      <w:rFonts w:ascii="宋体" w:hAnsi="宋体" w:cs="宋体" w:eastAsia="宋体"/>
                      <w:sz w:val="20"/>
                    </w:rPr>
                    <w:t>5家供应商，需分别位于5个城市，所供货商品支持阶梯式报价；每个供应商提供不少于2种支付方式，如先货后款、先款后货；提供不少于10种签约周期进行选择；供应商在不同付款方式与签约周期由智能算法实现供应商的报价变化；</w:t>
                  </w:r>
                </w:p>
                <w:p>
                  <w:pPr>
                    <w:pStyle w:val="null3"/>
                    <w:jc w:val="left"/>
                  </w:pPr>
                  <w:r>
                    <w:rPr>
                      <w:rFonts w:ascii="宋体" w:hAnsi="宋体" w:cs="宋体" w:eastAsia="宋体"/>
                      <w:sz w:val="20"/>
                    </w:rPr>
                    <w:t>案例模块需支持市场环境的变化，商品的销量受季节影响、终端数量、城市人口、地理位置等因素产生规律性变化；训练学生分析市场环境、灵活制定调整运营策略的能力；</w:t>
                  </w:r>
                </w:p>
                <w:p>
                  <w:pPr>
                    <w:pStyle w:val="null3"/>
                    <w:jc w:val="left"/>
                  </w:pPr>
                  <w:r>
                    <w:rPr>
                      <w:rFonts w:ascii="宋体" w:hAnsi="宋体" w:cs="宋体" w:eastAsia="宋体"/>
                      <w:sz w:val="20"/>
                    </w:rPr>
                    <w:t>★支持数据看板查看经营情况，至少包括4种分析图表，需包括：</w:t>
                  </w:r>
                </w:p>
                <w:p>
                  <w:pPr>
                    <w:pStyle w:val="null3"/>
                    <w:jc w:val="left"/>
                  </w:pPr>
                  <w:r>
                    <w:rPr>
                      <w:rFonts w:ascii="宋体" w:hAnsi="宋体" w:cs="宋体" w:eastAsia="宋体"/>
                      <w:sz w:val="20"/>
                    </w:rPr>
                    <w:t>订单分析：使用漏斗图查看各类商品的销售情况；</w:t>
                  </w:r>
                </w:p>
                <w:p>
                  <w:pPr>
                    <w:pStyle w:val="null3"/>
                    <w:jc w:val="left"/>
                  </w:pPr>
                  <w:r>
                    <w:rPr>
                      <w:rFonts w:ascii="宋体" w:hAnsi="宋体" w:cs="宋体" w:eastAsia="宋体"/>
                      <w:sz w:val="20"/>
                    </w:rPr>
                    <w:t>促销分析：使用条状图查看各终端及线上销售的促销品销量；</w:t>
                  </w:r>
                </w:p>
                <w:p>
                  <w:pPr>
                    <w:pStyle w:val="null3"/>
                    <w:jc w:val="left"/>
                  </w:pPr>
                  <w:r>
                    <w:rPr>
                      <w:rFonts w:ascii="宋体" w:hAnsi="宋体" w:cs="宋体" w:eastAsia="宋体"/>
                      <w:sz w:val="20"/>
                    </w:rPr>
                    <w:t>线上订单分析：使用柱状图展示有效订单、无效订单的出库情况；</w:t>
                  </w:r>
                </w:p>
                <w:p>
                  <w:pPr>
                    <w:pStyle w:val="null3"/>
                    <w:jc w:val="left"/>
                  </w:pPr>
                  <w:r>
                    <w:rPr>
                      <w:rFonts w:ascii="宋体" w:hAnsi="宋体" w:cs="宋体" w:eastAsia="宋体"/>
                      <w:sz w:val="20"/>
                    </w:rPr>
                    <w:t>▲线下销售数据：使用柱状图展示超市、便利店、智能柜的销售情况；（需提供软件截图）</w:t>
                  </w:r>
                </w:p>
                <w:p>
                  <w:pPr>
                    <w:pStyle w:val="null3"/>
                    <w:jc w:val="left"/>
                  </w:pPr>
                  <w:r>
                    <w:rPr>
                      <w:rFonts w:ascii="宋体" w:hAnsi="宋体" w:cs="宋体" w:eastAsia="宋体"/>
                      <w:sz w:val="20"/>
                    </w:rPr>
                    <w:t>七、配套设备及环境建设</w:t>
                  </w:r>
                </w:p>
                <w:tbl>
                  <w:tblPr>
                    <w:tblBorders>
                      <w:top w:val="none" w:color="000000" w:sz="4"/>
                      <w:left w:val="none" w:color="000000" w:sz="4"/>
                      <w:bottom w:val="none" w:color="000000" w:sz="4"/>
                      <w:right w:val="none" w:color="000000" w:sz="4"/>
                      <w:insideH w:val="none"/>
                      <w:insideV w:val="none"/>
                    </w:tblBorders>
                  </w:tblPr>
                  <w:tblGrid>
                    <w:gridCol w:w="497"/>
                    <w:gridCol w:w="136"/>
                  </w:tblGrid>
                  <w:tr>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技术参数</w:t>
                        </w:r>
                      </w:p>
                    </w:tc>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数量</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制冷制热设备，选用面积</w:t>
                        </w:r>
                        <w:r>
                          <w:rPr>
                            <w:rFonts w:ascii="宋体" w:hAnsi="宋体" w:cs="宋体" w:eastAsia="宋体"/>
                            <w:sz w:val="20"/>
                          </w:rPr>
                          <w:t>32－50平米；制冷量：7300W</w:t>
                        </w:r>
                        <w:r>
                          <w:br/>
                        </w:r>
                        <w:r>
                          <w:rPr>
                            <w:rFonts w:ascii="宋体" w:hAnsi="宋体" w:cs="宋体" w:eastAsia="宋体"/>
                            <w:sz w:val="20"/>
                          </w:rPr>
                          <w:t>制热量</w:t>
                        </w:r>
                        <w:r>
                          <w:rPr>
                            <w:rFonts w:ascii="宋体" w:hAnsi="宋体" w:cs="宋体" w:eastAsia="宋体"/>
                            <w:sz w:val="20"/>
                          </w:rPr>
                          <w:t>8000W；内机噪音:&lt;42 Db(A)；效能等级3级</w:t>
                        </w:r>
                        <w:r>
                          <w:br/>
                        </w:r>
                        <w:r>
                          <w:rPr>
                            <w:rFonts w:ascii="宋体" w:hAnsi="宋体" w:cs="宋体" w:eastAsia="宋体"/>
                            <w:sz w:val="20"/>
                          </w:rPr>
                          <w:t>支持四面扫风和除湿功能。</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3台</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1、激光投影装置,投影技术：DLP，芯片尺寸：0.65英寸， 商用 /教学/办公/超高清/激光工程投影机</w:t>
                        </w:r>
                        <w:r>
                          <w:br/>
                        </w:r>
                        <w:r>
                          <w:rPr>
                            <w:rFonts w:ascii="宋体" w:hAnsi="宋体" w:cs="宋体" w:eastAsia="宋体"/>
                            <w:sz w:val="20"/>
                          </w:rPr>
                          <w:t>2、标准亮度：5000流明（根据ISO21118标准）；</w:t>
                        </w:r>
                        <w:r>
                          <w:br/>
                        </w:r>
                        <w:r>
                          <w:rPr>
                            <w:rFonts w:ascii="宋体" w:hAnsi="宋体" w:cs="宋体" w:eastAsia="宋体"/>
                            <w:sz w:val="20"/>
                          </w:rPr>
                          <w:t>3、标准分辨率：1920*1080，支持4K@60Hz信号输入；</w:t>
                        </w:r>
                        <w:r>
                          <w:br/>
                        </w:r>
                        <w:r>
                          <w:rPr>
                            <w:rFonts w:ascii="宋体" w:hAnsi="宋体" w:cs="宋体" w:eastAsia="宋体"/>
                            <w:sz w:val="20"/>
                          </w:rPr>
                          <w:t>4、投影机对比度：30，0000:1；</w:t>
                        </w:r>
                        <w:r>
                          <w:br/>
                        </w:r>
                        <w:r>
                          <w:rPr>
                            <w:rFonts w:ascii="宋体" w:hAnsi="宋体" w:cs="宋体" w:eastAsia="宋体"/>
                            <w:sz w:val="20"/>
                          </w:rPr>
                          <w:t>5、标配镜头：f=11.7mm,F=2.5；</w:t>
                        </w:r>
                        <w:r>
                          <w:br/>
                        </w:r>
                        <w:r>
                          <w:rPr>
                            <w:rFonts w:ascii="宋体" w:hAnsi="宋体" w:cs="宋体" w:eastAsia="宋体"/>
                            <w:sz w:val="20"/>
                          </w:rPr>
                          <w:t>6、激光二极管功率：300W,30000小时(节能模式),20000小时(标准模式)；</w:t>
                        </w:r>
                        <w:r>
                          <w:br/>
                        </w:r>
                        <w:r>
                          <w:rPr>
                            <w:rFonts w:ascii="宋体" w:hAnsi="宋体" w:cs="宋体" w:eastAsia="宋体"/>
                            <w:sz w:val="20"/>
                          </w:rPr>
                          <w:t>7、输入端：2个RGB/组合（D-Sub 15针），1个支持 HDCP 的 A 型 HDMI  2.0（19P，HDMI®连接器），1个支持 HDCP 的 A 型 HDMI  1.4（19P，HDMI®连接器），1个S-Video，1个视频（RCA），1个（L/R）RCA音频，1个立体声微型音频</w:t>
                        </w:r>
                        <w:r>
                          <w:br/>
                        </w:r>
                        <w:r>
                          <w:rPr>
                            <w:rFonts w:ascii="宋体" w:hAnsi="宋体" w:cs="宋体" w:eastAsia="宋体"/>
                            <w:sz w:val="20"/>
                          </w:rPr>
                          <w:t>8、输出端：1个RGB（D-Sub 15针），1个立体声微型音频</w:t>
                        </w:r>
                        <w:r>
                          <w:br/>
                        </w:r>
                        <w:r>
                          <w:rPr>
                            <w:rFonts w:ascii="宋体" w:hAnsi="宋体" w:cs="宋体" w:eastAsia="宋体"/>
                            <w:sz w:val="20"/>
                          </w:rPr>
                          <w:t>9、电源性能： 200-240伏特，50/60赫兹交流电</w:t>
                        </w:r>
                        <w:r>
                          <w:br/>
                        </w:r>
                        <w:r>
                          <w:rPr>
                            <w:rFonts w:ascii="宋体" w:hAnsi="宋体" w:cs="宋体" w:eastAsia="宋体"/>
                            <w:sz w:val="20"/>
                          </w:rPr>
                          <w:t>10、幕布尺寸：180英寸电动遥控升降幕布+安装配件</w:t>
                        </w:r>
                        <w:r>
                          <w:br/>
                        </w:r>
                        <w:r>
                          <w:rPr>
                            <w:rFonts w:ascii="宋体" w:hAnsi="宋体" w:cs="宋体" w:eastAsia="宋体"/>
                            <w:sz w:val="20"/>
                          </w:rPr>
                          <w:t>11、电动幕布，比例4：3或16：9（说明：投影为16：9比例，根据甲方需求变更比例）</w:t>
                        </w:r>
                        <w:r>
                          <w:br/>
                        </w:r>
                        <w:r>
                          <w:rPr>
                            <w:rFonts w:ascii="宋体" w:hAnsi="宋体" w:cs="宋体" w:eastAsia="宋体"/>
                            <w:sz w:val="20"/>
                          </w:rPr>
                          <w:t>12、其他功能参数：无过滤网全封闭光引擎设计，实现高效防尘，支持7*24小时运行及多角度安装；支持3D功能，蓝光3D信号接入自动激活；色彩管理支持六轴色彩校正、HDR高动态范围、8种gamma灰阶调整、6种壁色校正、画面白平衡调整，可调整RGB的对比度和亮度值从而调整画面的白色和黑色水平；支持支持垂直和水平梯形校正范围±50度，支持四角校正功能；支持接通电源可自动开机功能，一级能效，节能环保；重量：5.5KG</w:t>
                        </w:r>
                        <w:r>
                          <w:br/>
                        </w:r>
                        <w:r>
                          <w:rPr>
                            <w:rFonts w:ascii="宋体" w:hAnsi="宋体" w:cs="宋体" w:eastAsia="宋体"/>
                            <w:sz w:val="20"/>
                          </w:rPr>
                          <w:t>含</w:t>
                        </w:r>
                        <w:r>
                          <w:rPr>
                            <w:rFonts w:ascii="宋体" w:hAnsi="宋体" w:cs="宋体" w:eastAsia="宋体"/>
                            <w:sz w:val="20"/>
                          </w:rPr>
                          <w:t>180寸电动遥控升降幕布及配套配件</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2套</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1.台面板饰面采用优质E1级三聚氰胺板，面粘三聚氰胺板，PU胶边。</w:t>
                        </w:r>
                      </w:p>
                      <w:p>
                        <w:pPr>
                          <w:pStyle w:val="null3"/>
                          <w:jc w:val="left"/>
                        </w:pPr>
                        <w:r>
                          <w:rPr>
                            <w:rFonts w:ascii="宋体" w:hAnsi="宋体" w:cs="宋体" w:eastAsia="宋体"/>
                            <w:sz w:val="20"/>
                          </w:rPr>
                          <w:t>2.底脚采用316#不锈钢底脚，外包橡胶 ，牢固耐用，美观大方，减震防滑抗变型。</w:t>
                        </w:r>
                      </w:p>
                      <w:p>
                        <w:pPr>
                          <w:pStyle w:val="null3"/>
                          <w:jc w:val="left"/>
                        </w:pPr>
                        <w:r>
                          <w:rPr>
                            <w:rFonts w:ascii="宋体" w:hAnsi="宋体" w:cs="宋体" w:eastAsia="宋体"/>
                            <w:sz w:val="20"/>
                          </w:rPr>
                          <w:t>3.脚管采用圆钢管,表面采用防锈静电喷涂处理。</w:t>
                        </w:r>
                      </w:p>
                      <w:p>
                        <w:pPr>
                          <w:pStyle w:val="null3"/>
                          <w:jc w:val="left"/>
                        </w:pPr>
                        <w:r>
                          <w:rPr>
                            <w:rFonts w:ascii="宋体" w:hAnsi="宋体" w:cs="宋体" w:eastAsia="宋体"/>
                            <w:sz w:val="20"/>
                          </w:rPr>
                          <w:t>4. 横梁采用方钢，表面再经环氧树脂静电喷涂处理，实用牢固，承受力大。</w:t>
                        </w:r>
                      </w:p>
                      <w:p>
                        <w:pPr>
                          <w:pStyle w:val="null3"/>
                          <w:jc w:val="left"/>
                        </w:pPr>
                        <w:r>
                          <w:rPr>
                            <w:rFonts w:ascii="宋体" w:hAnsi="宋体" w:cs="宋体" w:eastAsia="宋体"/>
                            <w:sz w:val="20"/>
                          </w:rPr>
                          <w:t>5.尺寸约:800-950mm*宽400-600mm*750mm（长*宽*高）。</w:t>
                        </w:r>
                      </w:p>
                      <w:p>
                        <w:pPr>
                          <w:pStyle w:val="null3"/>
                          <w:jc w:val="left"/>
                        </w:pPr>
                        <w:r>
                          <w:rPr>
                            <w:rFonts w:ascii="宋体" w:hAnsi="宋体" w:cs="宋体" w:eastAsia="宋体"/>
                            <w:sz w:val="20"/>
                          </w:rPr>
                          <w:t>6.提供板材环保认证，甲醛放量≤9mg/100g，E1级标准；</w:t>
                        </w:r>
                      </w:p>
                      <w:p>
                        <w:pPr>
                          <w:pStyle w:val="null3"/>
                          <w:jc w:val="left"/>
                        </w:pPr>
                        <w:r>
                          <w:rPr>
                            <w:rFonts w:ascii="宋体" w:hAnsi="宋体" w:cs="宋体" w:eastAsia="宋体"/>
                            <w:sz w:val="20"/>
                          </w:rPr>
                          <w:t>7.三脚插孔预留3个/桌</w:t>
                        </w:r>
                      </w:p>
                      <w:p>
                        <w:pPr>
                          <w:pStyle w:val="null3"/>
                          <w:jc w:val="left"/>
                        </w:pPr>
                        <w:r>
                          <w:rPr>
                            <w:rFonts w:ascii="宋体" w:hAnsi="宋体" w:cs="宋体" w:eastAsia="宋体"/>
                            <w:sz w:val="20"/>
                          </w:rPr>
                          <w:t>弓字型学生椅：</w:t>
                        </w:r>
                      </w:p>
                      <w:p>
                        <w:pPr>
                          <w:pStyle w:val="null3"/>
                          <w:jc w:val="left"/>
                        </w:pPr>
                        <w:r>
                          <w:rPr>
                            <w:rFonts w:ascii="宋体" w:hAnsi="宋体" w:cs="宋体" w:eastAsia="宋体"/>
                            <w:sz w:val="20"/>
                          </w:rPr>
                          <w:t>600mm*490mm*870-1025㎜（椅宽*椅深*椅高）</w:t>
                        </w:r>
                      </w:p>
                      <w:p>
                        <w:pPr>
                          <w:pStyle w:val="null3"/>
                          <w:jc w:val="left"/>
                        </w:pPr>
                        <w:r>
                          <w:rPr>
                            <w:rFonts w:ascii="宋体" w:hAnsi="宋体" w:cs="宋体" w:eastAsia="宋体"/>
                            <w:sz w:val="20"/>
                          </w:rPr>
                          <w:t>材料，结实实用，颜色深，易于打理。</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150套</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数码复合机</w:t>
                        </w:r>
                        <w:r>
                          <w:rPr>
                            <w:rFonts w:ascii="宋体" w:hAnsi="宋体" w:cs="宋体" w:eastAsia="宋体"/>
                            <w:sz w:val="20"/>
                          </w:rPr>
                          <w:t>自动双面</w:t>
                        </w:r>
                        <w:r>
                          <w:rPr>
                            <w:rFonts w:ascii="宋体" w:hAnsi="宋体" w:cs="宋体" w:eastAsia="宋体"/>
                            <w:sz w:val="20"/>
                          </w:rPr>
                          <w:t>打印</w:t>
                        </w:r>
                        <w:r>
                          <w:rPr>
                            <w:rFonts w:ascii="宋体" w:hAnsi="宋体" w:cs="宋体" w:eastAsia="宋体"/>
                            <w:sz w:val="20"/>
                          </w:rPr>
                          <w:t>复印</w:t>
                        </w:r>
                        <w:r>
                          <w:rPr>
                            <w:rFonts w:ascii="宋体" w:hAnsi="宋体" w:cs="宋体" w:eastAsia="宋体"/>
                            <w:sz w:val="20"/>
                          </w:rPr>
                          <w:t>扫描</w:t>
                        </w:r>
                        <w:r>
                          <w:rPr>
                            <w:rFonts w:ascii="宋体" w:hAnsi="宋体" w:cs="宋体" w:eastAsia="宋体"/>
                            <w:sz w:val="20"/>
                          </w:rPr>
                          <w:t>（升级款</w:t>
                        </w:r>
                        <w:r>
                          <w:rPr>
                            <w:rFonts w:ascii="宋体" w:hAnsi="宋体" w:cs="宋体" w:eastAsia="宋体"/>
                            <w:sz w:val="20"/>
                          </w:rPr>
                          <w:t>439dn）</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2套</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CPU： Intel Core i7-12700 12C 2.1 ；</w:t>
                        </w:r>
                      </w:p>
                      <w:p>
                        <w:pPr>
                          <w:pStyle w:val="null3"/>
                          <w:jc w:val="both"/>
                        </w:pPr>
                        <w:r>
                          <w:rPr>
                            <w:rFonts w:ascii="宋体" w:hAnsi="宋体" w:cs="宋体" w:eastAsia="宋体"/>
                            <w:sz w:val="20"/>
                          </w:rPr>
                          <w:t>主板：</w:t>
                        </w:r>
                        <w:r>
                          <w:rPr>
                            <w:rFonts w:ascii="宋体" w:hAnsi="宋体" w:cs="宋体" w:eastAsia="宋体"/>
                            <w:sz w:val="20"/>
                          </w:rPr>
                          <w:t>Intel 600系列及以上芯片组</w:t>
                        </w:r>
                      </w:p>
                      <w:p>
                        <w:pPr>
                          <w:pStyle w:val="null3"/>
                          <w:jc w:val="both"/>
                        </w:pPr>
                        <w:r>
                          <w:rPr>
                            <w:rFonts w:ascii="宋体" w:hAnsi="宋体" w:cs="宋体" w:eastAsia="宋体"/>
                            <w:sz w:val="20"/>
                          </w:rPr>
                          <w:t>内存：</w:t>
                        </w:r>
                        <w:r>
                          <w:rPr>
                            <w:rFonts w:ascii="宋体" w:hAnsi="宋体" w:cs="宋体" w:eastAsia="宋体"/>
                            <w:sz w:val="20"/>
                          </w:rPr>
                          <w:t>16GB DDR4 3200MHz ；</w:t>
                        </w:r>
                      </w:p>
                      <w:p>
                        <w:pPr>
                          <w:pStyle w:val="null3"/>
                          <w:jc w:val="both"/>
                        </w:pPr>
                        <w:r>
                          <w:rPr>
                            <w:rFonts w:ascii="宋体" w:hAnsi="宋体" w:cs="宋体" w:eastAsia="宋体"/>
                            <w:sz w:val="20"/>
                          </w:rPr>
                          <w:t>硬盘</w:t>
                        </w:r>
                        <w:r>
                          <w:rPr>
                            <w:rFonts w:ascii="宋体" w:hAnsi="宋体" w:cs="宋体" w:eastAsia="宋体"/>
                            <w:sz w:val="20"/>
                          </w:rPr>
                          <w:t>:256GB M.2+1T SATA；</w:t>
                        </w:r>
                      </w:p>
                      <w:p>
                        <w:pPr>
                          <w:pStyle w:val="null3"/>
                          <w:jc w:val="both"/>
                        </w:pPr>
                        <w:r>
                          <w:rPr>
                            <w:rFonts w:ascii="宋体" w:hAnsi="宋体" w:cs="宋体" w:eastAsia="宋体"/>
                            <w:sz w:val="20"/>
                          </w:rPr>
                          <w:t>显卡：集成；</w:t>
                        </w:r>
                      </w:p>
                      <w:p>
                        <w:pPr>
                          <w:pStyle w:val="null3"/>
                          <w:jc w:val="both"/>
                        </w:pPr>
                        <w:r>
                          <w:rPr>
                            <w:rFonts w:ascii="宋体" w:hAnsi="宋体" w:cs="宋体" w:eastAsia="宋体"/>
                            <w:sz w:val="20"/>
                          </w:rPr>
                          <w:t>声卡：集成</w:t>
                        </w:r>
                        <w:r>
                          <w:rPr>
                            <w:rFonts w:ascii="宋体" w:hAnsi="宋体" w:cs="宋体" w:eastAsia="宋体"/>
                            <w:sz w:val="20"/>
                          </w:rPr>
                          <w:t>HD Audio;</w:t>
                        </w:r>
                      </w:p>
                      <w:p>
                        <w:pPr>
                          <w:pStyle w:val="null3"/>
                          <w:jc w:val="both"/>
                        </w:pPr>
                        <w:r>
                          <w:rPr>
                            <w:rFonts w:ascii="宋体" w:hAnsi="宋体" w:cs="宋体" w:eastAsia="宋体"/>
                            <w:sz w:val="20"/>
                          </w:rPr>
                          <w:t>网卡：集成</w:t>
                        </w:r>
                        <w:r>
                          <w:rPr>
                            <w:rFonts w:ascii="宋体" w:hAnsi="宋体" w:cs="宋体" w:eastAsia="宋体"/>
                            <w:sz w:val="20"/>
                          </w:rPr>
                          <w:t>10M/100/1000MB自适应网卡；</w:t>
                        </w:r>
                      </w:p>
                      <w:p>
                        <w:pPr>
                          <w:pStyle w:val="null3"/>
                          <w:jc w:val="both"/>
                        </w:pPr>
                        <w:r>
                          <w:rPr>
                            <w:rFonts w:ascii="宋体" w:hAnsi="宋体" w:cs="宋体" w:eastAsia="宋体"/>
                            <w:sz w:val="20"/>
                          </w:rPr>
                          <w:t>电源：</w:t>
                        </w:r>
                        <w:r>
                          <w:rPr>
                            <w:rFonts w:ascii="宋体" w:hAnsi="宋体" w:cs="宋体" w:eastAsia="宋体"/>
                            <w:sz w:val="20"/>
                          </w:rPr>
                          <w:t>260W 节能电源</w:t>
                        </w:r>
                      </w:p>
                      <w:p>
                        <w:pPr>
                          <w:pStyle w:val="null3"/>
                          <w:jc w:val="both"/>
                        </w:pPr>
                        <w:r>
                          <w:rPr>
                            <w:rFonts w:ascii="宋体" w:hAnsi="宋体" w:cs="宋体" w:eastAsia="宋体"/>
                            <w:sz w:val="20"/>
                          </w:rPr>
                          <w:t>接口：</w:t>
                        </w:r>
                        <w:r>
                          <w:rPr>
                            <w:rFonts w:ascii="宋体" w:hAnsi="宋体" w:cs="宋体" w:eastAsia="宋体"/>
                            <w:sz w:val="20"/>
                          </w:rPr>
                          <w:t>6个USB接口(其中至少4个USB 3.2 G1)、1个串口、VGA+DP接口（VGA非转接）, USB屏蔽技术，仅识别USB键盘、鼠标，无法识别USB读取设备，有效防止数据泄露,含WIFI</w:t>
                        </w:r>
                      </w:p>
                      <w:p>
                        <w:pPr>
                          <w:pStyle w:val="null3"/>
                          <w:jc w:val="both"/>
                        </w:pPr>
                        <w:r>
                          <w:rPr>
                            <w:rFonts w:ascii="宋体" w:hAnsi="宋体" w:cs="宋体" w:eastAsia="宋体"/>
                            <w:sz w:val="20"/>
                          </w:rPr>
                          <w:t>键鼠：键盘、鼠标；</w:t>
                        </w:r>
                      </w:p>
                      <w:p>
                        <w:pPr>
                          <w:pStyle w:val="null3"/>
                          <w:jc w:val="both"/>
                        </w:pPr>
                        <w:r>
                          <w:rPr>
                            <w:rFonts w:ascii="宋体" w:hAnsi="宋体" w:cs="宋体" w:eastAsia="宋体"/>
                            <w:sz w:val="20"/>
                          </w:rPr>
                          <w:t>机箱：可立可卧小机箱；机箱</w:t>
                        </w:r>
                        <w:r>
                          <w:rPr>
                            <w:rFonts w:ascii="宋体" w:hAnsi="宋体" w:cs="宋体" w:eastAsia="宋体"/>
                            <w:sz w:val="20"/>
                          </w:rPr>
                          <w:t>7.4L</w:t>
                        </w:r>
                      </w:p>
                      <w:p>
                        <w:pPr>
                          <w:pStyle w:val="null3"/>
                          <w:jc w:val="both"/>
                        </w:pPr>
                        <w:r>
                          <w:rPr>
                            <w:rFonts w:ascii="宋体" w:hAnsi="宋体" w:cs="宋体" w:eastAsia="宋体"/>
                            <w:sz w:val="20"/>
                          </w:rPr>
                          <w:t>显示模块：</w:t>
                        </w:r>
                        <w:r>
                          <w:rPr>
                            <w:rFonts w:ascii="宋体" w:hAnsi="宋体" w:cs="宋体" w:eastAsia="宋体"/>
                            <w:sz w:val="20"/>
                          </w:rPr>
                          <w:t>32寸 显示模块</w:t>
                        </w:r>
                      </w:p>
                      <w:p>
                        <w:pPr>
                          <w:pStyle w:val="null3"/>
                          <w:jc w:val="both"/>
                        </w:pPr>
                        <w:r>
                          <w:rPr>
                            <w:rFonts w:ascii="宋体" w:hAnsi="宋体" w:cs="宋体" w:eastAsia="宋体"/>
                            <w:sz w:val="20"/>
                          </w:rPr>
                          <w:t>正版</w:t>
                        </w:r>
                        <w:r>
                          <w:rPr>
                            <w:rFonts w:ascii="宋体" w:hAnsi="宋体" w:cs="宋体" w:eastAsia="宋体"/>
                            <w:sz w:val="20"/>
                          </w:rPr>
                          <w:t>win11操作系统</w:t>
                        </w:r>
                        <w:r>
                          <w:rPr>
                            <w:rFonts w:ascii="宋体" w:hAnsi="宋体" w:cs="宋体" w:eastAsia="宋体"/>
                            <w:sz w:val="20"/>
                          </w:rPr>
                          <w:t>（</w:t>
                        </w:r>
                        <w:r>
                          <w:rPr>
                            <w:rFonts w:ascii="宋体" w:hAnsi="宋体" w:cs="宋体" w:eastAsia="宋体"/>
                            <w:sz w:val="20"/>
                          </w:rPr>
                          <w:t>专业版</w:t>
                        </w:r>
                        <w:r>
                          <w:rPr>
                            <w:rFonts w:ascii="宋体" w:hAnsi="宋体" w:cs="宋体" w:eastAsia="宋体"/>
                            <w:sz w:val="20"/>
                          </w:rPr>
                          <w:t>）</w:t>
                        </w:r>
                      </w:p>
                      <w:p>
                        <w:pPr>
                          <w:pStyle w:val="null3"/>
                          <w:jc w:val="both"/>
                        </w:pPr>
                        <w:r>
                          <w:rPr>
                            <w:rFonts w:ascii="宋体" w:hAnsi="宋体" w:cs="宋体" w:eastAsia="宋体"/>
                            <w:sz w:val="20"/>
                          </w:rPr>
                          <w:t>服务：三年原厂上门服务</w:t>
                        </w:r>
                      </w:p>
                      <w:p>
                        <w:pPr>
                          <w:pStyle w:val="null3"/>
                          <w:jc w:val="both"/>
                        </w:pPr>
                        <w:r>
                          <w:rPr>
                            <w:rFonts w:ascii="宋体" w:hAnsi="宋体" w:cs="宋体" w:eastAsia="宋体"/>
                            <w:sz w:val="20"/>
                          </w:rPr>
                          <w:t>供货时提供产品来源渠道合法的证明文件（包含但不限于销售协议、代理协议、原厂授权等）以及原厂售后服务承诺函。</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150套</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进行与该套设备相匹配的环境建设（墙面颜色根据整体设计而定，营造墙面氛围）</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根据平面设计图进行隔断并安装玻璃门（密码锁）</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场地装饰及文化建设（实训室标识、氛围营造、文化建设工程量明细）</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calibri" w:hAnsi="calibri" w:cs="calibri" w:eastAsia="calibri"/>
                      <w:sz w:val="19"/>
                    </w:rPr>
                    <w:t>13</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1.实训室原</w:t>
                  </w:r>
                  <w:r>
                    <w:rPr>
                      <w:rFonts w:ascii="宋体" w:hAnsi="宋体" w:cs="宋体" w:eastAsia="宋体"/>
                      <w:sz w:val="20"/>
                    </w:rPr>
                    <w:t>有</w:t>
                  </w:r>
                  <w:r>
                    <w:rPr>
                      <w:rFonts w:ascii="宋体" w:hAnsi="宋体" w:cs="宋体" w:eastAsia="宋体"/>
                      <w:sz w:val="20"/>
                    </w:rPr>
                    <w:t>设备拆除、清理、搬迁、维护、重置、升级等，以及搬迁过程中导致的设备及建筑损坏；</w:t>
                  </w:r>
                </w:p>
                <w:p>
                  <w:pPr>
                    <w:pStyle w:val="null3"/>
                    <w:jc w:val="both"/>
                  </w:pPr>
                  <w:r>
                    <w:rPr>
                      <w:rFonts w:ascii="宋体" w:hAnsi="宋体" w:cs="宋体" w:eastAsia="宋体"/>
                      <w:sz w:val="20"/>
                    </w:rPr>
                    <w:t>2.实训室达到可使用状态所必须的墙面隔断（隔音）、环境改造、标记指引、内容展示及其他软装修；</w:t>
                  </w:r>
                </w:p>
                <w:p>
                  <w:pPr>
                    <w:pStyle w:val="null3"/>
                    <w:jc w:val="both"/>
                  </w:pPr>
                  <w:r>
                    <w:rPr>
                      <w:rFonts w:ascii="宋体" w:hAnsi="宋体" w:cs="宋体" w:eastAsia="宋体"/>
                      <w:sz w:val="20"/>
                    </w:rPr>
                    <w:t>3.实训室达到可使用状态所必须的布线及其他耗材。</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校企深度合作</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calibri" w:hAnsi="calibri" w:cs="calibri" w:eastAsia="calibri"/>
                      <w:sz w:val="19"/>
                    </w:rPr>
                    <w:t>14</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★1.支持学校参与企业组织的制造业产业链大数据有关模型开发及行业标准制定</w:t>
                  </w:r>
                </w:p>
                <w:p>
                  <w:pPr>
                    <w:pStyle w:val="null3"/>
                    <w:jc w:val="both"/>
                  </w:pPr>
                  <w:r>
                    <w:rPr>
                      <w:rFonts w:ascii="宋体" w:hAnsi="宋体" w:cs="宋体" w:eastAsia="宋体"/>
                      <w:sz w:val="20"/>
                    </w:rPr>
                    <w:t>★2.每年至少提供一家</w:t>
                  </w:r>
                  <w:r>
                    <w:rPr>
                      <w:rFonts w:ascii="宋体" w:hAnsi="宋体" w:cs="宋体" w:eastAsia="宋体"/>
                      <w:sz w:val="20"/>
                    </w:rPr>
                    <w:t>西部地区</w:t>
                  </w:r>
                  <w:r>
                    <w:rPr>
                      <w:rFonts w:ascii="宋体" w:hAnsi="宋体" w:cs="宋体" w:eastAsia="宋体"/>
                      <w:sz w:val="20"/>
                    </w:rPr>
                    <w:t>制造业企业的数据资产确权、评估、交易等社会化服务；</w:t>
                  </w:r>
                </w:p>
                <w:p>
                  <w:pPr>
                    <w:pStyle w:val="null3"/>
                    <w:jc w:val="both"/>
                  </w:pPr>
                  <w:r>
                    <w:rPr>
                      <w:rFonts w:ascii="宋体" w:hAnsi="宋体" w:cs="宋体" w:eastAsia="宋体"/>
                      <w:sz w:val="20"/>
                    </w:rPr>
                    <w:t>★3.1000家以上大中型制造型企业</w:t>
                  </w:r>
                  <w:r>
                    <w:rPr>
                      <w:rFonts w:ascii="宋体" w:hAnsi="宋体" w:cs="宋体" w:eastAsia="宋体"/>
                      <w:sz w:val="20"/>
                    </w:rPr>
                    <w:t>近三年</w:t>
                  </w:r>
                  <w:r>
                    <w:rPr>
                      <w:rFonts w:ascii="宋体" w:hAnsi="宋体" w:cs="宋体" w:eastAsia="宋体"/>
                      <w:sz w:val="20"/>
                    </w:rPr>
                    <w:t>脱敏后的数据源必须给到校方，作为研究对象；</w:t>
                  </w:r>
                </w:p>
                <w:p>
                  <w:pPr>
                    <w:pStyle w:val="null3"/>
                    <w:jc w:val="both"/>
                  </w:pPr>
                  <w:r>
                    <w:rPr>
                      <w:rFonts w:ascii="宋体" w:hAnsi="宋体" w:cs="宋体" w:eastAsia="宋体"/>
                      <w:sz w:val="20"/>
                    </w:rPr>
                    <w:t>★4.5年以内所有平台和软件资源免费升级维护；</w:t>
                  </w:r>
                </w:p>
                <w:p>
                  <w:pPr>
                    <w:pStyle w:val="null3"/>
                    <w:jc w:val="both"/>
                  </w:pPr>
                  <w:r>
                    <w:rPr>
                      <w:rFonts w:ascii="宋体" w:hAnsi="宋体" w:cs="宋体" w:eastAsia="宋体"/>
                      <w:sz w:val="20"/>
                    </w:rPr>
                    <w:t>★5.以上平台为云平台，同时本地同步部署。</w:t>
                  </w:r>
                </w:p>
              </w:tc>
            </w:tr>
          </w:tbl>
          <w:p>
            <w:pPr>
              <w:pStyle w:val="null3"/>
            </w:pPr>
            <w:r>
              <w:rPr/>
              <w:t xml:space="preserve"> </w:t>
            </w:r>
          </w:p>
          <w:p>
            <w:pPr>
              <w:pStyle w:val="null3"/>
            </w:pPr>
            <w:r>
              <w:rPr/>
              <w:t xml:space="preserve"> </w:t>
            </w:r>
          </w:p>
          <w:p>
            <w:pPr>
              <w:pStyle w:val="null3"/>
            </w:pPr>
            <w:r>
              <w:rPr/>
              <w:t xml:space="preserve"> </w:t>
            </w:r>
          </w:p>
        </w:tc>
      </w:tr>
      <w:tr>
        <w:tc>
          <w:tcPr>
            <w:tcW w:type="dxa" w:w="2769"/>
          </w:tcPr>
          <w:p/>
        </w:tc>
        <w:tc>
          <w:tcPr>
            <w:tcW w:type="dxa" w:w="2769"/>
          </w:tcPr>
          <w:p>
            <w:pPr>
              <w:pStyle w:val="null3"/>
            </w:pPr>
            <w:r>
              <w:rPr/>
              <w:t>2</w:t>
            </w:r>
          </w:p>
        </w:tc>
        <w:tc>
          <w:tcPr>
            <w:tcW w:type="dxa" w:w="2769"/>
          </w:tcPr>
          <w:p>
            <w:pPr>
              <w:pStyle w:val="null3"/>
            </w:pPr>
            <w:r>
              <w:rPr>
                <w:rFonts w:ascii="&quot;宋体&quot;" w:hAnsi="&quot;宋体&quot;" w:cs="&quot;宋体&quot;" w:eastAsia="&quot;宋体&quot;"/>
                <w:sz w:val="21"/>
                <w:color w:val="000000"/>
              </w:rPr>
              <w:t>说明：带</w:t>
            </w:r>
            <w:r>
              <w:rPr>
                <w:rFonts w:ascii="&quot;dejavusans&quot;" w:hAnsi="&quot;dejavusans&quot;" w:cs="&quot;dejavusans&quot;" w:eastAsia="&quot;dejavusans&quot;"/>
                <w:sz w:val="21"/>
                <w:color w:val="000000"/>
              </w:rPr>
              <w:t>“★”</w:t>
            </w:r>
            <w:r>
              <w:rPr>
                <w:rFonts w:ascii="&quot;宋体&quot;" w:hAnsi="&quot;宋体&quot;" w:cs="&quot;宋体&quot;" w:eastAsia="&quot;宋体&quot;"/>
                <w:sz w:val="21"/>
                <w:color w:val="000000"/>
              </w:rPr>
              <w:t xml:space="preserve">的参数需求为实质性要求，供应商必须响应并满足的参数需求，不允许出现负偏离。带 </w:t>
            </w:r>
            <w:r>
              <w:rPr>
                <w:rFonts w:ascii="&quot;dejavusans&quot;" w:hAnsi="&quot;dejavusans&quot;" w:cs="&quot;dejavusans&quot;" w:eastAsia="&quot;dejavusans&quot;"/>
                <w:sz w:val="21"/>
                <w:color w:val="000000"/>
              </w:rPr>
              <w:t>“▲”</w:t>
            </w:r>
            <w:r>
              <w:rPr>
                <w:rFonts w:ascii="&quot;宋体&quot;" w:hAnsi="&quot;宋体&quot;" w:cs="&quot;宋体&quot;" w:eastAsia="&quot;宋体&quot;"/>
                <w:sz w:val="21"/>
                <w:color w:val="000000"/>
              </w:rPr>
              <w:t>号条款为允许负偏</w:t>
            </w:r>
            <w:r>
              <w:rPr>
                <w:rFonts w:ascii="&quot;宋体&quot;" w:hAnsi="&quot;宋体&quot;" w:cs="&quot;宋体&quot;" w:eastAsia="&quot;宋体&quot;"/>
                <w:sz w:val="21"/>
                <w:color w:val="000000"/>
              </w:rPr>
              <w:t>离的参数需求，若未响应或者不满足，将在综合评审中予以扣分处理。</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交货期:合同签订之日起30个日历日 安装调试期:到货之日起60个日历日内</w:t>
      </w:r>
    </w:p>
    <w:p>
      <w:pPr>
        <w:pStyle w:val="null3"/>
        <w:outlineLvl w:val="3"/>
      </w:pPr>
      <w:r>
        <w:rPr>
          <w:sz w:val="24"/>
          <w:b/>
        </w:rPr>
        <w:t>3.4.2交货地点</w:t>
      </w:r>
    </w:p>
    <w:p>
      <w:pPr>
        <w:pStyle w:val="null3"/>
      </w:pPr>
      <w:r>
        <w:rPr/>
        <w:t>采购包1：</w:t>
      </w:r>
    </w:p>
    <w:p>
      <w:pPr>
        <w:pStyle w:val="null3"/>
      </w:pPr>
      <w:r>
        <w:rPr/>
        <w:t>采购人指定地点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 xml:space="preserve">合同签订后10日内，乙方提供收款收据 </w:t>
      </w:r>
      <w:r>
        <w:rPr/>
        <w:t xml:space="preserve"> ，达到付款条件起 </w:t>
      </w:r>
      <w:r>
        <w:rPr/>
        <w:t>10</w:t>
      </w:r>
      <w:r>
        <w:rPr/>
        <w:t xml:space="preserve"> 日内，支付合同总金额的 </w:t>
      </w:r>
      <w:r>
        <w:rPr/>
        <w:t>50.00</w:t>
      </w:r>
      <w:r>
        <w:rPr/>
        <w:t>%。</w:t>
      </w:r>
    </w:p>
    <w:p>
      <w:pPr>
        <w:pStyle w:val="null3"/>
      </w:pPr>
      <w:r>
        <w:rPr/>
        <w:t>采购包1：</w:t>
      </w:r>
      <w:r>
        <w:rPr/>
        <w:t xml:space="preserve"> 付款条件说明： </w:t>
      </w:r>
      <w:r>
        <w:rPr/>
        <w:t xml:space="preserve">乙方将本合同项下所有货物运送到甲方指定地点后，甲方进行到货开箱验收，书面验收合格后，乙方开具合法且符合甲方要求的合同款项全额增值税专用发票，甲方收到乙方全额发票后 </w:t>
      </w:r>
      <w:r>
        <w:rPr/>
        <w:t xml:space="preserve"> ，达到付款条件起 </w:t>
      </w:r>
      <w:r>
        <w:rPr/>
        <w:t>30</w:t>
      </w:r>
      <w:r>
        <w:rPr/>
        <w:t xml:space="preserve"> 日内，支付合同总金额的 </w:t>
      </w:r>
      <w:r>
        <w:rPr/>
        <w:t>10.00</w:t>
      </w:r>
      <w:r>
        <w:rPr/>
        <w:t>%。</w:t>
      </w:r>
    </w:p>
    <w:p>
      <w:pPr>
        <w:pStyle w:val="null3"/>
      </w:pPr>
      <w:r>
        <w:rPr/>
        <w:t>采购包1：</w:t>
      </w:r>
      <w:r>
        <w:rPr/>
        <w:t xml:space="preserve"> 付款条件说明： </w:t>
      </w:r>
      <w:r>
        <w:rPr/>
        <w:t xml:space="preserve">乙方负责完成货物安装调试，试运行10日，且达到平稳运行条件后向甲方申请验收，在30日内甲方进行最终验收，书面验收合格且无索赔争议后 </w:t>
      </w:r>
      <w:r>
        <w:rPr/>
        <w:t xml:space="preserve"> ，达到付款条件起 </w:t>
      </w:r>
      <w:r>
        <w:rPr/>
        <w:t>30</w:t>
      </w:r>
      <w:r>
        <w:rPr/>
        <w:t xml:space="preserve"> 日内，支付合同总金额的 </w:t>
      </w:r>
      <w:r>
        <w:rPr/>
        <w:t>40.00</w:t>
      </w:r>
      <w:r>
        <w:rPr/>
        <w:t>%。</w:t>
      </w:r>
    </w:p>
    <w:p>
      <w:pPr>
        <w:pStyle w:val="null3"/>
        <w:outlineLvl w:val="3"/>
      </w:pPr>
      <w:r>
        <w:rPr>
          <w:sz w:val="24"/>
          <w:b/>
        </w:rPr>
        <w:t>3.4.5验收标准和方法</w:t>
      </w:r>
    </w:p>
    <w:p>
      <w:pPr>
        <w:pStyle w:val="null3"/>
      </w:pPr>
      <w:r>
        <w:rPr/>
        <w:t>采购包1：</w:t>
      </w:r>
    </w:p>
    <w:p>
      <w:pPr>
        <w:pStyle w:val="null3"/>
      </w:pPr>
      <w:r>
        <w:rPr/>
        <w:t>验收分到货开箱验收和甲方最终验收两个阶段，以最终验收为准。 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三年，凡国家有规定的，优于招标文件要求的，按国家规定执行。 （1）供应商提供的产品必须与招标文件要求的完全一致，否则，采购人将拒绝验收并拒绝支付货款，由此给采购人带来的一切损失由成交供应商全权负责。 质量保证： （1）供应商提供的产品及材料必须保证质量可靠，为市场最新或主流产品，进货渠道正常，配置合理齐全，应全面满足招标文件的要求，招标文件未明确要求的内容，供应商须按采购产品主流标准配置或以采购人的补充要求为准。所供产品工艺质量应严格按国家最新发布的规范标准执行，如发生质量问题由供应商承担全部责任。 （2）供应商应保证所有产品的完好无损包括配套包装，如有缺漏、损坏，由供应商负责调换、补齐或赔偿。 （3）采购人使用产品过程中因产品质量、产品缺陷及安装质量等造成人身伤亡、财产损失的，由供应商负责解决并承担全部责任。 （4）质保期内每月至少一次免费上门维护，回访。 （5）对于存在质量问题或者短少的产品，供应商应在接到采购人的通知2个日历日内负责修复，调换、重新制作或补齐。 （6）在最终验收后的质量保证期内，供应商应对设计、工艺或材料等的缺陷而产生的故障负责（负责解决并承担全部费用）。质保期满后如出现此类问题亦应负责。 （7）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 （8）对于未按约定提供质保服务的供应商或违约的供应商，采购人有权委托第三方进行维修，所产生的费用由供应商承担，采购人有权从履约保证金中直接扣除，不足部分应由供应商支付。 售后服务： （1）整体保修三年。即从产品验收合格之日起三年内，由中标供应商负责免费售后服务三年； （2）中标供应商免费为采购人提供中文操作手册并培训操作人员，其中包括讲解产品的结构以及原理、产品的使用以及维护保养，直至操作人员能够独立的操作使用。 （3）提供质保期内全年7×24小时的技术咨询服务，接到报修后2小时内响应；8小时内到达现场；故障排除时间小于12小时。供应商怠于或无法提供技术具备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 （4）中标供应商应保证产品维修保养所需备品备件的价格合理和及时供应。 技术培训： 中标供应商免费为采购人提供中文操作手册并培训操作人员，其中包括讲解产品的结构以及原理、产品的使用以及维护保养，直至操作人员能够独立的操作使用。培训产生的交通费、食宿费、培训费等均由供应商承担。</w:t>
      </w:r>
    </w:p>
    <w:p>
      <w:pPr>
        <w:pStyle w:val="null3"/>
        <w:outlineLvl w:val="3"/>
      </w:pPr>
      <w:r>
        <w:rPr>
          <w:sz w:val="24"/>
          <w:b/>
        </w:rPr>
        <w:t>3.4.8违约责任与解决争议的方法</w:t>
      </w:r>
    </w:p>
    <w:p>
      <w:pPr>
        <w:pStyle w:val="null3"/>
      </w:pPr>
      <w:r>
        <w:rPr/>
        <w:t>采购包1：</w:t>
      </w:r>
    </w:p>
    <w:p>
      <w:pPr>
        <w:pStyle w:val="null3"/>
      </w:pPr>
      <w:r>
        <w:rPr/>
        <w:t>违约责任 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 2.如乙方产品质量不符合国家标准或未达到本企业内控标准，甲方有权退货，并且乙方应承担甲方合同总价款的10％的违约金并赔偿其他损失。 3.在合同规定的供货期内乙方未如数交货，除应如数补齐外，还应承担合同总款的10％违约金。 4.质量保证期内因产品质量问题，乙方未按合同规定及时进行维修、更换，甲方可自行组织人员进行维修、更换，因此造成的相关责任、费用由乙方承担，同时质量保证期重新起算。 5.乙方对材料不按招标文件要求，擅自更换，除恢复原招标产品外，应承担更换部分价款10%的违约金。 6.乙方如对材料以次充好，除全部按要求恢复外，应承担此部分价款10%的违约金。 7.如由于产品质量原因，不能通过验收，乙方除按规定无偿更换外，应承担所涉及产品总价款的10％违约金。 8.乙方供应产品存在知识产权瑕疵或所有权瑕疵，导致第三方向甲方索赔的，因此产生的赔偿款、行政罚款、处理纠纷发生的律师费、诉讼费、保全费等各项费用由乙方承担。 9.本合同签订后，乙方不得将本合同项下义务转交或委托任何第三方完成，一经发现，甲方有权解除合同。乙方应当按照合同总价款两倍向甲方支付违约金。 10.如因天气原因或甲方安排等原因需要调整供货时间、地点的，乙方应当无条件配合甲方，合同期限相应顺延且甲方不承担任何责任。 争议解决 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sz w:val="28"/>
          <w:b/>
        </w:rPr>
        <w:t>3.5其他要求</w:t>
      </w:r>
    </w:p>
    <w:p>
      <w:pPr>
        <w:pStyle w:val="null3"/>
      </w:pPr>
      <w:r>
        <w:rPr/>
        <w:t>因政府采购系统目前不能实现线上演示，需各供应商在开标当日进行远程演示。 具体如下：根据演示要求，需要进行演示的供应商自行准备相应设备。请需要演示的供应商提前下载安装腾讯会议APP，届时将通过腾讯会议逐家进行演示。演示时间开标时通知。</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投标文件封面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提供2022年度或2023年度经审计的财务报告或开标前三个月内开户银行开具的资信证明及基本存款账户信息；供应商需在项目电子化交易系统中按要求上传相应证明文件并进行电子签章。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投标方案 投标函 业绩 供应商资格证明文件</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提供营业执照、组织机构代码证、税务登记证（三证合一只提供营业执照，事业单位提供事业单位法人证书，自然人应提供身份证）合法有效；供应商需在项目电子化交易系统中按要求上传相应证明文件并进行电子签章。</w:t>
            </w:r>
          </w:p>
        </w:tc>
        <w:tc>
          <w:tcPr>
            <w:tcW w:type="dxa" w:w="1661"/>
          </w:tcPr>
          <w:p>
            <w:pPr>
              <w:pStyle w:val="null3"/>
            </w:pPr>
            <w:r>
              <w:rPr/>
              <w:t>投标人应提交的相关资格证明材料 供应商资格证明文件</w:t>
            </w:r>
          </w:p>
        </w:tc>
      </w:tr>
      <w:tr>
        <w:tc>
          <w:tcPr>
            <w:tcW w:type="dxa" w:w="831"/>
          </w:tcPr>
          <w:p>
            <w:pPr>
              <w:pStyle w:val="null3"/>
            </w:pPr>
            <w:r>
              <w:rPr/>
              <w:t>2</w:t>
            </w:r>
          </w:p>
        </w:tc>
        <w:tc>
          <w:tcPr>
            <w:tcW w:type="dxa" w:w="2492"/>
          </w:tcPr>
          <w:p>
            <w:pPr>
              <w:pStyle w:val="null3"/>
            </w:pPr>
            <w:r>
              <w:rPr/>
              <w:t>法定代表人参加投标时，提供本人身份证；授权代表参加投标时，提供法定代表人授权书和被授权人身份证；非法人单位参照执行</w:t>
            </w:r>
          </w:p>
        </w:tc>
        <w:tc>
          <w:tcPr>
            <w:tcW w:type="dxa" w:w="3322"/>
          </w:tcPr>
          <w:p>
            <w:pPr>
              <w:pStyle w:val="null3"/>
            </w:pPr>
            <w:r>
              <w:rPr/>
              <w:t>法定代表人参加投标时，提供本人身份证；授权代表参加投标时，提供法定代表人授权书和被授权人身份证；非法人单位参照执行；供应商需在项目电子化交易系统中按要求上传相应证明文件并进行电子签章。</w:t>
            </w:r>
          </w:p>
        </w:tc>
        <w:tc>
          <w:tcPr>
            <w:tcW w:type="dxa" w:w="1661"/>
          </w:tcPr>
          <w:p>
            <w:pPr>
              <w:pStyle w:val="null3"/>
            </w:pPr>
            <w:r>
              <w:rPr/>
              <w:t>投标人应提交的相关资格证明材料 供应商资格证明文件</w:t>
            </w:r>
          </w:p>
        </w:tc>
      </w:tr>
      <w:tr>
        <w:tc>
          <w:tcPr>
            <w:tcW w:type="dxa" w:w="831"/>
          </w:tcPr>
          <w:p>
            <w:pPr>
              <w:pStyle w:val="null3"/>
            </w:pPr>
            <w:r>
              <w:rPr/>
              <w:t>3</w:t>
            </w:r>
          </w:p>
        </w:tc>
        <w:tc>
          <w:tcPr>
            <w:tcW w:type="dxa" w:w="2492"/>
          </w:tcPr>
          <w:p>
            <w:pPr>
              <w:pStyle w:val="null3"/>
            </w:pPr>
            <w:r>
              <w:rPr/>
              <w:t>参加政府采购活动前三年内，在经营活动中没有重大违法记录的书面声明</w:t>
            </w:r>
          </w:p>
        </w:tc>
        <w:tc>
          <w:tcPr>
            <w:tcW w:type="dxa" w:w="3322"/>
          </w:tcPr>
          <w:p>
            <w:pPr>
              <w:pStyle w:val="null3"/>
            </w:pPr>
            <w:r>
              <w:rPr/>
              <w:t>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t>投标人应提交的相关资格证明材料 供应商资格证明文件</w:t>
            </w:r>
          </w:p>
        </w:tc>
      </w:tr>
      <w:tr>
        <w:tc>
          <w:tcPr>
            <w:tcW w:type="dxa" w:w="831"/>
          </w:tcPr>
          <w:p>
            <w:pPr>
              <w:pStyle w:val="null3"/>
            </w:pPr>
            <w:r>
              <w:rPr/>
              <w:t>4</w:t>
            </w:r>
          </w:p>
        </w:tc>
        <w:tc>
          <w:tcPr>
            <w:tcW w:type="dxa" w:w="2492"/>
          </w:tcPr>
          <w:p>
            <w:pPr>
              <w:pStyle w:val="null3"/>
            </w:pPr>
            <w:r>
              <w:rPr/>
              <w:t>供应商提供具有履行合同所必需的设备和专业技术能力的承诺</w:t>
            </w:r>
          </w:p>
        </w:tc>
        <w:tc>
          <w:tcPr>
            <w:tcW w:type="dxa" w:w="3322"/>
          </w:tcPr>
          <w:p>
            <w:pPr>
              <w:pStyle w:val="null3"/>
            </w:pPr>
            <w:r>
              <w:rPr/>
              <w:t>供应商提供具有履行合同所必需的设备和专业技术能力的承诺，供应商需在项目电子化交易系统中按要求上传相应证明文件并进行电子签章。</w:t>
            </w:r>
          </w:p>
        </w:tc>
        <w:tc>
          <w:tcPr>
            <w:tcW w:type="dxa" w:w="1661"/>
          </w:tcPr>
          <w:p>
            <w:pPr>
              <w:pStyle w:val="null3"/>
            </w:pPr>
            <w:r>
              <w:rPr/>
              <w:t>投标人应提交的相关资格证明材料 供应商资格证明文件</w:t>
            </w:r>
          </w:p>
        </w:tc>
      </w:tr>
      <w:tr>
        <w:tc>
          <w:tcPr>
            <w:tcW w:type="dxa" w:w="831"/>
          </w:tcPr>
          <w:p>
            <w:pPr>
              <w:pStyle w:val="null3"/>
            </w:pPr>
            <w:r>
              <w:rPr/>
              <w:t>5</w:t>
            </w:r>
          </w:p>
        </w:tc>
        <w:tc>
          <w:tcPr>
            <w:tcW w:type="dxa" w:w="2492"/>
          </w:tcPr>
          <w:p>
            <w:pPr>
              <w:pStyle w:val="null3"/>
            </w:pPr>
            <w:r>
              <w:rPr/>
              <w:t>供应商应提供健全的财务会计制度的证明材料</w:t>
            </w:r>
          </w:p>
        </w:tc>
        <w:tc>
          <w:tcPr>
            <w:tcW w:type="dxa" w:w="3322"/>
          </w:tcPr>
          <w:p>
            <w:pPr>
              <w:pStyle w:val="null3"/>
            </w:pPr>
            <w:r>
              <w:rPr/>
              <w:t>提供2022年度或2023年度经审计的财务报告或开标前三个月内开户银行开具的资信证明及基本存款账户信息；供应商需在项目电子化交易系统中按要求上传相应证明文件并进行电子签章。</w:t>
            </w:r>
          </w:p>
        </w:tc>
        <w:tc>
          <w:tcPr>
            <w:tcW w:type="dxa" w:w="1661"/>
          </w:tcPr>
          <w:p>
            <w:pPr>
              <w:pStyle w:val="null3"/>
            </w:pPr>
            <w:r>
              <w:rPr/>
              <w:t>投标人应提交的相关资格证明材料 供应商资格证明文件</w:t>
            </w:r>
          </w:p>
        </w:tc>
      </w:tr>
      <w:tr>
        <w:tc>
          <w:tcPr>
            <w:tcW w:type="dxa" w:w="831"/>
          </w:tcPr>
          <w:p>
            <w:pPr>
              <w:pStyle w:val="null3"/>
            </w:pPr>
            <w:r>
              <w:rPr/>
              <w:t>6</w:t>
            </w:r>
          </w:p>
        </w:tc>
        <w:tc>
          <w:tcPr>
            <w:tcW w:type="dxa" w:w="2492"/>
          </w:tcPr>
          <w:p>
            <w:pPr>
              <w:pStyle w:val="null3"/>
            </w:pPr>
            <w:r>
              <w:rPr/>
              <w:t>税收证明</w:t>
            </w:r>
          </w:p>
        </w:tc>
        <w:tc>
          <w:tcPr>
            <w:tcW w:type="dxa" w:w="3322"/>
          </w:tcPr>
          <w:p>
            <w:pPr>
              <w:pStyle w:val="null3"/>
            </w:pPr>
            <w:r>
              <w:rPr/>
              <w:t>提供2024年1月1日以来已缴纳任意一个月完税凭证或税务机关开具的完税证明（任意税种）；依法免税的应提供相关文件证明；供应商需在项目电子化交易系统中按要求上传相应证明文件并进行电子签章。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t>投标人应提交的相关资格证明材料 供应商资格证明文件</w:t>
            </w:r>
          </w:p>
        </w:tc>
      </w:tr>
      <w:tr>
        <w:tc>
          <w:tcPr>
            <w:tcW w:type="dxa" w:w="831"/>
          </w:tcPr>
          <w:p>
            <w:pPr>
              <w:pStyle w:val="null3"/>
            </w:pPr>
            <w:r>
              <w:rPr/>
              <w:t>7</w:t>
            </w:r>
          </w:p>
        </w:tc>
        <w:tc>
          <w:tcPr>
            <w:tcW w:type="dxa" w:w="2492"/>
          </w:tcPr>
          <w:p>
            <w:pPr>
              <w:pStyle w:val="null3"/>
            </w:pPr>
            <w:r>
              <w:rPr/>
              <w:t>社会保障资金缴纳证明</w:t>
            </w:r>
          </w:p>
        </w:tc>
        <w:tc>
          <w:tcPr>
            <w:tcW w:type="dxa" w:w="3322"/>
          </w:tcPr>
          <w:p>
            <w:pPr>
              <w:pStyle w:val="null3"/>
            </w:pPr>
            <w:r>
              <w:rPr/>
              <w:t>提供2024年1月1日以来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t>投标人应提交的相关资格证明材料 供应商资格证明文件</w:t>
            </w:r>
          </w:p>
        </w:tc>
      </w:tr>
      <w:tr>
        <w:tc>
          <w:tcPr>
            <w:tcW w:type="dxa" w:w="831"/>
          </w:tcPr>
          <w:p>
            <w:pPr>
              <w:pStyle w:val="null3"/>
            </w:pPr>
            <w:r>
              <w:rPr/>
              <w:t>8</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t>投标人应提交的相关资格证明材料 供应商资格证明文件</w:t>
            </w:r>
          </w:p>
        </w:tc>
      </w:tr>
      <w:tr>
        <w:tc>
          <w:tcPr>
            <w:tcW w:type="dxa" w:w="831"/>
          </w:tcPr>
          <w:p>
            <w:pPr>
              <w:pStyle w:val="null3"/>
            </w:pPr>
            <w:r>
              <w:rPr/>
              <w:t>9</w:t>
            </w:r>
          </w:p>
        </w:tc>
        <w:tc>
          <w:tcPr>
            <w:tcW w:type="dxa" w:w="2492"/>
          </w:tcPr>
          <w:p>
            <w:pPr>
              <w:pStyle w:val="null3"/>
            </w:pPr>
            <w:r>
              <w:rPr/>
              <w:t>信用查询</w:t>
            </w:r>
          </w:p>
        </w:tc>
        <w:tc>
          <w:tcPr>
            <w:tcW w:type="dxa" w:w="3322"/>
          </w:tcPr>
          <w:p>
            <w:pPr>
              <w:pStyle w:val="null3"/>
            </w:pPr>
            <w:r>
              <w:rPr/>
              <w:t>供应商不得为“信用中国”网站（www.creditchina.gov.cn）或“中国执信公开网”中被列入失信被执行人、重大税收违法案件当事人名单和中国政府采购网（www.ccgp.gov.cn）被列入政府采购严重违法失信行为记录名单的单位。供应商需在项目电子化交易系统中按要求上传相应证明文件并进行电子签章，开标时将由代理机构进行现场查询。</w:t>
            </w:r>
          </w:p>
        </w:tc>
        <w:tc>
          <w:tcPr>
            <w:tcW w:type="dxa" w:w="1661"/>
          </w:tcPr>
          <w:p>
            <w:pPr>
              <w:pStyle w:val="null3"/>
            </w:pPr>
            <w:r>
              <w:rPr/>
              <w:t>投标人应提交的相关资格证明材料 供应商资格证明文件</w:t>
            </w:r>
          </w:p>
        </w:tc>
      </w:tr>
      <w:tr>
        <w:tc>
          <w:tcPr>
            <w:tcW w:type="dxa" w:w="831"/>
          </w:tcPr>
          <w:p>
            <w:pPr>
              <w:pStyle w:val="null3"/>
            </w:pPr>
            <w:r>
              <w:rPr/>
              <w:t>10</w:t>
            </w:r>
          </w:p>
        </w:tc>
        <w:tc>
          <w:tcPr>
            <w:tcW w:type="dxa" w:w="2492"/>
          </w:tcPr>
          <w:p>
            <w:pPr>
              <w:pStyle w:val="null3"/>
            </w:pPr>
            <w:r>
              <w:rPr/>
              <w:t>本项目不接受联合体投标</w:t>
            </w:r>
          </w:p>
        </w:tc>
        <w:tc>
          <w:tcPr>
            <w:tcW w:type="dxa" w:w="3322"/>
          </w:tcPr>
          <w:p>
            <w:pPr>
              <w:pStyle w:val="null3"/>
            </w:pPr>
            <w:r>
              <w:rPr/>
              <w:t>本项目不接受联合体投标，供应商需在项目电子化交易系统中按要求上传相应承诺并进行电子签章。</w:t>
            </w:r>
          </w:p>
        </w:tc>
        <w:tc>
          <w:tcPr>
            <w:tcW w:type="dxa" w:w="1661"/>
          </w:tcPr>
          <w:p>
            <w:pPr>
              <w:pStyle w:val="null3"/>
            </w:pPr>
            <w:r>
              <w:rPr/>
              <w:t>投标人应提交的相关资格证明材料 供应商资格证明文件</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落实政府采购政策</w:t>
            </w:r>
          </w:p>
        </w:tc>
        <w:tc>
          <w:tcPr>
            <w:tcW w:type="dxa" w:w="3322"/>
          </w:tcPr>
          <w:p>
            <w:pPr>
              <w:pStyle w:val="null3"/>
            </w:pPr>
            <w:r>
              <w:rPr/>
              <w:t>1）《政府采购促进中小企业发展管理办法》（财库〔2020〕46号）；  2）《财政部司法部关于政府采购支持监狱企业发展有关问题的通知》（财库〔2014〕68号）； 3）《国务院办公厅关于建立政府强制采购节能产品制度的通知》（国办发〔2007〕51号）； 3）《关于调整优化节能产品、环境标志产品政府采购执行机制的通知》（财库〔2019〕9号）； 5）《关于印发环境标志产品政府采购品目清单的通知》（财库〔2019〕18号）；  6）《关于印发节能产品政府采购品目清单的通知》（财库〔2019〕19号）；  7）《三部门联合发布关于促进残疾人就业政府采购政策的通知》（财库〔2017〕141号）；  8）《财政部发展改革委生态环境部市场监管总局关于调整优化节能产品、环境标志产品政府采购执行机制的通知》（财库〔2019〕9号）；  9）《财政部农业农村部国家乡村振兴局关于运用政府采购政策支持乡村产业振兴的通知》（财库〔2021〕19号）；  10）《陕西省财政厅关于加快推进我省中小企业政府采购信用融资工作的通知》（陕财办采〔2020〕15号）；  11）《关于深入开展政府采购脱贫地区农副产品工作推进乡村产业振兴的实施意见》的通知（财库〔2021〕20号）； 12）其他需要落实的政府采购政策。 13）本项目非专门面向中小企业采购。</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交货期</w:t>
            </w:r>
          </w:p>
        </w:tc>
        <w:tc>
          <w:tcPr>
            <w:tcW w:type="dxa" w:w="3322"/>
          </w:tcPr>
          <w:p>
            <w:pPr>
              <w:pStyle w:val="null3"/>
            </w:pPr>
            <w:r>
              <w:rPr/>
              <w:t>符合招标文件要求</w:t>
            </w:r>
          </w:p>
        </w:tc>
        <w:tc>
          <w:tcPr>
            <w:tcW w:type="dxa" w:w="1661"/>
          </w:tcPr>
          <w:p>
            <w:pPr>
              <w:pStyle w:val="null3"/>
            </w:pPr>
            <w:r>
              <w:rPr/>
              <w:t>投标方案 商务应答表</w:t>
            </w:r>
          </w:p>
        </w:tc>
      </w:tr>
      <w:tr>
        <w:tc>
          <w:tcPr>
            <w:tcW w:type="dxa" w:w="831"/>
          </w:tcPr>
          <w:p>
            <w:pPr>
              <w:pStyle w:val="null3"/>
            </w:pPr>
            <w:r>
              <w:rPr/>
              <w:t>3</w:t>
            </w:r>
          </w:p>
        </w:tc>
        <w:tc>
          <w:tcPr>
            <w:tcW w:type="dxa" w:w="2492"/>
          </w:tcPr>
          <w:p>
            <w:pPr>
              <w:pStyle w:val="null3"/>
            </w:pPr>
            <w:r>
              <w:rPr/>
              <w:t>质保期</w:t>
            </w:r>
          </w:p>
        </w:tc>
        <w:tc>
          <w:tcPr>
            <w:tcW w:type="dxa" w:w="3322"/>
          </w:tcPr>
          <w:p>
            <w:pPr>
              <w:pStyle w:val="null3"/>
            </w:pPr>
            <w:r>
              <w:rPr/>
              <w:t>符合招标文件要求</w:t>
            </w:r>
          </w:p>
        </w:tc>
        <w:tc>
          <w:tcPr>
            <w:tcW w:type="dxa" w:w="1661"/>
          </w:tcPr>
          <w:p>
            <w:pPr>
              <w:pStyle w:val="null3"/>
            </w:pPr>
            <w:r>
              <w:rPr/>
              <w:t>投标方案 商务应答表</w:t>
            </w:r>
          </w:p>
        </w:tc>
      </w:tr>
      <w:tr>
        <w:tc>
          <w:tcPr>
            <w:tcW w:type="dxa" w:w="831"/>
          </w:tcPr>
          <w:p>
            <w:pPr>
              <w:pStyle w:val="null3"/>
            </w:pPr>
            <w:r>
              <w:rPr/>
              <w:t>4</w:t>
            </w:r>
          </w:p>
        </w:tc>
        <w:tc>
          <w:tcPr>
            <w:tcW w:type="dxa" w:w="2492"/>
          </w:tcPr>
          <w:p>
            <w:pPr>
              <w:pStyle w:val="null3"/>
            </w:pPr>
            <w:r>
              <w:rPr/>
              <w:t>付款方式</w:t>
            </w:r>
          </w:p>
        </w:tc>
        <w:tc>
          <w:tcPr>
            <w:tcW w:type="dxa" w:w="3322"/>
          </w:tcPr>
          <w:p>
            <w:pPr>
              <w:pStyle w:val="null3"/>
            </w:pPr>
            <w:r>
              <w:rPr/>
              <w:t>符合招标文件要求</w:t>
            </w:r>
          </w:p>
        </w:tc>
        <w:tc>
          <w:tcPr>
            <w:tcW w:type="dxa" w:w="1661"/>
          </w:tcPr>
          <w:p>
            <w:pPr>
              <w:pStyle w:val="null3"/>
            </w:pPr>
            <w:r>
              <w:rPr/>
              <w:t>投标方案 商务应答表</w:t>
            </w:r>
          </w:p>
        </w:tc>
      </w:tr>
      <w:tr>
        <w:tc>
          <w:tcPr>
            <w:tcW w:type="dxa" w:w="831"/>
          </w:tcPr>
          <w:p>
            <w:pPr>
              <w:pStyle w:val="null3"/>
            </w:pPr>
            <w:r>
              <w:rPr/>
              <w:t>5</w:t>
            </w:r>
          </w:p>
        </w:tc>
        <w:tc>
          <w:tcPr>
            <w:tcW w:type="dxa" w:w="2492"/>
          </w:tcPr>
          <w:p>
            <w:pPr>
              <w:pStyle w:val="null3"/>
            </w:pPr>
            <w:r>
              <w:rPr/>
              <w:t>投标有效期</w:t>
            </w:r>
          </w:p>
        </w:tc>
        <w:tc>
          <w:tcPr>
            <w:tcW w:type="dxa" w:w="3322"/>
          </w:tcPr>
          <w:p>
            <w:pPr>
              <w:pStyle w:val="null3"/>
            </w:pPr>
            <w:r>
              <w:rPr/>
              <w:t>投标有效期不少于90天</w:t>
            </w:r>
          </w:p>
        </w:tc>
        <w:tc>
          <w:tcPr>
            <w:tcW w:type="dxa" w:w="1661"/>
          </w:tcPr>
          <w:p>
            <w:pPr>
              <w:pStyle w:val="null3"/>
            </w:pPr>
            <w:r>
              <w:rPr/>
              <w:t>投标函</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节能环保</w:t>
            </w:r>
          </w:p>
        </w:tc>
        <w:tc>
          <w:tcPr>
            <w:tcW w:type="dxa" w:w="2492"/>
          </w:tcPr>
          <w:p>
            <w:pPr>
              <w:pStyle w:val="null3"/>
            </w:pPr>
            <w:r>
              <w:rPr/>
              <w:t>投标产品每有一项为节能、环保、环境标志产品清单中的产品得0.5分，满分2分（以经国家确定的认证机构出具的、处于有效期内的节能产品、环境标志产品认证证书为准）。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标的清单</w:t>
            </w:r>
          </w:p>
          <w:p>
            <w:pPr>
              <w:pStyle w:val="null3"/>
            </w:pPr>
            <w:r>
              <w:rPr/>
              <w:t>投标方案</w:t>
            </w:r>
          </w:p>
        </w:tc>
      </w:tr>
      <w:tr>
        <w:tc>
          <w:tcPr>
            <w:tcW w:type="dxa" w:w="831"/>
            <w:vMerge/>
          </w:tcPr>
          <w:p/>
        </w:tc>
        <w:tc>
          <w:tcPr>
            <w:tcW w:type="dxa" w:w="1661"/>
          </w:tcPr>
          <w:p>
            <w:pPr>
              <w:pStyle w:val="null3"/>
            </w:pPr>
            <w:r>
              <w:rPr/>
              <w:t>技术参数</w:t>
            </w:r>
          </w:p>
        </w:tc>
        <w:tc>
          <w:tcPr>
            <w:tcW w:type="dxa" w:w="2492"/>
          </w:tcPr>
          <w:p>
            <w:pPr>
              <w:pStyle w:val="null3"/>
            </w:pPr>
            <w:r>
              <w:rPr/>
              <w:t>投标产品完全符合、响应招标文件要求，没有负偏离的得30分，加“▲”参数中每有一条技术指标负偏离扣2分，非“▲”参数中每有一条技术指标负偏离扣1分，扣完为止。满分30分。 注：投标供应商须在技术响应表中对技术参数进行回应，并尽可能多的提供相关技术参数佐证材料（佐证材料不限于：经厂家确认的产品彩页、检测报告、官网截图等证明材料）予以证明其技术参数的响应性。供应商自行承担因证明材料不全而被视为技术参数偏离的风险。</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投标产品可靠性</w:t>
            </w:r>
          </w:p>
        </w:tc>
        <w:tc>
          <w:tcPr>
            <w:tcW w:type="dxa" w:w="2492"/>
          </w:tcPr>
          <w:p>
            <w:pPr>
              <w:pStyle w:val="null3"/>
            </w:pPr>
            <w:r>
              <w:rPr/>
              <w:t>设备供货渠道正常、货物来源质量有保证，检验手续完善、合法有效，无产权纠纷（不限于加盖生产厂家公章的原厂正品授权委托书、原厂售后服务、销售协议或代理协议等证明文件），每提供一个有效证明计1分，满分3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投标方案</w:t>
            </w:r>
          </w:p>
          <w:p>
            <w:pPr>
              <w:pStyle w:val="null3"/>
            </w:pPr>
            <w:r>
              <w:rPr/>
              <w:t>产品技术参数表</w:t>
            </w:r>
          </w:p>
          <w:p>
            <w:pPr>
              <w:pStyle w:val="null3"/>
            </w:pPr>
            <w:r>
              <w:rPr/>
              <w:t>标的清单</w:t>
            </w:r>
          </w:p>
        </w:tc>
      </w:tr>
      <w:tr>
        <w:tc>
          <w:tcPr>
            <w:tcW w:type="dxa" w:w="831"/>
            <w:vMerge/>
          </w:tcPr>
          <w:p/>
        </w:tc>
        <w:tc>
          <w:tcPr>
            <w:tcW w:type="dxa" w:w="1661"/>
          </w:tcPr>
          <w:p>
            <w:pPr>
              <w:pStyle w:val="null3"/>
            </w:pPr>
            <w:r>
              <w:rPr/>
              <w:t>供货方案</w:t>
            </w:r>
          </w:p>
        </w:tc>
        <w:tc>
          <w:tcPr>
            <w:tcW w:type="dxa" w:w="2492"/>
          </w:tcPr>
          <w:p>
            <w:pPr>
              <w:pStyle w:val="null3"/>
            </w:pPr>
            <w:r>
              <w:rPr/>
              <w:t>根据提供具体详细可行的供货方案（人员安排、运输、安装）等综合评定。 方案科学合理、切实可行，满足实际需要得（4-5]分；方案合理、基本可行，得（2-3]分；方案较差，得[0-1]分。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备品备件</w:t>
            </w:r>
          </w:p>
        </w:tc>
        <w:tc>
          <w:tcPr>
            <w:tcW w:type="dxa" w:w="2492"/>
          </w:tcPr>
          <w:p>
            <w:pPr>
              <w:pStyle w:val="null3"/>
            </w:pPr>
            <w:r>
              <w:rPr/>
              <w:t>依据投标文件所提供的投标产品备品备件（易损件）清单完整程度、报价及相关承诺，自主赋分： 1、清单完整、报价合理、相关承诺完整有效且年限长，得[3-5]分； 2、清单有缺失、报价较高、相关承诺完整有效但年限较短，得[1-3）分； 未提供承诺函或承诺年限≤质量保证期的，本项不得分。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投标方案</w:t>
            </w:r>
          </w:p>
          <w:p>
            <w:pPr>
              <w:pStyle w:val="null3"/>
            </w:pPr>
            <w:r>
              <w:rPr/>
              <w:t>产品技术参数表</w:t>
            </w:r>
          </w:p>
          <w:p>
            <w:pPr>
              <w:pStyle w:val="null3"/>
            </w:pPr>
            <w:r>
              <w:rPr/>
              <w:t>标的清单</w:t>
            </w:r>
          </w:p>
        </w:tc>
      </w:tr>
      <w:tr>
        <w:tc>
          <w:tcPr>
            <w:tcW w:type="dxa" w:w="831"/>
            <w:vMerge/>
          </w:tcPr>
          <w:p/>
        </w:tc>
        <w:tc>
          <w:tcPr>
            <w:tcW w:type="dxa" w:w="1661"/>
          </w:tcPr>
          <w:p>
            <w:pPr>
              <w:pStyle w:val="null3"/>
            </w:pPr>
            <w:r>
              <w:rPr/>
              <w:t>售后服务</w:t>
            </w:r>
          </w:p>
        </w:tc>
        <w:tc>
          <w:tcPr>
            <w:tcW w:type="dxa" w:w="2492"/>
          </w:tcPr>
          <w:p>
            <w:pPr>
              <w:pStyle w:val="null3"/>
            </w:pPr>
            <w:r>
              <w:rPr/>
              <w:t>根据各供应商的售后服务承诺，保修计划（包括具体的售后服务内容、响应方式、响应时间、问题管理、返修管理、技术培训等）进行评审。 售后服务措施和承诺具体、详细可行，完全符合采购人需求得(7-10]分； 售后服务措施和承诺较完善，内容一般，但基本符合采购人需求得(4-7]分； 售后服务措施和承诺差，内容简略。得(0-4]分，未提供不得分。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业绩</w:t>
            </w:r>
          </w:p>
        </w:tc>
        <w:tc>
          <w:tcPr>
            <w:tcW w:type="dxa" w:w="2492"/>
          </w:tcPr>
          <w:p>
            <w:pPr>
              <w:pStyle w:val="null3"/>
            </w:pPr>
            <w:r>
              <w:rPr/>
              <w:t>提供2021年1月至今类似项目业绩，响应文件中附有其合同文件为依据（提供加盖供应商红色公章的完整复印件，合同以签订时间为准），供应商提供一份业绩得1分本项最高得5分。不提供或不按要求提供，本项得0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w:t>
            </w:r>
          </w:p>
        </w:tc>
      </w:tr>
      <w:tr>
        <w:tc>
          <w:tcPr>
            <w:tcW w:type="dxa" w:w="831"/>
            <w:vMerge/>
          </w:tcPr>
          <w:p/>
        </w:tc>
        <w:tc>
          <w:tcPr>
            <w:tcW w:type="dxa" w:w="1661"/>
          </w:tcPr>
          <w:p>
            <w:pPr>
              <w:pStyle w:val="null3"/>
            </w:pPr>
            <w:r>
              <w:rPr/>
              <w:t>现场演示</w:t>
            </w:r>
          </w:p>
        </w:tc>
        <w:tc>
          <w:tcPr>
            <w:tcW w:type="dxa" w:w="2492"/>
          </w:tcPr>
          <w:p>
            <w:pPr>
              <w:pStyle w:val="null3"/>
            </w:pPr>
            <w:r>
              <w:rPr/>
              <w:t>由供应商进行演示，演示时长不超过10分钟。完全符合模块齐全、功能完备、配套课程6门以上，得(7-10]分； 模块及功能有部分缺项配套课程少于4门，得(4-7]分； 模块缺失，功能不匹配，配套课程少于2门，得(0-4]分，无课程不得分。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满足招标文件要求且投标价格最低的投标报价为评标基准价，其价格分为满分。其他供应商的价格分统一按照下列公式计算：投标报价得分=（评标基准价/投标报价）×30 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详见附件：供应商资格证明文件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详见附件：投标方案</w:t>
      </w:r>
    </w:p>
    <w:p>
      <w:pPr>
        <w:pStyle w:val="null3"/>
        <w:ind w:firstLine="960"/>
      </w:pPr>
      <w:r>
        <w:rPr/>
        <w:t>详见附件：业绩</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详见附件：1、货物采购类合同.docx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