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版本号：241214003</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大数据技术综合实训平台建设项目</w:t>
      </w:r>
    </w:p>
    <w:p>
      <w:pPr>
        <w:pStyle w:val="null3"/>
        <w:jc w:val="center"/>
        <w:outlineLvl w:val="2"/>
      </w:pPr>
      <w:r>
        <w:rPr>
          <w:sz w:val="28"/>
          <w:b/>
        </w:rPr>
        <w:t>采购项目编号：</w:t>
      </w:r>
      <w:r>
        <w:rPr>
          <w:sz w:val="28"/>
          <w:b/>
        </w:rPr>
        <w:t>LZBD2024-1994</w:t>
      </w:r>
      <w:r>
        <w:br/>
      </w:r>
      <w:r>
        <w:br/>
      </w:r>
      <w:r>
        <w:br/>
      </w:r>
    </w:p>
    <w:p>
      <w:pPr>
        <w:pStyle w:val="null3"/>
        <w:jc w:val="center"/>
        <w:outlineLvl w:val="2"/>
      </w:pPr>
      <w:r>
        <w:rPr>
          <w:sz w:val="28"/>
          <w:b/>
        </w:rPr>
        <w:t>陕西工业职业技术学院</w:t>
      </w:r>
    </w:p>
    <w:p>
      <w:pPr>
        <w:pStyle w:val="null3"/>
        <w:jc w:val="center"/>
        <w:outlineLvl w:val="2"/>
      </w:pPr>
      <w:r>
        <w:rPr>
          <w:sz w:val="28"/>
          <w:b/>
        </w:rPr>
        <w:t>龙寰项目管理咨询有限公司</w:t>
      </w:r>
      <w:r>
        <w:rPr>
          <w:sz w:val="28"/>
          <w:b/>
        </w:rPr>
        <w:t>共同编制</w:t>
      </w:r>
    </w:p>
    <w:p>
      <w:pPr>
        <w:pStyle w:val="null3"/>
        <w:jc w:val="center"/>
        <w:outlineLvl w:val="2"/>
      </w:pPr>
      <w:r>
        <w:rPr>
          <w:sz w:val="28"/>
          <w:b/>
        </w:rPr>
        <w:t>2024年12月11日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龙寰项目管理咨询有限公司</w:t>
      </w:r>
      <w:r>
        <w:rPr/>
        <w:t>（以下简称“代理机构”）受</w:t>
      </w:r>
      <w:r>
        <w:rPr/>
        <w:t>陕西工业职业技术学院</w:t>
      </w:r>
      <w:r>
        <w:rPr/>
        <w:t>委托，拟对</w:t>
      </w:r>
      <w:r>
        <w:rPr/>
        <w:t>大数据技术综合实训平台建设项目</w:t>
      </w:r>
      <w:r>
        <w:rPr/>
        <w:t>采用竞争性磋商采购方式进行采购，兹邀请供应商参加本项目的竞争性磋商。</w:t>
      </w:r>
    </w:p>
    <w:p>
      <w:pPr>
        <w:pStyle w:val="null3"/>
        <w:outlineLvl w:val="2"/>
      </w:pPr>
      <w:r>
        <w:rPr>
          <w:sz w:val="28"/>
          <w:b/>
        </w:rPr>
        <w:t>一、项目编号：</w:t>
      </w:r>
      <w:r>
        <w:rPr>
          <w:sz w:val="28"/>
          <w:b/>
        </w:rPr>
        <w:t>LZBD2024-1994</w:t>
      </w:r>
    </w:p>
    <w:p>
      <w:pPr>
        <w:pStyle w:val="null3"/>
        <w:outlineLvl w:val="2"/>
      </w:pPr>
      <w:r>
        <w:rPr>
          <w:sz w:val="28"/>
          <w:b/>
        </w:rPr>
        <w:t>二、项目名称：</w:t>
      </w:r>
      <w:r>
        <w:rPr>
          <w:sz w:val="28"/>
          <w:b/>
        </w:rPr>
        <w:t>大数据技术综合实训平台建设项目</w:t>
      </w:r>
    </w:p>
    <w:p>
      <w:pPr>
        <w:pStyle w:val="null3"/>
        <w:outlineLvl w:val="2"/>
      </w:pPr>
      <w:r>
        <w:rPr>
          <w:sz w:val="28"/>
          <w:b/>
        </w:rPr>
        <w:t>三、磋商项目简介</w:t>
      </w:r>
    </w:p>
    <w:p>
      <w:pPr>
        <w:pStyle w:val="null3"/>
        <w:ind w:firstLine="480"/>
      </w:pPr>
      <w:r>
        <w:rPr/>
        <w:t>陕西工业职业技术学院大数据技术综合实训平台建设项目，详见磋商文件技术要求。</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法人或者其他组织的营业执照等证明文件，自然人的身份证明。：供应商应是独立承担民事责任能力的法人、其他组织或自然人，法人、其他组织须提供合法有效的营业执照（或事业单位法人证书）等证明资料， 自然人须提供身份证明。注：供应商需在项目电子化交易系统中按要求上传相应证明文件并进行电子签章。</w:t>
      </w:r>
    </w:p>
    <w:p>
      <w:pPr>
        <w:pStyle w:val="null3"/>
      </w:pPr>
      <w:r>
        <w:rPr/>
        <w:t>2、企业信用：供应商不得为列入“信用中国”(www.creditchina.gov.cn)记录失信被执行人、重大税收违法失信主体、中国政府采购网(www.ccgp.gov.cn)的政府采购严重违法失信行为记录名单，如相关失信记录已失效，需提供相关证明资料。采购代理机构于投标截止日当天在网站的查询结果为准（截图留存），注：供应商需在项目电子化交易系统中按要求上传相应证明文件并进行电子签章。</w:t>
      </w:r>
    </w:p>
    <w:p>
      <w:pPr>
        <w:pStyle w:val="null3"/>
      </w:pPr>
      <w:r>
        <w:rPr/>
        <w:t>3、控股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 xml:space="preserve"> 注：获取的磋商文件主体格式包括pdf、word两种格式版本，其中以pdf格式为准。</w:t>
      </w:r>
    </w:p>
    <w:p>
      <w:pPr>
        <w:pStyle w:val="null3"/>
        <w:outlineLvl w:val="2"/>
      </w:pPr>
      <w:r>
        <w:rPr>
          <w:sz w:val="28"/>
          <w:b/>
        </w:rPr>
        <w:t xml:space="preserve"> 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陕西工业职业技术学院</w:t>
      </w:r>
    </w:p>
    <w:p>
      <w:pPr>
        <w:pStyle w:val="null3"/>
      </w:pPr>
      <w:r>
        <w:rPr/>
        <w:t xml:space="preserve"> 地址： </w:t>
      </w:r>
      <w:r>
        <w:rPr/>
        <w:t>陕西省咸阳市渭城区文汇西路12号</w:t>
      </w:r>
    </w:p>
    <w:p>
      <w:pPr>
        <w:pStyle w:val="null3"/>
      </w:pPr>
      <w:r>
        <w:rPr/>
        <w:t xml:space="preserve"> 邮编： </w:t>
      </w:r>
      <w:r>
        <w:rPr/>
        <w:t>712000</w:t>
      </w:r>
    </w:p>
    <w:p>
      <w:pPr>
        <w:pStyle w:val="null3"/>
      </w:pPr>
      <w:r>
        <w:rPr/>
        <w:t xml:space="preserve"> 联系人： </w:t>
      </w:r>
      <w:r>
        <w:rPr/>
        <w:t>陕西工业职业技术学院魏老师</w:t>
      </w:r>
    </w:p>
    <w:p>
      <w:pPr>
        <w:pStyle w:val="null3"/>
      </w:pPr>
      <w:r>
        <w:rPr/>
        <w:t xml:space="preserve"> 联系电话： </w:t>
      </w:r>
      <w:r>
        <w:rPr/>
        <w:t>029-33152065</w:t>
      </w:r>
    </w:p>
    <w:p>
      <w:pPr>
        <w:pStyle w:val="null3"/>
        <w:outlineLvl w:val="3"/>
      </w:pPr>
      <w:r>
        <w:rPr>
          <w:sz w:val="24"/>
          <w:b/>
        </w:rPr>
        <w:t>代理机构：</w:t>
      </w:r>
      <w:r>
        <w:rPr>
          <w:sz w:val="24"/>
          <w:b/>
        </w:rPr>
        <w:t>龙寰项目管理咨询有限公司</w:t>
      </w:r>
    </w:p>
    <w:p>
      <w:pPr>
        <w:pStyle w:val="null3"/>
      </w:pPr>
      <w:r>
        <w:rPr/>
        <w:t xml:space="preserve"> 地址： </w:t>
      </w:r>
      <w:r>
        <w:rPr/>
        <w:t>西安市雁塔区太白南路181号西部电子社区A座A区501室</w:t>
      </w:r>
    </w:p>
    <w:p>
      <w:pPr>
        <w:pStyle w:val="null3"/>
      </w:pPr>
      <w:r>
        <w:rPr/>
        <w:t xml:space="preserve"> 邮编： </w:t>
      </w:r>
      <w:r>
        <w:rPr/>
        <w:t>710000</w:t>
      </w:r>
    </w:p>
    <w:p>
      <w:pPr>
        <w:pStyle w:val="null3"/>
      </w:pPr>
      <w:r>
        <w:rPr/>
        <w:t xml:space="preserve"> 联系人： </w:t>
      </w:r>
      <w:r>
        <w:rPr/>
        <w:t>徐小宁、郑蕊、张波</w:t>
      </w:r>
    </w:p>
    <w:p>
      <w:pPr>
        <w:pStyle w:val="null3"/>
      </w:pPr>
      <w:r>
        <w:rPr/>
        <w:t xml:space="preserve"> 联系电话： </w:t>
      </w:r>
      <w:r>
        <w:rPr/>
        <w:t xml:space="preserve"> 029-88228899-643</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采购包1：2,392,000.00元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t xml:space="preserve">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说明：中标/成交通知书发出之日起 5 日内乙方以转账方式向甲方指定账户支付合同款的 5 %作为履约保证 金，经甲方最终书面验收合格后，乙方向甲方申请全额无息退还。</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参照国家发展计划委员会《招标代理服务收费管理暂行办法》（计价格[2002]1980号）文件和《国家发展改革委办公厅关于招标代理服务收费有关问题的通知》（发改办价格[2003]857号）文件规定标准收取。2、缴费账户：开户名称：龙寰项目管理咨询有限公司，开户银行：平安银行西安高新路支行，账号：30201278015918 。</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陕西工业职业技术学院</w:t>
      </w:r>
      <w:r>
        <w:rPr/>
        <w:t>和</w:t>
      </w:r>
      <w:r>
        <w:rPr/>
        <w:t>龙寰项目管理咨询有限公司</w:t>
      </w:r>
      <w:r>
        <w:rPr/>
        <w:t>享有。对磋商文件中供应商参加本次政府采购活动应当具备的条件，磋商项目技术、服务、商务及其他要求，评审细则及标准由</w:t>
      </w:r>
      <w:r>
        <w:rPr/>
        <w:t>陕西工业职业技术学院</w:t>
      </w:r>
      <w:r>
        <w:rPr/>
        <w:t>负责解释。除上述磋商文件内容，其他内容由</w:t>
      </w:r>
      <w:r>
        <w:rPr/>
        <w:t>龙寰项目管理咨询有限公司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一、“采购人”是指依法进行政府采购的各级国家机关、事业单位、团体组织。本次磋商的采购人是{采购人名称}。</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龙寰项目管理咨询有限公司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2.3.2磋商文件的澄清和修改</w:t>
      </w:r>
    </w:p>
    <w:p>
      <w:pPr>
        <w:pStyle w:val="null3"/>
        <w:ind w:firstLine="480"/>
      </w:pPr>
      <w:r>
        <w:rPr/>
        <w:t xml:space="preserve"> 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2.4.6响应文件格式</w:t>
      </w:r>
    </w:p>
    <w:p>
      <w:pPr>
        <w:pStyle w:val="null3"/>
        <w:ind w:firstLine="480"/>
      </w:pPr>
      <w:r>
        <w:rPr/>
        <w:t xml:space="preserve"> 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一、响应文件应当根据磋商文件进行编制。供应商应通过陕西省政府采购网--办事指南-CA及签章服务下载投标（响应）客户端，使用客户端编制响应文件。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 xml:space="preserve"> 一、供应商应当在提交响应文件截止时间前，通过项目电子化交易系统完成首次响应文件提交。</w:t>
      </w:r>
    </w:p>
    <w:p>
      <w:pPr>
        <w:pStyle w:val="null3"/>
        <w:ind w:firstLine="480"/>
      </w:pPr>
      <w:r>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 xml:space="preserve"> 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详见合同条款</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 xml:space="preserve"> 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 xml:space="preserve"> （三）不同供应商的响应文件载明的项目管理成员或者联系人员为同一人；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2.7.3采购人员及相关人员回避要求</w:t>
      </w:r>
    </w:p>
    <w:p>
      <w:pPr>
        <w:pStyle w:val="null3"/>
        <w:ind w:firstLine="480"/>
      </w:pPr>
      <w:r>
        <w:rPr/>
        <w:t xml:space="preserve"> 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 xml:space="preserve"> （四）与供应商的法定代表人或者负责人有夫妻、直系血亲、三代以内旁系血亲或者近姻亲关系；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龙寰项目管理咨询有限公司</w:t>
      </w:r>
      <w:r>
        <w:rPr/>
        <w:t xml:space="preserve"> 负责答复；供应商对采购过程的询问、质疑由</w:t>
      </w:r>
      <w:r>
        <w:rPr/>
        <w:t>龙寰项目管理咨询有限公司</w:t>
      </w:r>
      <w:r>
        <w:rPr/>
        <w:t xml:space="preserve"> 负责答复；供应商对采购结果的询问、质疑由 </w:t>
      </w:r>
      <w:r>
        <w:rPr/>
        <w:t>龙寰项目管理咨询有限公司</w:t>
      </w:r>
      <w:r>
        <w:rPr/>
        <w:t xml:space="preserve"> 负责答复。</w:t>
      </w:r>
    </w:p>
    <w:p>
      <w:pPr>
        <w:pStyle w:val="null3"/>
        <w:ind w:firstLine="480"/>
      </w:pPr>
      <w:r>
        <w:rPr/>
        <w:t xml:space="preserve"> 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联系人：徐小宁、郑蕊</w:t>
      </w:r>
    </w:p>
    <w:p>
      <w:pPr>
        <w:pStyle w:val="null3"/>
      </w:pPr>
      <w:r>
        <w:rPr/>
        <w:t>联系电话：029-88228899-643</w:t>
      </w:r>
    </w:p>
    <w:p>
      <w:pPr>
        <w:pStyle w:val="null3"/>
      </w:pPr>
      <w:r>
        <w:rPr/>
        <w:t>地址：西安市雁塔区太白南路181号西部电子社区A座A区501室</w:t>
      </w:r>
    </w:p>
    <w:p>
      <w:pPr>
        <w:pStyle w:val="null3"/>
      </w:pPr>
      <w:r>
        <w:rPr/>
        <w:t>邮编：710000</w:t>
      </w:r>
    </w:p>
    <w:p>
      <w:pPr>
        <w:pStyle w:val="null3"/>
        <w:ind w:firstLine="480"/>
      </w:pPr>
      <w:r>
        <w:rPr/>
        <w:t xml:space="preserve"> 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陕西工业职业技术学院大数据技术综合实训平台建设项目，详见采购文件技术要求。</w:t>
      </w:r>
    </w:p>
    <w:p>
      <w:pPr>
        <w:pStyle w:val="null3"/>
        <w:outlineLvl w:val="2"/>
      </w:pPr>
      <w:r>
        <w:rPr>
          <w:sz w:val="28"/>
          <w:b/>
        </w:rPr>
        <w:t>3.2采购内容</w:t>
      </w:r>
    </w:p>
    <w:p>
      <w:pPr>
        <w:pStyle w:val="null3"/>
      </w:pPr>
      <w:r>
        <w:rPr/>
        <w:t>采购包1：</w:t>
      </w:r>
    </w:p>
    <w:p>
      <w:pPr>
        <w:pStyle w:val="null3"/>
      </w:pPr>
      <w:r>
        <w:rPr/>
        <w:t>采购包预算金额（元）: 2,392,000.00</w:t>
      </w:r>
    </w:p>
    <w:p>
      <w:pPr>
        <w:pStyle w:val="null3"/>
      </w:pPr>
      <w:r>
        <w:rPr/>
        <w:t>采购包最高限价（元）: 2,392,000.00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大数据技术综合实训平台</w:t>
            </w:r>
          </w:p>
        </w:tc>
        <w:tc>
          <w:tcPr>
            <w:tcW w:type="dxa" w:w="831"/>
          </w:tcPr>
          <w:p>
            <w:pPr>
              <w:pStyle w:val="null3"/>
              <w:jc w:val="right"/>
            </w:pPr>
            <w:r>
              <w:rPr/>
              <w:t>1.00</w:t>
            </w:r>
          </w:p>
        </w:tc>
        <w:tc>
          <w:tcPr>
            <w:tcW w:type="dxa" w:w="831"/>
          </w:tcPr>
          <w:p>
            <w:pPr>
              <w:pStyle w:val="null3"/>
              <w:jc w:val="right"/>
            </w:pPr>
            <w:r>
              <w:rPr/>
              <w:t>2,392,000.00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标的名称：大数据技术综合实训平台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9"/>
              <w:gridCol w:w="339"/>
              <w:gridCol w:w="1587"/>
              <w:gridCol w:w="209"/>
              <w:gridCol w:w="209"/>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b/>
                      <w:color w:val="000000"/>
                    </w:rPr>
                    <w:t>序号</w:t>
                  </w:r>
                </w:p>
              </w:tc>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b/>
                      <w:color w:val="000000"/>
                    </w:rPr>
                    <w:t>设备名称</w:t>
                  </w:r>
                </w:p>
              </w:tc>
              <w:tc>
                <w:tcPr>
                  <w:tcW w:type="dxa" w:w="1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b/>
                      <w:color w:val="000000"/>
                    </w:rPr>
                    <w:t>技术参数</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b/>
                      <w:color w:val="000000"/>
                    </w:rPr>
                    <w:t>单位</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b/>
                      <w:color w:val="000000"/>
                    </w:rPr>
                    <w:t>数量</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平台管理节点</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18"/>
                    </w:rPr>
                    <w:t>配置：</w:t>
                  </w:r>
                  <w:r>
                    <w:rPr>
                      <w:rFonts w:ascii="宋体" w:hAnsi="宋体" w:cs="宋体" w:eastAsia="宋体"/>
                      <w:sz w:val="18"/>
                    </w:rPr>
                    <w:t>2颗CPU，性能至少满足2.1GHz/12-Core/18MB/120W</w:t>
                  </w:r>
                </w:p>
                <w:p>
                  <w:pPr>
                    <w:pStyle w:val="null3"/>
                    <w:numPr>
                      <w:ilvl w:val="0"/>
                      <w:numId w:val="1"/>
                    </w:numPr>
                    <w:jc w:val="both"/>
                  </w:pPr>
                  <w:r>
                    <w:rPr>
                      <w:rFonts w:ascii="宋体" w:hAnsi="宋体" w:cs="宋体" w:eastAsia="宋体"/>
                      <w:sz w:val="18"/>
                    </w:rPr>
                    <w:t>实配内存：</w:t>
                  </w:r>
                  <w:r>
                    <w:rPr>
                      <w:rFonts w:ascii="宋体" w:hAnsi="宋体" w:cs="宋体" w:eastAsia="宋体"/>
                      <w:sz w:val="18"/>
                    </w:rPr>
                    <w:t>≥128G。（16G*8）</w:t>
                  </w:r>
                </w:p>
                <w:p>
                  <w:pPr>
                    <w:pStyle w:val="null3"/>
                    <w:numPr>
                      <w:ilvl w:val="0"/>
                      <w:numId w:val="1"/>
                    </w:numPr>
                    <w:jc w:val="both"/>
                  </w:pPr>
                  <w:r>
                    <w:rPr>
                      <w:rFonts w:ascii="宋体" w:hAnsi="宋体" w:cs="宋体" w:eastAsia="宋体"/>
                      <w:sz w:val="18"/>
                    </w:rPr>
                    <w:t>配置：</w:t>
                  </w:r>
                  <w:r>
                    <w:rPr>
                      <w:rFonts w:ascii="宋体" w:hAnsi="宋体" w:cs="宋体" w:eastAsia="宋体"/>
                      <w:sz w:val="18"/>
                    </w:rPr>
                    <w:t>2块通用硬盘≥4000GB-SATA 6Gb/s-7.2K rpm-128MB或以上-3.5英寸(3.5英寸托架)</w:t>
                  </w:r>
                </w:p>
                <w:p>
                  <w:pPr>
                    <w:pStyle w:val="null3"/>
                    <w:numPr>
                      <w:ilvl w:val="0"/>
                      <w:numId w:val="1"/>
                    </w:numPr>
                    <w:jc w:val="both"/>
                  </w:pPr>
                  <w:r>
                    <w:rPr>
                      <w:rFonts w:ascii="宋体" w:hAnsi="宋体" w:cs="宋体" w:eastAsia="宋体"/>
                      <w:sz w:val="18"/>
                    </w:rPr>
                    <w:t>配置：</w:t>
                  </w:r>
                  <w:r>
                    <w:rPr>
                      <w:rFonts w:ascii="宋体" w:hAnsi="宋体" w:cs="宋体" w:eastAsia="宋体"/>
                      <w:sz w:val="18"/>
                    </w:rPr>
                    <w:t>≥RAID标卡-RAID0,1,5,6,10,50,60-1GB Cache-PCIe 3.0 x8</w:t>
                  </w:r>
                </w:p>
                <w:p>
                  <w:pPr>
                    <w:pStyle w:val="null3"/>
                    <w:numPr>
                      <w:ilvl w:val="0"/>
                      <w:numId w:val="1"/>
                    </w:numPr>
                    <w:jc w:val="both"/>
                  </w:pPr>
                  <w:r>
                    <w:rPr>
                      <w:rFonts w:ascii="宋体" w:hAnsi="宋体" w:cs="宋体" w:eastAsia="宋体"/>
                      <w:sz w:val="18"/>
                    </w:rPr>
                    <w:t>网卡：</w:t>
                  </w:r>
                  <w:r>
                    <w:rPr>
                      <w:rFonts w:ascii="宋体" w:hAnsi="宋体" w:cs="宋体" w:eastAsia="宋体"/>
                      <w:sz w:val="18"/>
                    </w:rPr>
                    <w:t>≥双端口千兆以太网卡</w:t>
                  </w:r>
                </w:p>
                <w:p>
                  <w:pPr>
                    <w:pStyle w:val="null3"/>
                    <w:numPr>
                      <w:ilvl w:val="0"/>
                      <w:numId w:val="1"/>
                    </w:numPr>
                    <w:jc w:val="both"/>
                  </w:pPr>
                  <w:r>
                    <w:rPr>
                      <w:rFonts w:ascii="宋体" w:hAnsi="宋体" w:cs="宋体" w:eastAsia="宋体"/>
                      <w:sz w:val="18"/>
                    </w:rPr>
                    <w:t>配置：</w:t>
                  </w:r>
                  <w:r>
                    <w:rPr>
                      <w:rFonts w:ascii="宋体" w:hAnsi="宋体" w:cs="宋体" w:eastAsia="宋体"/>
                      <w:sz w:val="18"/>
                    </w:rPr>
                    <w:t>≥900W电源*2</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台</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平台云节点</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8"/>
                      <w:color w:val="000000"/>
                    </w:rPr>
                    <w:t>1、配置：2颗CPU，性能至少满足2.3GHz/20-Core/30MB/150W</w:t>
                  </w:r>
                </w:p>
                <w:p>
                  <w:pPr>
                    <w:pStyle w:val="null3"/>
                    <w:jc w:val="left"/>
                  </w:pPr>
                  <w:r>
                    <w:rPr>
                      <w:rFonts w:ascii="宋体" w:hAnsi="宋体" w:cs="宋体" w:eastAsia="宋体"/>
                      <w:sz w:val="18"/>
                      <w:color w:val="000000"/>
                    </w:rPr>
                    <w:t>2、实配内存：</w:t>
                  </w:r>
                  <w:r>
                    <w:rPr>
                      <w:rFonts w:ascii="宋体" w:hAnsi="宋体" w:cs="宋体" w:eastAsia="宋体"/>
                      <w:sz w:val="18"/>
                    </w:rPr>
                    <w:t>≥</w:t>
                  </w:r>
                  <w:r>
                    <w:rPr>
                      <w:rFonts w:ascii="宋体" w:hAnsi="宋体" w:cs="宋体" w:eastAsia="宋体"/>
                      <w:sz w:val="18"/>
                      <w:color w:val="000000"/>
                    </w:rPr>
                    <w:t>128G。（16G*16）</w:t>
                  </w:r>
                </w:p>
                <w:p>
                  <w:pPr>
                    <w:pStyle w:val="null3"/>
                    <w:jc w:val="left"/>
                  </w:pPr>
                  <w:r>
                    <w:rPr>
                      <w:rFonts w:ascii="宋体" w:hAnsi="宋体" w:cs="宋体" w:eastAsia="宋体"/>
                      <w:sz w:val="18"/>
                      <w:color w:val="000000"/>
                    </w:rPr>
                    <w:t>3、配置：2块通用硬盘</w:t>
                  </w:r>
                  <w:r>
                    <w:rPr>
                      <w:rFonts w:ascii="宋体" w:hAnsi="宋体" w:cs="宋体" w:eastAsia="宋体"/>
                      <w:sz w:val="18"/>
                    </w:rPr>
                    <w:t>≥</w:t>
                  </w:r>
                  <w:r>
                    <w:rPr>
                      <w:rFonts w:ascii="宋体" w:hAnsi="宋体" w:cs="宋体" w:eastAsia="宋体"/>
                      <w:sz w:val="18"/>
                      <w:color w:val="000000"/>
                    </w:rPr>
                    <w:t>4000GB-SATA 6Gb/s-7.2K rpm-128MB或以上-3.5英寸(3.5英寸托架)</w:t>
                  </w:r>
                </w:p>
                <w:p>
                  <w:pPr>
                    <w:pStyle w:val="null3"/>
                    <w:jc w:val="left"/>
                  </w:pPr>
                  <w:r>
                    <w:rPr>
                      <w:rFonts w:ascii="宋体" w:hAnsi="宋体" w:cs="宋体" w:eastAsia="宋体"/>
                      <w:sz w:val="18"/>
                      <w:color w:val="000000"/>
                    </w:rPr>
                    <w:t>4、配置：</w:t>
                  </w:r>
                  <w:r>
                    <w:rPr>
                      <w:rFonts w:ascii="宋体" w:hAnsi="宋体" w:cs="宋体" w:eastAsia="宋体"/>
                      <w:sz w:val="18"/>
                    </w:rPr>
                    <w:t>≥</w:t>
                  </w:r>
                  <w:r>
                    <w:rPr>
                      <w:rFonts w:ascii="宋体" w:hAnsi="宋体" w:cs="宋体" w:eastAsia="宋体"/>
                      <w:sz w:val="18"/>
                      <w:color w:val="000000"/>
                    </w:rPr>
                    <w:t>RAID标卡-RAID0,1,5,6,10,50,60-1GB Cache-PCIe 3.0 x8</w:t>
                  </w:r>
                </w:p>
                <w:p>
                  <w:pPr>
                    <w:pStyle w:val="null3"/>
                    <w:jc w:val="left"/>
                  </w:pPr>
                  <w:r>
                    <w:rPr>
                      <w:rFonts w:ascii="宋体" w:hAnsi="宋体" w:cs="宋体" w:eastAsia="宋体"/>
                      <w:sz w:val="18"/>
                      <w:color w:val="000000"/>
                    </w:rPr>
                    <w:t>5、网卡：</w:t>
                  </w:r>
                  <w:r>
                    <w:rPr>
                      <w:rFonts w:ascii="宋体" w:hAnsi="宋体" w:cs="宋体" w:eastAsia="宋体"/>
                      <w:sz w:val="18"/>
                    </w:rPr>
                    <w:t>≥</w:t>
                  </w:r>
                  <w:r>
                    <w:rPr>
                      <w:rFonts w:ascii="宋体" w:hAnsi="宋体" w:cs="宋体" w:eastAsia="宋体"/>
                      <w:sz w:val="18"/>
                      <w:color w:val="000000"/>
                    </w:rPr>
                    <w:t>双端口千兆以太网卡</w:t>
                  </w:r>
                </w:p>
                <w:p>
                  <w:pPr>
                    <w:pStyle w:val="null3"/>
                    <w:jc w:val="left"/>
                  </w:pPr>
                  <w:r>
                    <w:rPr>
                      <w:rFonts w:ascii="宋体" w:hAnsi="宋体" w:cs="宋体" w:eastAsia="宋体"/>
                      <w:sz w:val="18"/>
                      <w:color w:val="000000"/>
                    </w:rPr>
                    <w:t>6、配置：</w:t>
                  </w:r>
                  <w:r>
                    <w:rPr>
                      <w:rFonts w:ascii="宋体" w:hAnsi="宋体" w:cs="宋体" w:eastAsia="宋体"/>
                      <w:sz w:val="18"/>
                    </w:rPr>
                    <w:t>≥</w:t>
                  </w:r>
                  <w:r>
                    <w:rPr>
                      <w:rFonts w:ascii="宋体" w:hAnsi="宋体" w:cs="宋体" w:eastAsia="宋体"/>
                      <w:sz w:val="18"/>
                      <w:color w:val="000000"/>
                    </w:rPr>
                    <w:t>900W电源*2</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台</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3</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智能交互平板</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宋体" w:hAnsi="宋体" w:cs="宋体" w:eastAsia="宋体"/>
                      <w:sz w:val="18"/>
                    </w:rPr>
                    <w:t>智能交互平板显示尺寸</w:t>
                  </w:r>
                  <w:r>
                    <w:rPr>
                      <w:rFonts w:ascii="宋体" w:hAnsi="宋体" w:cs="宋体" w:eastAsia="宋体"/>
                      <w:sz w:val="18"/>
                    </w:rPr>
                    <w:t>≥86英寸，分辨率≥3840*2160 ，可视角度≥178°；</w:t>
                  </w:r>
                </w:p>
                <w:p>
                  <w:pPr>
                    <w:pStyle w:val="null3"/>
                    <w:numPr>
                      <w:ilvl w:val="0"/>
                      <w:numId w:val="1"/>
                    </w:numPr>
                  </w:pPr>
                  <w:r>
                    <w:rPr>
                      <w:rFonts w:ascii="宋体" w:hAnsi="宋体" w:cs="宋体" w:eastAsia="宋体"/>
                      <w:sz w:val="18"/>
                    </w:rPr>
                    <w:t>采用红外触控技术，在双系统下均支持</w:t>
                  </w:r>
                  <w:r>
                    <w:rPr>
                      <w:rFonts w:ascii="宋体" w:hAnsi="宋体" w:cs="宋体" w:eastAsia="宋体"/>
                      <w:sz w:val="18"/>
                    </w:rPr>
                    <w:t>≧40点同时触控及书写;书写区域被手、书本等较大物体遮挡，仍可以正常书写、操作。</w:t>
                  </w:r>
                </w:p>
                <w:p>
                  <w:pPr>
                    <w:pStyle w:val="null3"/>
                    <w:numPr>
                      <w:ilvl w:val="0"/>
                      <w:numId w:val="1"/>
                    </w:numPr>
                  </w:pPr>
                  <w:r>
                    <w:rPr>
                      <w:rFonts w:ascii="宋体" w:hAnsi="宋体" w:cs="宋体" w:eastAsia="宋体"/>
                      <w:sz w:val="18"/>
                    </w:rPr>
                    <w:t>智能交互平板屏幕表面采用</w:t>
                  </w:r>
                  <w:r>
                    <w:rPr>
                      <w:rFonts w:ascii="宋体" w:hAnsi="宋体" w:cs="宋体" w:eastAsia="宋体"/>
                      <w:sz w:val="18"/>
                    </w:rPr>
                    <w:t>≤4.Omm 防眩光钢化玻璃,透光率≥90%,雾度≤8%,屏体表面强度≥100MPa；</w:t>
                  </w:r>
                </w:p>
                <w:p>
                  <w:pPr>
                    <w:pStyle w:val="null3"/>
                    <w:numPr>
                      <w:ilvl w:val="0"/>
                      <w:numId w:val="1"/>
                    </w:numPr>
                  </w:pPr>
                  <w:r>
                    <w:rPr>
                      <w:rFonts w:ascii="宋体" w:hAnsi="宋体" w:cs="宋体" w:eastAsia="宋体"/>
                      <w:sz w:val="18"/>
                    </w:rPr>
                    <w:t>智能交互平板双侧边框宽度</w:t>
                  </w:r>
                  <w:r>
                    <w:rPr>
                      <w:rFonts w:ascii="宋体" w:hAnsi="宋体" w:cs="宋体" w:eastAsia="宋体"/>
                      <w:sz w:val="18"/>
                    </w:rPr>
                    <w:t>≤17mm，提升视觉效果及教学沉浸感。</w:t>
                  </w:r>
                </w:p>
                <w:p>
                  <w:pPr>
                    <w:pStyle w:val="null3"/>
                    <w:numPr>
                      <w:ilvl w:val="0"/>
                      <w:numId w:val="1"/>
                    </w:numPr>
                  </w:pPr>
                  <w:r>
                    <w:rPr>
                      <w:rFonts w:ascii="宋体" w:hAnsi="宋体" w:cs="宋体" w:eastAsia="宋体"/>
                      <w:sz w:val="18"/>
                    </w:rPr>
                    <w:t>智能交互平板前面板至少具备</w:t>
                  </w:r>
                  <w:r>
                    <w:rPr>
                      <w:rFonts w:ascii="宋体" w:hAnsi="宋体" w:cs="宋体" w:eastAsia="宋体"/>
                      <w:sz w:val="18"/>
                    </w:rPr>
                    <w:t>1路HDMI接口（非转接），2路USB3.0接口，1路USB Type-c接口；</w:t>
                  </w:r>
                </w:p>
                <w:p>
                  <w:pPr>
                    <w:pStyle w:val="null3"/>
                    <w:numPr>
                      <w:ilvl w:val="0"/>
                      <w:numId w:val="1"/>
                    </w:numPr>
                  </w:pPr>
                  <w:r>
                    <w:rPr>
                      <w:rFonts w:ascii="宋体" w:hAnsi="宋体" w:cs="宋体" w:eastAsia="宋体"/>
                      <w:sz w:val="18"/>
                    </w:rPr>
                    <w:t>智能交互平板后置标配</w:t>
                  </w:r>
                  <w:r>
                    <w:rPr>
                      <w:rFonts w:ascii="宋体" w:hAnsi="宋体" w:cs="宋体" w:eastAsia="宋体"/>
                      <w:sz w:val="18"/>
                    </w:rPr>
                    <w:t>VGA输入≥1路，HDMI输入≥1路（需提供CMA或CNAS认证检测机构出具的检测报告并加盖公章）。</w:t>
                  </w:r>
                </w:p>
                <w:p>
                  <w:pPr>
                    <w:pStyle w:val="null3"/>
                    <w:numPr>
                      <w:ilvl w:val="0"/>
                      <w:numId w:val="1"/>
                    </w:numPr>
                  </w:pPr>
                  <w:r>
                    <w:rPr>
                      <w:rFonts w:ascii="宋体" w:hAnsi="宋体" w:cs="宋体" w:eastAsia="宋体"/>
                      <w:sz w:val="18"/>
                    </w:rPr>
                    <w:t>智能交互平板具有通屏笔槽结构，可放置书写笔、粉笔、水性笔等。</w:t>
                  </w:r>
                </w:p>
                <w:p>
                  <w:pPr>
                    <w:pStyle w:val="null3"/>
                    <w:numPr>
                      <w:ilvl w:val="0"/>
                      <w:numId w:val="1"/>
                    </w:numPr>
                  </w:pPr>
                  <w:r>
                    <w:rPr>
                      <w:rFonts w:ascii="宋体" w:hAnsi="宋体" w:cs="宋体" w:eastAsia="宋体"/>
                      <w:sz w:val="18"/>
                    </w:rPr>
                    <w:t>智能交互平板前置中文物理按键</w:t>
                  </w:r>
                  <w:r>
                    <w:rPr>
                      <w:rFonts w:ascii="宋体" w:hAnsi="宋体" w:cs="宋体" w:eastAsia="宋体"/>
                      <w:sz w:val="18"/>
                    </w:rPr>
                    <w:t>≥7个，可实现音量加减、窗口关闭、触控开关等功能；</w:t>
                  </w:r>
                </w:p>
                <w:p>
                  <w:pPr>
                    <w:pStyle w:val="null3"/>
                    <w:numPr>
                      <w:ilvl w:val="0"/>
                      <w:numId w:val="1"/>
                    </w:numPr>
                  </w:pPr>
                  <w:r>
                    <w:rPr>
                      <w:rFonts w:ascii="宋体" w:hAnsi="宋体" w:cs="宋体" w:eastAsia="宋体"/>
                      <w:sz w:val="18"/>
                    </w:rPr>
                    <w:t>智能交互平板包含</w:t>
                  </w:r>
                  <w:r>
                    <w:rPr>
                      <w:rFonts w:ascii="宋体" w:hAnsi="宋体" w:cs="宋体" w:eastAsia="宋体"/>
                      <w:sz w:val="18"/>
                    </w:rPr>
                    <w:t>≥2.4G 、5G双频Wi-Fi及蓝牙接发装置，内置Wi-Fi6无线网卡，在Android和Windows系统下，可实现Wi-Fi无线上网连接、AP无线热点发射，在Android和Windows系统下支持无线设备同时连接数量≥30个。</w:t>
                  </w:r>
                </w:p>
                <w:p>
                  <w:pPr>
                    <w:pStyle w:val="null3"/>
                    <w:numPr>
                      <w:ilvl w:val="0"/>
                      <w:numId w:val="1"/>
                    </w:numPr>
                  </w:pPr>
                  <w:r>
                    <w:rPr>
                      <w:rFonts w:ascii="宋体" w:hAnsi="宋体" w:cs="宋体" w:eastAsia="宋体"/>
                      <w:sz w:val="18"/>
                    </w:rPr>
                    <w:t>内置蓝牙</w:t>
                  </w:r>
                  <w:r>
                    <w:rPr>
                      <w:rFonts w:ascii="宋体" w:hAnsi="宋体" w:cs="宋体" w:eastAsia="宋体"/>
                      <w:sz w:val="18"/>
                    </w:rPr>
                    <w:t>Bluetooth5.4模块，支持连接外部蓝牙音箱播放音频，工作距离≥12米（提供具有CMA或CNAS标识的检测报告复印件并加盖公章）。</w:t>
                  </w:r>
                </w:p>
                <w:p>
                  <w:pPr>
                    <w:pStyle w:val="null3"/>
                    <w:numPr>
                      <w:ilvl w:val="0"/>
                      <w:numId w:val="1"/>
                    </w:numPr>
                  </w:pPr>
                  <w:r>
                    <w:rPr>
                      <w:rFonts w:ascii="宋体" w:hAnsi="宋体" w:cs="宋体" w:eastAsia="宋体"/>
                      <w:sz w:val="18"/>
                    </w:rPr>
                    <w:t>设备采用前拆结构设计，无需打开智能交互平板背板，前置接口面板和前置按键面板支持单独前拆。</w:t>
                  </w:r>
                </w:p>
                <w:p>
                  <w:pPr>
                    <w:pStyle w:val="null3"/>
                    <w:numPr>
                      <w:ilvl w:val="0"/>
                      <w:numId w:val="1"/>
                    </w:numPr>
                  </w:pPr>
                  <w:r>
                    <w:rPr>
                      <w:rFonts w:ascii="宋体" w:hAnsi="宋体" w:cs="宋体" w:eastAsia="宋体"/>
                      <w:sz w:val="18"/>
                    </w:rPr>
                    <w:t>前置</w:t>
                  </w:r>
                  <w:r>
                    <w:rPr>
                      <w:rFonts w:ascii="宋体" w:hAnsi="宋体" w:cs="宋体" w:eastAsia="宋体"/>
                      <w:sz w:val="18"/>
                    </w:rPr>
                    <w:t>U盘接口需采用隐藏式设计，具有翻转式防护盖板，盖板高度≥4cm。为方便不同厚度U盘接入，开合角度≥90°。</w:t>
                  </w:r>
                </w:p>
                <w:p>
                  <w:pPr>
                    <w:pStyle w:val="null3"/>
                    <w:numPr>
                      <w:ilvl w:val="0"/>
                      <w:numId w:val="1"/>
                    </w:numPr>
                  </w:pPr>
                  <w:r>
                    <w:rPr>
                      <w:rFonts w:ascii="宋体" w:hAnsi="宋体" w:cs="宋体" w:eastAsia="宋体"/>
                      <w:sz w:val="18"/>
                    </w:rPr>
                    <w:t>智能交互平板具备前置电脑还原按键，为避免误碰按键采用针孔式设计，并配有中文标识。</w:t>
                  </w:r>
                </w:p>
                <w:p>
                  <w:pPr>
                    <w:pStyle w:val="null3"/>
                    <w:numPr>
                      <w:ilvl w:val="0"/>
                      <w:numId w:val="1"/>
                    </w:numPr>
                  </w:pPr>
                  <w:r>
                    <w:rPr>
                      <w:rFonts w:ascii="宋体" w:hAnsi="宋体" w:cs="宋体" w:eastAsia="宋体"/>
                      <w:sz w:val="18"/>
                    </w:rPr>
                    <w:t>采用针孔阵列发声设计，智能交互平板下边框具有</w:t>
                  </w:r>
                  <w:r>
                    <w:rPr>
                      <w:rFonts w:ascii="宋体" w:hAnsi="宋体" w:cs="宋体" w:eastAsia="宋体"/>
                      <w:sz w:val="18"/>
                    </w:rPr>
                    <w:t>4个发声单元，总功率≥40W, 扬声器在100%音量下，1米处声压级≥90dB，10米处声压级≥80dB；谐振频率不高于260Hz。</w:t>
                  </w:r>
                </w:p>
                <w:p>
                  <w:pPr>
                    <w:pStyle w:val="null3"/>
                    <w:numPr>
                      <w:ilvl w:val="0"/>
                      <w:numId w:val="1"/>
                    </w:numPr>
                  </w:pPr>
                  <w:r>
                    <w:rPr>
                      <w:rFonts w:ascii="宋体" w:hAnsi="宋体" w:cs="宋体" w:eastAsia="宋体"/>
                      <w:sz w:val="18"/>
                    </w:rPr>
                    <w:t>智能交互平板具备</w:t>
                  </w:r>
                  <w:r>
                    <w:rPr>
                      <w:rFonts w:ascii="宋体" w:hAnsi="宋体" w:cs="宋体" w:eastAsia="宋体"/>
                      <w:sz w:val="18"/>
                    </w:rPr>
                    <w:t>≥12核芯片驱动，≥8核CPU,≥4核GPU;Android系统版本≥14.0，内存≥2G，存储≥8G。</w:t>
                  </w:r>
                </w:p>
                <w:p>
                  <w:pPr>
                    <w:pStyle w:val="null3"/>
                    <w:numPr>
                      <w:ilvl w:val="0"/>
                      <w:numId w:val="1"/>
                    </w:numPr>
                  </w:pPr>
                  <w:r>
                    <w:rPr>
                      <w:rFonts w:ascii="宋体" w:hAnsi="宋体" w:cs="宋体" w:eastAsia="宋体"/>
                      <w:sz w:val="18"/>
                    </w:rPr>
                    <w:t>内置一体化超高清</w:t>
                  </w:r>
                  <w:r>
                    <w:rPr>
                      <w:rFonts w:ascii="宋体" w:hAnsi="宋体" w:cs="宋体" w:eastAsia="宋体"/>
                      <w:sz w:val="18"/>
                    </w:rPr>
                    <w:t>4K摄像头，摄像头有效像素≥1800W，可输出最大分辨≥5104*3864的图片与视频，支持2D降噪，支持扫描二维码功能，支持搭配AI软件(击鼓传花、班里挑一）使用，识别距离≥10米,识别人数≥50个；</w:t>
                  </w:r>
                </w:p>
                <w:p>
                  <w:pPr>
                    <w:pStyle w:val="null3"/>
                    <w:numPr>
                      <w:ilvl w:val="0"/>
                      <w:numId w:val="1"/>
                    </w:numPr>
                  </w:pPr>
                  <w:r>
                    <w:rPr>
                      <w:rFonts w:ascii="宋体" w:hAnsi="宋体" w:cs="宋体" w:eastAsia="宋体"/>
                      <w:sz w:val="18"/>
                    </w:rPr>
                    <w:t>内置</w:t>
                  </w:r>
                  <w:r>
                    <w:rPr>
                      <w:rFonts w:ascii="宋体" w:hAnsi="宋体" w:cs="宋体" w:eastAsia="宋体"/>
                      <w:sz w:val="18"/>
                    </w:rPr>
                    <w:t>4阵列麦克风，拾音角度≥180°，全向拾音距离最大可达10米。</w:t>
                  </w:r>
                </w:p>
                <w:p>
                  <w:pPr>
                    <w:pStyle w:val="null3"/>
                    <w:numPr>
                      <w:ilvl w:val="0"/>
                      <w:numId w:val="1"/>
                    </w:numPr>
                  </w:pPr>
                  <w:r>
                    <w:rPr>
                      <w:rFonts w:ascii="宋体" w:hAnsi="宋体" w:cs="宋体" w:eastAsia="宋体"/>
                      <w:sz w:val="18"/>
                    </w:rPr>
                    <w:t>具备双侧快捷键功能，支持快捷键单侧显示或双侧同时显示模式，数量各不少于</w:t>
                  </w:r>
                  <w:r>
                    <w:rPr>
                      <w:rFonts w:ascii="宋体" w:hAnsi="宋体" w:cs="宋体" w:eastAsia="宋体"/>
                      <w:sz w:val="18"/>
                    </w:rPr>
                    <w:t>15个，可设置快捷键自动隐藏时间与自定义按键功能；该快捷键至少具有关闭窗口、展台、桌面、多屏互动等教学常用按键。</w:t>
                  </w:r>
                </w:p>
                <w:p>
                  <w:pPr>
                    <w:pStyle w:val="null3"/>
                    <w:numPr>
                      <w:ilvl w:val="0"/>
                      <w:numId w:val="1"/>
                    </w:numPr>
                  </w:pPr>
                  <w:r>
                    <w:rPr>
                      <w:rFonts w:ascii="宋体" w:hAnsi="宋体" w:cs="宋体" w:eastAsia="宋体"/>
                      <w:sz w:val="18"/>
                    </w:rPr>
                    <w:t>具有悬浮菜单，在任意信号源通道下均可调用触摸悬浮菜单。悬浮菜单可进行自定义分组，可添加展台、白板、信号源、文件浏览器、截屏、聚光灯、放大镜、多任务、</w:t>
                  </w:r>
                  <w:r>
                    <w:rPr>
                      <w:rFonts w:ascii="宋体" w:hAnsi="宋体" w:cs="宋体" w:eastAsia="宋体"/>
                      <w:sz w:val="18"/>
                    </w:rPr>
                    <w:t>AI互动软件等不少于30个应用。（提供生产厂家出具的、相应的功能证明材料,包括但不限于测试报告、官网和功能截图等）</w:t>
                  </w:r>
                </w:p>
                <w:p>
                  <w:pPr>
                    <w:pStyle w:val="null3"/>
                    <w:numPr>
                      <w:ilvl w:val="0"/>
                      <w:numId w:val="1"/>
                    </w:numPr>
                  </w:pPr>
                  <w:r>
                    <w:rPr>
                      <w:rFonts w:ascii="宋体" w:hAnsi="宋体" w:cs="宋体" w:eastAsia="宋体"/>
                      <w:sz w:val="18"/>
                    </w:rPr>
                    <w:t>支持</w:t>
                  </w:r>
                  <w:r>
                    <w:rPr>
                      <w:rFonts w:ascii="宋体" w:hAnsi="宋体" w:cs="宋体" w:eastAsia="宋体"/>
                      <w:sz w:val="18"/>
                    </w:rPr>
                    <w:t>Android、IOS、Windows系统的投屏画面，可支持不少于6个终端设备同时投屏，并自动分屏排布，可将任意一路画面全屏播放，并支持所投视频音频同时播放；支持多手机同时连接交互显示设备，可设置指定设备为主控设备；</w:t>
                  </w:r>
                </w:p>
                <w:p>
                  <w:pPr>
                    <w:pStyle w:val="null3"/>
                    <w:numPr>
                      <w:ilvl w:val="0"/>
                      <w:numId w:val="1"/>
                    </w:numPr>
                  </w:pPr>
                  <w:r>
                    <w:rPr>
                      <w:rFonts w:ascii="宋体" w:hAnsi="宋体" w:cs="宋体" w:eastAsia="宋体"/>
                      <w:sz w:val="18"/>
                    </w:rPr>
                    <w:t>智能交互平板触摸支持动态压力模拟，支持无任何电子功能的普通书写笔，在交互平板上书写或点压时，整机能感应压力变化，书写或点压过程笔迹呈现不同粗细。</w:t>
                  </w:r>
                </w:p>
                <w:p>
                  <w:pPr>
                    <w:pStyle w:val="null3"/>
                    <w:numPr>
                      <w:ilvl w:val="0"/>
                      <w:numId w:val="1"/>
                    </w:numPr>
                  </w:pPr>
                  <w:r>
                    <w:rPr>
                      <w:rFonts w:ascii="宋体" w:hAnsi="宋体" w:cs="宋体" w:eastAsia="宋体"/>
                      <w:sz w:val="18"/>
                    </w:rPr>
                    <w:t>采用物理防蓝光技术，在源头减少有害蓝光波段能量，有害蓝光波长</w:t>
                  </w:r>
                  <w:r>
                    <w:rPr>
                      <w:rFonts w:ascii="宋体" w:hAnsi="宋体" w:cs="宋体" w:eastAsia="宋体"/>
                      <w:sz w:val="18"/>
                    </w:rPr>
                    <w:t>415～455nm＜50%，低蓝光模式屏幕色温无变化。符合GB 40070-2021视力防护标准，蓝光危害为RGO豁免级;亮度均匀性≥70%，闪烁等级≤-30dB；</w:t>
                  </w:r>
                </w:p>
                <w:p>
                  <w:pPr>
                    <w:pStyle w:val="null3"/>
                    <w:numPr>
                      <w:ilvl w:val="0"/>
                      <w:numId w:val="1"/>
                    </w:numPr>
                  </w:pPr>
                  <w:r>
                    <w:rPr>
                      <w:rFonts w:ascii="宋体" w:hAnsi="宋体" w:cs="宋体" w:eastAsia="宋体"/>
                      <w:sz w:val="18"/>
                    </w:rPr>
                    <w:t>通过</w:t>
                  </w:r>
                  <w:r>
                    <w:rPr>
                      <w:rFonts w:ascii="宋体" w:hAnsi="宋体" w:cs="宋体" w:eastAsia="宋体"/>
                      <w:sz w:val="18"/>
                    </w:rPr>
                    <w:t>DC调光技术,多级亮度调节，白色背景下最暗亮度≤100nit,实现稳定光源无频闪，摄像设备拍摄时画面无条纹闪烁；</w:t>
                  </w:r>
                </w:p>
                <w:p>
                  <w:pPr>
                    <w:pStyle w:val="null3"/>
                    <w:numPr>
                      <w:ilvl w:val="0"/>
                      <w:numId w:val="1"/>
                    </w:numPr>
                  </w:pPr>
                  <w:r>
                    <w:rPr>
                      <w:rFonts w:ascii="宋体" w:hAnsi="宋体" w:cs="宋体" w:eastAsia="宋体"/>
                      <w:sz w:val="18"/>
                    </w:rPr>
                    <w:t>具备</w:t>
                  </w:r>
                  <w:r>
                    <w:rPr>
                      <w:rFonts w:ascii="宋体" w:hAnsi="宋体" w:cs="宋体" w:eastAsia="宋体"/>
                      <w:sz w:val="18"/>
                    </w:rPr>
                    <w:t>ECO光感模块，在关闭推拉黑板，可自动进入黑屏节能模式，并可自主选择时间间隔。</w:t>
                  </w:r>
                </w:p>
                <w:p>
                  <w:pPr>
                    <w:pStyle w:val="null3"/>
                    <w:numPr>
                      <w:ilvl w:val="0"/>
                      <w:numId w:val="1"/>
                    </w:numPr>
                  </w:pPr>
                  <w:r>
                    <w:rPr>
                      <w:rFonts w:ascii="宋体" w:hAnsi="宋体" w:cs="宋体" w:eastAsia="宋体"/>
                      <w:sz w:val="18"/>
                    </w:rPr>
                    <w:t>通电不开机状态下，开机速度</w:t>
                  </w:r>
                  <w:r>
                    <w:rPr>
                      <w:rFonts w:ascii="宋体" w:hAnsi="宋体" w:cs="宋体" w:eastAsia="宋体"/>
                      <w:sz w:val="18"/>
                    </w:rPr>
                    <w:t>≤1s，设备支持多种开关机模式，定时开关机时间可自行设定；具备自动关机功能，在无操作或无信号输入15分钟时,出现关机提示倒计时;在无操作或无信号输入30分钟时，自动关机。</w:t>
                  </w:r>
                </w:p>
                <w:p>
                  <w:pPr>
                    <w:pStyle w:val="null3"/>
                    <w:numPr>
                      <w:ilvl w:val="0"/>
                      <w:numId w:val="1"/>
                    </w:numPr>
                  </w:pPr>
                  <w:r>
                    <w:rPr>
                      <w:rFonts w:ascii="宋体" w:hAnsi="宋体" w:cs="宋体" w:eastAsia="宋体"/>
                      <w:sz w:val="18"/>
                    </w:rPr>
                    <w:t>可一键进行硬件系统自动检测</w:t>
                  </w:r>
                  <w:r>
                    <w:rPr>
                      <w:rFonts w:ascii="宋体" w:hAnsi="宋体" w:cs="宋体" w:eastAsia="宋体"/>
                      <w:sz w:val="18"/>
                    </w:rPr>
                    <w:t>,对系统内存、存储空间、屏体温度、触控系统、光感系统、CPU使用情况、内存使用情况等提供直观的状态，可扫描系统提供的二维码进行报修,并可提供故障提示。</w:t>
                  </w:r>
                </w:p>
                <w:p>
                  <w:pPr>
                    <w:pStyle w:val="null3"/>
                    <w:numPr>
                      <w:ilvl w:val="0"/>
                      <w:numId w:val="1"/>
                    </w:numPr>
                  </w:pPr>
                  <w:r>
                    <w:rPr>
                      <w:rFonts w:ascii="宋体" w:hAnsi="宋体" w:cs="宋体" w:eastAsia="宋体"/>
                      <w:sz w:val="18"/>
                    </w:rPr>
                    <w:t>内置电脑</w:t>
                  </w:r>
                </w:p>
                <w:p>
                  <w:pPr>
                    <w:pStyle w:val="null3"/>
                    <w:numPr>
                      <w:ilvl w:val="0"/>
                      <w:numId w:val="1"/>
                    </w:numPr>
                  </w:pPr>
                  <w:r>
                    <w:rPr>
                      <w:rFonts w:ascii="宋体" w:hAnsi="宋体" w:cs="宋体" w:eastAsia="宋体"/>
                      <w:sz w:val="18"/>
                    </w:rPr>
                    <w:t>采用</w:t>
                  </w:r>
                  <w:r>
                    <w:rPr>
                      <w:rFonts w:ascii="宋体" w:hAnsi="宋体" w:cs="宋体" w:eastAsia="宋体"/>
                      <w:sz w:val="18"/>
                    </w:rPr>
                    <w:t>80pin Intel通用标准接口,即插即用，易于维护。</w:t>
                  </w:r>
                </w:p>
                <w:p>
                  <w:pPr>
                    <w:pStyle w:val="null3"/>
                    <w:numPr>
                      <w:ilvl w:val="0"/>
                      <w:numId w:val="1"/>
                    </w:numPr>
                  </w:pPr>
                  <w:r>
                    <w:rPr>
                      <w:rFonts w:ascii="宋体" w:hAnsi="宋体" w:cs="宋体" w:eastAsia="宋体"/>
                      <w:sz w:val="18"/>
                    </w:rPr>
                    <w:t>尺寸长度</w:t>
                  </w:r>
                  <w:r>
                    <w:rPr>
                      <w:rFonts w:ascii="宋体" w:hAnsi="宋体" w:cs="宋体" w:eastAsia="宋体"/>
                      <w:sz w:val="18"/>
                    </w:rPr>
                    <w:t>≥220mm，厚度≤30mm。</w:t>
                  </w:r>
                </w:p>
                <w:p>
                  <w:pPr>
                    <w:pStyle w:val="null3"/>
                    <w:numPr>
                      <w:ilvl w:val="0"/>
                      <w:numId w:val="1"/>
                    </w:numPr>
                  </w:pPr>
                  <w:r>
                    <w:rPr>
                      <w:rFonts w:ascii="宋体" w:hAnsi="宋体" w:cs="宋体" w:eastAsia="宋体"/>
                      <w:sz w:val="18"/>
                    </w:rPr>
                    <w:t>CPU采用≥Intel第12代及以上平台处理器酷睿I5处理器，内存：≥8G DDR4，硬盘：≥256G SSD固态硬盘。</w:t>
                  </w:r>
                </w:p>
                <w:p>
                  <w:pPr>
                    <w:pStyle w:val="null3"/>
                    <w:numPr>
                      <w:ilvl w:val="0"/>
                      <w:numId w:val="1"/>
                    </w:numPr>
                  </w:pPr>
                  <w:r>
                    <w:rPr>
                      <w:rFonts w:ascii="宋体" w:hAnsi="宋体" w:cs="宋体" w:eastAsia="宋体"/>
                      <w:sz w:val="18"/>
                    </w:rPr>
                    <w:t>接口：整机非外扩展具备</w:t>
                  </w:r>
                  <w:r>
                    <w:rPr>
                      <w:rFonts w:ascii="宋体" w:hAnsi="宋体" w:cs="宋体" w:eastAsia="宋体"/>
                      <w:sz w:val="18"/>
                    </w:rPr>
                    <w:t>≥5个USB接口；具有独立非外扩展的视频输出接口：≥1路HDMI等。</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台</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平台终端</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1.处理器≥英特尔酷睿 i7-14700 处理器</w:t>
                  </w:r>
                </w:p>
                <w:p>
                  <w:pPr>
                    <w:pStyle w:val="null3"/>
                    <w:jc w:val="both"/>
                  </w:pPr>
                  <w:r>
                    <w:rPr>
                      <w:rFonts w:ascii="宋体" w:hAnsi="宋体" w:cs="宋体" w:eastAsia="宋体"/>
                      <w:sz w:val="18"/>
                    </w:rPr>
                    <w:t>2.主板≥Intel Q670芯片组</w:t>
                  </w:r>
                </w:p>
                <w:p>
                  <w:pPr>
                    <w:pStyle w:val="null3"/>
                    <w:jc w:val="both"/>
                  </w:pPr>
                  <w:r>
                    <w:rPr>
                      <w:rFonts w:ascii="宋体" w:hAnsi="宋体" w:cs="宋体" w:eastAsia="宋体"/>
                      <w:sz w:val="18"/>
                    </w:rPr>
                    <w:t>3.内存≥ 32G DDR5  4800内存</w:t>
                  </w:r>
                </w:p>
                <w:p>
                  <w:pPr>
                    <w:pStyle w:val="null3"/>
                    <w:jc w:val="both"/>
                  </w:pPr>
                  <w:r>
                    <w:rPr>
                      <w:rFonts w:ascii="宋体" w:hAnsi="宋体" w:cs="宋体" w:eastAsia="宋体"/>
                      <w:sz w:val="18"/>
                    </w:rPr>
                    <w:t>4.硬盘≥ M.2 512GB固态硬盘，1TB 机械硬盘 。</w:t>
                  </w:r>
                </w:p>
                <w:p>
                  <w:pPr>
                    <w:pStyle w:val="null3"/>
                    <w:jc w:val="both"/>
                  </w:pPr>
                  <w:r>
                    <w:rPr>
                      <w:rFonts w:ascii="宋体" w:hAnsi="宋体" w:cs="宋体" w:eastAsia="宋体"/>
                      <w:sz w:val="18"/>
                    </w:rPr>
                    <w:t>5.显卡：集成显卡</w:t>
                  </w:r>
                </w:p>
                <w:p>
                  <w:pPr>
                    <w:pStyle w:val="null3"/>
                    <w:jc w:val="both"/>
                  </w:pPr>
                  <w:r>
                    <w:rPr>
                      <w:rFonts w:ascii="宋体" w:hAnsi="宋体" w:cs="宋体" w:eastAsia="宋体"/>
                      <w:sz w:val="18"/>
                    </w:rPr>
                    <w:t>6.网卡：主板集成1000M以太网卡</w:t>
                  </w:r>
                </w:p>
                <w:p>
                  <w:pPr>
                    <w:pStyle w:val="null3"/>
                    <w:jc w:val="both"/>
                  </w:pPr>
                  <w:r>
                    <w:rPr>
                      <w:rFonts w:ascii="宋体" w:hAnsi="宋体" w:cs="宋体" w:eastAsia="宋体"/>
                      <w:sz w:val="18"/>
                    </w:rPr>
                    <w:t>7.声卡：主板集成，高保真音频</w:t>
                  </w:r>
                </w:p>
                <w:p>
                  <w:pPr>
                    <w:pStyle w:val="null3"/>
                    <w:jc w:val="both"/>
                  </w:pPr>
                  <w:r>
                    <w:rPr>
                      <w:rFonts w:ascii="宋体" w:hAnsi="宋体" w:cs="宋体" w:eastAsia="宋体"/>
                      <w:sz w:val="18"/>
                    </w:rPr>
                    <w:t xml:space="preserve">8.端口≥ 1个PCIe 3.0 x1, 1个PCIe 4.0 x16 ，前置≥ 4个USB 3.2，其中至少包含1个TYPE-C USB端口；后置≥ 5个usb2.0，≥ 1个 DP+1个HDMI视频接口  </w:t>
                  </w:r>
                </w:p>
                <w:p>
                  <w:pPr>
                    <w:pStyle w:val="null3"/>
                    <w:jc w:val="both"/>
                  </w:pPr>
                  <w:r>
                    <w:rPr>
                      <w:rFonts w:ascii="宋体" w:hAnsi="宋体" w:cs="宋体" w:eastAsia="宋体"/>
                      <w:sz w:val="18"/>
                    </w:rPr>
                    <w:t>9.键鼠：原厂USB接口防水抗菌键盘、USB接口光电鼠标</w:t>
                  </w:r>
                </w:p>
                <w:p>
                  <w:pPr>
                    <w:pStyle w:val="null3"/>
                    <w:jc w:val="both"/>
                  </w:pPr>
                  <w:r>
                    <w:rPr>
                      <w:rFonts w:ascii="宋体" w:hAnsi="宋体" w:cs="宋体" w:eastAsia="宋体"/>
                      <w:sz w:val="18"/>
                    </w:rPr>
                    <w:t>10.电源≥400W 内置电源，最高 90% 能效、有源 PFC</w:t>
                  </w:r>
                </w:p>
                <w:p>
                  <w:pPr>
                    <w:pStyle w:val="null3"/>
                    <w:jc w:val="both"/>
                  </w:pPr>
                  <w:r>
                    <w:rPr>
                      <w:rFonts w:ascii="宋体" w:hAnsi="宋体" w:cs="宋体" w:eastAsia="宋体"/>
                      <w:sz w:val="18"/>
                    </w:rPr>
                    <w:t>11.机箱≤16L</w:t>
                  </w:r>
                </w:p>
                <w:p>
                  <w:pPr>
                    <w:pStyle w:val="null3"/>
                    <w:jc w:val="both"/>
                  </w:pPr>
                  <w:r>
                    <w:rPr>
                      <w:rFonts w:ascii="宋体" w:hAnsi="宋体" w:cs="宋体" w:eastAsia="宋体"/>
                      <w:sz w:val="18"/>
                    </w:rPr>
                    <w:t>12.系统: 出厂预装正版windows 10操作系统</w:t>
                  </w:r>
                </w:p>
                <w:p>
                  <w:pPr>
                    <w:pStyle w:val="null3"/>
                    <w:jc w:val="both"/>
                  </w:pPr>
                  <w:r>
                    <w:rPr>
                      <w:rFonts w:ascii="宋体" w:hAnsi="宋体" w:cs="宋体" w:eastAsia="宋体"/>
                      <w:sz w:val="18"/>
                    </w:rPr>
                    <w:t>13.显示器: 23.8"宽屏16:9液晶显示器，分辨率：1920*1080，IPS屏，内置电源</w:t>
                  </w:r>
                </w:p>
                <w:p>
                  <w:pPr>
                    <w:pStyle w:val="null3"/>
                    <w:numPr>
                      <w:ilvl w:val="0"/>
                      <w:numId w:val="1"/>
                    </w:numPr>
                  </w:pPr>
                  <w:r>
                    <w:rPr>
                      <w:rFonts w:ascii="宋体" w:hAnsi="宋体" w:cs="宋体" w:eastAsia="宋体"/>
                      <w:sz w:val="18"/>
                    </w:rPr>
                    <w:t>14.保修服务：原厂商（液晶显示器、主机，键盘，鼠标）三年全免费保修；</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台</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51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大数据实验实训平台</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8"/>
                      <w:b/>
                    </w:rPr>
                    <w:t>1、整体</w:t>
                  </w:r>
                  <w:r>
                    <w:rPr>
                      <w:rFonts w:ascii="宋体" w:hAnsi="宋体" w:cs="宋体" w:eastAsia="宋体"/>
                      <w:sz w:val="18"/>
                      <w:b/>
                    </w:rPr>
                    <w:t>功能指标</w:t>
                  </w:r>
                </w:p>
                <w:p>
                  <w:pPr>
                    <w:pStyle w:val="null3"/>
                    <w:jc w:val="left"/>
                  </w:pPr>
                  <w:r>
                    <w:rPr>
                      <w:rFonts w:ascii="宋体" w:hAnsi="宋体" w:cs="宋体" w:eastAsia="宋体"/>
                      <w:sz w:val="18"/>
                    </w:rPr>
                    <w:t>1.1、</w:t>
                  </w:r>
                  <w:r>
                    <w:rPr>
                      <w:rFonts w:ascii="宋体" w:hAnsi="宋体" w:cs="宋体" w:eastAsia="宋体"/>
                      <w:sz w:val="18"/>
                    </w:rPr>
                    <w:t>提供</w:t>
                  </w:r>
                  <w:r>
                    <w:rPr>
                      <w:rFonts w:ascii="宋体" w:hAnsi="宋体" w:cs="宋体" w:eastAsia="宋体"/>
                      <w:sz w:val="18"/>
                    </w:rPr>
                    <w:t>≥5</w:t>
                  </w:r>
                  <w:r>
                    <w:rPr>
                      <w:rFonts w:ascii="宋体" w:hAnsi="宋体" w:cs="宋体" w:eastAsia="宋体"/>
                      <w:sz w:val="18"/>
                    </w:rPr>
                    <w:t>0并发用户授权；</w:t>
                  </w:r>
                </w:p>
                <w:p>
                  <w:pPr>
                    <w:pStyle w:val="null3"/>
                    <w:jc w:val="left"/>
                  </w:pPr>
                  <w:r>
                    <w:rPr>
                      <w:rFonts w:ascii="宋体" w:hAnsi="宋体" w:cs="宋体" w:eastAsia="宋体"/>
                      <w:sz w:val="18"/>
                    </w:rPr>
                    <w:t>1.2、平台采用B/S架构，应用HTML5技术，所有功能模块在浏览器中即可完成操作；</w:t>
                  </w:r>
                </w:p>
                <w:p>
                  <w:pPr>
                    <w:pStyle w:val="null3"/>
                    <w:jc w:val="left"/>
                  </w:pPr>
                  <w:r>
                    <w:rPr>
                      <w:rFonts w:ascii="宋体" w:hAnsi="宋体" w:cs="宋体" w:eastAsia="宋体"/>
                      <w:sz w:val="18"/>
                    </w:rPr>
                    <w:t>1.3、支持在线查看平台软件授权书，包含但不限于软件版本、授权并发数、授权用户数等信息；支持记录和查询系统操作日志；</w:t>
                  </w:r>
                </w:p>
                <w:p>
                  <w:pPr>
                    <w:pStyle w:val="null3"/>
                    <w:jc w:val="left"/>
                  </w:pPr>
                  <w:r>
                    <w:rPr>
                      <w:rFonts w:ascii="宋体" w:hAnsi="宋体" w:cs="宋体" w:eastAsia="宋体"/>
                      <w:sz w:val="18"/>
                    </w:rPr>
                    <w:t>1.4、支持多种用户角色，包含但不限于管理员、教师、学生；管理员能够一键切换至实训平台教学系统，无需二次登录。</w:t>
                  </w:r>
                </w:p>
                <w:p>
                  <w:pPr>
                    <w:pStyle w:val="null3"/>
                    <w:jc w:val="left"/>
                  </w:pPr>
                  <w:r>
                    <w:rPr>
                      <w:rFonts w:ascii="宋体" w:hAnsi="宋体" w:cs="宋体" w:eastAsia="宋体"/>
                      <w:sz w:val="18"/>
                      <w:b/>
                    </w:rPr>
                    <w:t>2、</w:t>
                  </w:r>
                  <w:r>
                    <w:rPr>
                      <w:rFonts w:ascii="宋体" w:hAnsi="宋体" w:cs="宋体" w:eastAsia="宋体"/>
                      <w:sz w:val="18"/>
                      <w:b/>
                    </w:rPr>
                    <w:t>用户</w:t>
                  </w:r>
                  <w:r>
                    <w:rPr>
                      <w:rFonts w:ascii="宋体" w:hAnsi="宋体" w:cs="宋体" w:eastAsia="宋体"/>
                      <w:sz w:val="18"/>
                      <w:b/>
                    </w:rPr>
                    <w:t>管理功能</w:t>
                  </w:r>
                </w:p>
                <w:p>
                  <w:pPr>
                    <w:pStyle w:val="null3"/>
                    <w:jc w:val="left"/>
                  </w:pPr>
                  <w:r>
                    <w:rPr>
                      <w:rFonts w:ascii="宋体" w:hAnsi="宋体" w:cs="宋体" w:eastAsia="宋体"/>
                      <w:sz w:val="18"/>
                    </w:rPr>
                    <w:t>2.1、</w:t>
                  </w:r>
                  <w:r>
                    <w:rPr>
                      <w:rFonts w:ascii="宋体" w:hAnsi="宋体" w:cs="宋体" w:eastAsia="宋体"/>
                      <w:sz w:val="18"/>
                    </w:rPr>
                    <w:t>支持</w:t>
                  </w:r>
                  <w:r>
                    <w:rPr>
                      <w:rFonts w:ascii="宋体" w:hAnsi="宋体" w:cs="宋体" w:eastAsia="宋体"/>
                      <w:sz w:val="18"/>
                    </w:rPr>
                    <w:t>但不限于对管理员、教师、学生用户账号进行添加、修改、删除、禁用等操作；用户额能够自行修改登录密码；</w:t>
                  </w:r>
                </w:p>
                <w:p>
                  <w:pPr>
                    <w:pStyle w:val="null3"/>
                    <w:jc w:val="left"/>
                  </w:pPr>
                  <w:r>
                    <w:rPr>
                      <w:rFonts w:ascii="宋体" w:hAnsi="宋体" w:cs="宋体" w:eastAsia="宋体"/>
                      <w:sz w:val="18"/>
                    </w:rPr>
                    <w:t>2.2、支持但不限于管理员根据系统模板</w:t>
                  </w:r>
                  <w:r>
                    <w:rPr>
                      <w:rFonts w:ascii="宋体" w:hAnsi="宋体" w:cs="宋体" w:eastAsia="宋体"/>
                      <w:sz w:val="18"/>
                    </w:rPr>
                    <w:t>批量创建学生账号；</w:t>
                  </w:r>
                  <w:r>
                    <w:rPr>
                      <w:rFonts w:ascii="宋体" w:hAnsi="宋体" w:cs="宋体" w:eastAsia="宋体"/>
                      <w:sz w:val="18"/>
                    </w:rPr>
                    <w:t>支持批量删除学生账号；</w:t>
                  </w:r>
                </w:p>
                <w:p>
                  <w:pPr>
                    <w:pStyle w:val="null3"/>
                    <w:jc w:val="left"/>
                  </w:pPr>
                  <w:r>
                    <w:rPr>
                      <w:rFonts w:ascii="宋体" w:hAnsi="宋体" w:cs="宋体" w:eastAsia="宋体"/>
                      <w:sz w:val="18"/>
                    </w:rPr>
                    <w:t>2.3、提供专业和班级管理功能，支持但不限于针对班级限制实验机的使用时限。</w:t>
                  </w:r>
                </w:p>
                <w:p>
                  <w:pPr>
                    <w:pStyle w:val="null3"/>
                    <w:jc w:val="left"/>
                  </w:pPr>
                  <w:r>
                    <w:rPr>
                      <w:rFonts w:ascii="宋体" w:hAnsi="宋体" w:cs="宋体" w:eastAsia="宋体"/>
                      <w:sz w:val="18"/>
                      <w:b/>
                    </w:rPr>
                    <w:t>3</w:t>
                  </w:r>
                  <w:r>
                    <w:rPr>
                      <w:rFonts w:ascii="宋体" w:hAnsi="宋体" w:cs="宋体" w:eastAsia="宋体"/>
                      <w:sz w:val="18"/>
                      <w:b/>
                    </w:rPr>
                    <w:t>、课件管理</w:t>
                  </w:r>
                  <w:r>
                    <w:rPr>
                      <w:rFonts w:ascii="宋体" w:hAnsi="宋体" w:cs="宋体" w:eastAsia="宋体"/>
                      <w:sz w:val="18"/>
                      <w:b/>
                    </w:rPr>
                    <w:t>功能</w:t>
                  </w:r>
                </w:p>
                <w:p>
                  <w:pPr>
                    <w:pStyle w:val="null3"/>
                    <w:jc w:val="left"/>
                  </w:pPr>
                  <w:r>
                    <w:rPr>
                      <w:rFonts w:ascii="宋体" w:hAnsi="宋体" w:cs="宋体" w:eastAsia="宋体"/>
                      <w:sz w:val="18"/>
                    </w:rPr>
                    <w:t>3.1、支持但不限于添加</w:t>
                  </w:r>
                  <w:r>
                    <w:rPr>
                      <w:rFonts w:ascii="宋体" w:hAnsi="宋体" w:cs="宋体" w:eastAsia="宋体"/>
                      <w:sz w:val="18"/>
                    </w:rPr>
                    <w:t>视频资源、实验指导书、习题、课件、讲义、在线编程题等</w:t>
                  </w:r>
                  <w:r>
                    <w:rPr>
                      <w:rFonts w:ascii="宋体" w:hAnsi="宋体" w:cs="宋体" w:eastAsia="宋体"/>
                      <w:sz w:val="18"/>
                    </w:rPr>
                    <w:t>教学</w:t>
                  </w:r>
                  <w:r>
                    <w:rPr>
                      <w:rFonts w:ascii="宋体" w:hAnsi="宋体" w:cs="宋体" w:eastAsia="宋体"/>
                      <w:sz w:val="18"/>
                    </w:rPr>
                    <w:t>课件</w:t>
                  </w:r>
                  <w:r>
                    <w:rPr>
                      <w:rFonts w:ascii="宋体" w:hAnsi="宋体" w:cs="宋体" w:eastAsia="宋体"/>
                      <w:sz w:val="18"/>
                    </w:rPr>
                    <w:t>，支持课件分类管理、在线预览；</w:t>
                  </w:r>
                </w:p>
                <w:p>
                  <w:pPr>
                    <w:pStyle w:val="null3"/>
                    <w:jc w:val="left"/>
                  </w:pPr>
                  <w:r>
                    <w:rPr>
                      <w:rFonts w:ascii="宋体" w:hAnsi="宋体" w:cs="宋体" w:eastAsia="宋体"/>
                      <w:sz w:val="18"/>
                    </w:rPr>
                    <w:t>3.2、</w:t>
                  </w:r>
                  <w:r>
                    <w:rPr>
                      <w:rFonts w:ascii="宋体" w:hAnsi="宋体" w:cs="宋体" w:eastAsia="宋体"/>
                      <w:sz w:val="18"/>
                    </w:rPr>
                    <w:t>支持</w:t>
                  </w:r>
                  <w:r>
                    <w:rPr>
                      <w:rFonts w:ascii="宋体" w:hAnsi="宋体" w:cs="宋体" w:eastAsia="宋体"/>
                      <w:sz w:val="18"/>
                    </w:rPr>
                    <w:t>但不限于</w:t>
                  </w:r>
                  <w:r>
                    <w:rPr>
                      <w:rFonts w:ascii="宋体" w:hAnsi="宋体" w:cs="宋体" w:eastAsia="宋体"/>
                      <w:sz w:val="18"/>
                    </w:rPr>
                    <w:t>上传数据集，可以设置数据集分类、文件大小、文件格式、数据介绍</w:t>
                  </w:r>
                  <w:r>
                    <w:rPr>
                      <w:rFonts w:ascii="宋体" w:hAnsi="宋体" w:cs="宋体" w:eastAsia="宋体"/>
                      <w:sz w:val="18"/>
                    </w:rPr>
                    <w:t>、数据样例</w:t>
                  </w:r>
                  <w:r>
                    <w:rPr>
                      <w:rFonts w:ascii="宋体" w:hAnsi="宋体" w:cs="宋体" w:eastAsia="宋体"/>
                      <w:sz w:val="18"/>
                    </w:rPr>
                    <w:t>等信息</w:t>
                  </w:r>
                  <w:r>
                    <w:rPr>
                      <w:rFonts w:ascii="宋体" w:hAnsi="宋体" w:cs="宋体" w:eastAsia="宋体"/>
                      <w:sz w:val="18"/>
                    </w:rPr>
                    <w:t>；数据集支持下载到本地使用；</w:t>
                  </w:r>
                </w:p>
                <w:p>
                  <w:pPr>
                    <w:pStyle w:val="null3"/>
                    <w:jc w:val="left"/>
                  </w:pPr>
                  <w:r>
                    <w:rPr>
                      <w:rFonts w:ascii="宋体" w:hAnsi="宋体" w:cs="宋体" w:eastAsia="宋体"/>
                      <w:sz w:val="18"/>
                    </w:rPr>
                    <w:t>3.3、</w:t>
                  </w:r>
                  <w:r>
                    <w:rPr>
                      <w:rFonts w:ascii="宋体" w:hAnsi="宋体" w:cs="宋体" w:eastAsia="宋体"/>
                      <w:sz w:val="18"/>
                    </w:rPr>
                    <w:t>支持</w:t>
                  </w:r>
                  <w:r>
                    <w:rPr>
                      <w:rFonts w:ascii="宋体" w:hAnsi="宋体" w:cs="宋体" w:eastAsia="宋体"/>
                      <w:sz w:val="18"/>
                    </w:rPr>
                    <w:t>但不限于</w:t>
                  </w:r>
                  <w:r>
                    <w:rPr>
                      <w:rFonts w:ascii="宋体" w:hAnsi="宋体" w:cs="宋体" w:eastAsia="宋体"/>
                      <w:sz w:val="18"/>
                    </w:rPr>
                    <w:t>新增实验，</w:t>
                  </w:r>
                  <w:r>
                    <w:rPr>
                      <w:rFonts w:ascii="宋体" w:hAnsi="宋体" w:cs="宋体" w:eastAsia="宋体"/>
                      <w:sz w:val="18"/>
                    </w:rPr>
                    <w:t>能够</w:t>
                  </w:r>
                  <w:r>
                    <w:rPr>
                      <w:rFonts w:ascii="宋体" w:hAnsi="宋体" w:cs="宋体" w:eastAsia="宋体"/>
                      <w:sz w:val="18"/>
                    </w:rPr>
                    <w:t>编辑实验指导书内容，</w:t>
                  </w:r>
                  <w:r>
                    <w:rPr>
                      <w:rFonts w:ascii="宋体" w:hAnsi="宋体" w:cs="宋体" w:eastAsia="宋体"/>
                      <w:sz w:val="18"/>
                    </w:rPr>
                    <w:t>并</w:t>
                  </w:r>
                  <w:r>
                    <w:rPr>
                      <w:rFonts w:ascii="宋体" w:hAnsi="宋体" w:cs="宋体" w:eastAsia="宋体"/>
                      <w:sz w:val="18"/>
                    </w:rPr>
                    <w:t>选择</w:t>
                  </w:r>
                  <w:r>
                    <w:rPr>
                      <w:rFonts w:ascii="宋体" w:hAnsi="宋体" w:cs="宋体" w:eastAsia="宋体"/>
                      <w:sz w:val="18"/>
                    </w:rPr>
                    <w:t>实验所使用的</w:t>
                  </w:r>
                  <w:r>
                    <w:rPr>
                      <w:rFonts w:ascii="宋体" w:hAnsi="宋体" w:cs="宋体" w:eastAsia="宋体"/>
                      <w:sz w:val="18"/>
                    </w:rPr>
                    <w:t>镜像</w:t>
                  </w:r>
                  <w:r>
                    <w:rPr>
                      <w:rFonts w:ascii="宋体" w:hAnsi="宋体" w:cs="宋体" w:eastAsia="宋体"/>
                      <w:sz w:val="18"/>
                    </w:rPr>
                    <w:t>环境</w:t>
                  </w:r>
                  <w:r>
                    <w:rPr>
                      <w:rFonts w:ascii="宋体" w:hAnsi="宋体" w:cs="宋体" w:eastAsia="宋体"/>
                      <w:sz w:val="18"/>
                    </w:rPr>
                    <w:t>；支持</w:t>
                  </w:r>
                  <w:r>
                    <w:rPr>
                      <w:rFonts w:ascii="宋体" w:hAnsi="宋体" w:cs="宋体" w:eastAsia="宋体"/>
                      <w:sz w:val="18"/>
                    </w:rPr>
                    <w:t>但不限于</w:t>
                  </w:r>
                  <w:r>
                    <w:rPr>
                      <w:rFonts w:ascii="宋体" w:hAnsi="宋体" w:cs="宋体" w:eastAsia="宋体"/>
                      <w:sz w:val="18"/>
                    </w:rPr>
                    <w:t>添加实验自动检测条件，</w:t>
                  </w:r>
                  <w:r>
                    <w:rPr>
                      <w:rFonts w:ascii="宋体" w:hAnsi="宋体" w:cs="宋体" w:eastAsia="宋体"/>
                      <w:sz w:val="18"/>
                    </w:rPr>
                    <w:t>包含</w:t>
                  </w:r>
                  <w:r>
                    <w:rPr>
                      <w:rFonts w:ascii="宋体" w:hAnsi="宋体" w:cs="宋体" w:eastAsia="宋体"/>
                      <w:sz w:val="18"/>
                    </w:rPr>
                    <w:t>检查目录、文件名称、文件大小、文件内容、文件行数、程序执行、程序输出、</w:t>
                  </w:r>
                  <w:r>
                    <w:rPr>
                      <w:rFonts w:ascii="宋体" w:hAnsi="宋体" w:cs="宋体" w:eastAsia="宋体"/>
                      <w:sz w:val="18"/>
                    </w:rPr>
                    <w:t>MySLQ执行结果等检测条件；支持</w:t>
                  </w:r>
                  <w:r>
                    <w:rPr>
                      <w:rFonts w:ascii="宋体" w:hAnsi="宋体" w:cs="宋体" w:eastAsia="宋体"/>
                      <w:sz w:val="18"/>
                    </w:rPr>
                    <w:t>但不限于</w:t>
                  </w:r>
                  <w:r>
                    <w:rPr>
                      <w:rFonts w:ascii="宋体" w:hAnsi="宋体" w:cs="宋体" w:eastAsia="宋体"/>
                      <w:sz w:val="18"/>
                    </w:rPr>
                    <w:t>设置</w:t>
                  </w:r>
                  <w:r>
                    <w:rPr>
                      <w:rFonts w:ascii="宋体" w:hAnsi="宋体" w:cs="宋体" w:eastAsia="宋体"/>
                      <w:sz w:val="18"/>
                    </w:rPr>
                    <w:t>各</w:t>
                  </w:r>
                  <w:r>
                    <w:rPr>
                      <w:rFonts w:ascii="宋体" w:hAnsi="宋体" w:cs="宋体" w:eastAsia="宋体"/>
                      <w:sz w:val="18"/>
                    </w:rPr>
                    <w:t>检测项的排序值和权重</w:t>
                  </w:r>
                  <w:r>
                    <w:rPr>
                      <w:rFonts w:ascii="宋体" w:hAnsi="宋体" w:cs="宋体" w:eastAsia="宋体"/>
                      <w:sz w:val="18"/>
                    </w:rPr>
                    <w:t>，老师可以进入实验环境进行测试验证；</w:t>
                  </w:r>
                </w:p>
                <w:p>
                  <w:pPr>
                    <w:pStyle w:val="null3"/>
                    <w:jc w:val="left"/>
                  </w:pPr>
                  <w:r>
                    <w:rPr>
                      <w:rFonts w:ascii="宋体" w:hAnsi="宋体" w:cs="宋体" w:eastAsia="宋体"/>
                      <w:sz w:val="18"/>
                    </w:rPr>
                    <w:t>3.4、支持但不限于新增</w:t>
                  </w:r>
                  <w:r>
                    <w:rPr>
                      <w:rFonts w:ascii="宋体" w:hAnsi="宋体" w:cs="宋体" w:eastAsia="宋体"/>
                      <w:sz w:val="18"/>
                    </w:rPr>
                    <w:t>Java、Python、C++语言</w:t>
                  </w:r>
                  <w:r>
                    <w:rPr>
                      <w:rFonts w:ascii="宋体" w:hAnsi="宋体" w:cs="宋体" w:eastAsia="宋体"/>
                      <w:sz w:val="18"/>
                    </w:rPr>
                    <w:t>在线编程，能够设置在线编程</w:t>
                  </w:r>
                  <w:r>
                    <w:rPr>
                      <w:rFonts w:ascii="宋体" w:hAnsi="宋体" w:cs="宋体" w:eastAsia="宋体"/>
                      <w:sz w:val="18"/>
                    </w:rPr>
                    <w:t>题目</w:t>
                  </w:r>
                  <w:r>
                    <w:rPr>
                      <w:rFonts w:ascii="宋体" w:hAnsi="宋体" w:cs="宋体" w:eastAsia="宋体"/>
                      <w:sz w:val="18"/>
                    </w:rPr>
                    <w:t>、题解、</w:t>
                  </w:r>
                  <w:r>
                    <w:rPr>
                      <w:rFonts w:ascii="宋体" w:hAnsi="宋体" w:cs="宋体" w:eastAsia="宋体"/>
                      <w:sz w:val="18"/>
                    </w:rPr>
                    <w:t>初始代码</w:t>
                  </w:r>
                  <w:r>
                    <w:rPr>
                      <w:rFonts w:ascii="宋体" w:hAnsi="宋体" w:cs="宋体" w:eastAsia="宋体"/>
                      <w:sz w:val="18"/>
                    </w:rPr>
                    <w:t>、函数体、参数类型；</w:t>
                  </w:r>
                  <w:r>
                    <w:rPr>
                      <w:rFonts w:ascii="宋体" w:hAnsi="宋体" w:cs="宋体" w:eastAsia="宋体"/>
                      <w:sz w:val="18"/>
                    </w:rPr>
                    <w:t>支持添加测试用例</w:t>
                  </w:r>
                  <w:r>
                    <w:rPr>
                      <w:rFonts w:ascii="宋体" w:hAnsi="宋体" w:cs="宋体" w:eastAsia="宋体"/>
                      <w:sz w:val="18"/>
                    </w:rPr>
                    <w:t>，并根据测试用例的输入数据自动生成正确的输出结果；</w:t>
                  </w:r>
                  <w:r>
                    <w:rPr>
                      <w:rFonts w:ascii="宋体" w:hAnsi="宋体" w:cs="宋体" w:eastAsia="宋体"/>
                      <w:sz w:val="18"/>
                    </w:rPr>
                    <w:t>支持在线预览</w:t>
                  </w:r>
                  <w:r>
                    <w:rPr>
                      <w:rFonts w:ascii="宋体" w:hAnsi="宋体" w:cs="宋体" w:eastAsia="宋体"/>
                      <w:sz w:val="18"/>
                    </w:rPr>
                    <w:t>、调试</w:t>
                  </w:r>
                  <w:r>
                    <w:rPr>
                      <w:rFonts w:ascii="宋体" w:hAnsi="宋体" w:cs="宋体" w:eastAsia="宋体"/>
                      <w:sz w:val="18"/>
                    </w:rPr>
                    <w:t>；</w:t>
                  </w:r>
                </w:p>
                <w:p>
                  <w:pPr>
                    <w:pStyle w:val="null3"/>
                  </w:pPr>
                  <w:r>
                    <w:rPr>
                      <w:rFonts w:ascii="宋体" w:hAnsi="宋体" w:cs="宋体" w:eastAsia="宋体"/>
                      <w:sz w:val="18"/>
                    </w:rPr>
                    <w:t>3.5、支持</w:t>
                  </w:r>
                  <w:r>
                    <w:rPr>
                      <w:rFonts w:ascii="宋体" w:hAnsi="宋体" w:cs="宋体" w:eastAsia="宋体"/>
                      <w:sz w:val="18"/>
                    </w:rPr>
                    <w:t>但不限于</w:t>
                  </w:r>
                  <w:r>
                    <w:rPr>
                      <w:rFonts w:ascii="宋体" w:hAnsi="宋体" w:cs="宋体" w:eastAsia="宋体"/>
                      <w:sz w:val="18"/>
                    </w:rPr>
                    <w:t>老师将课件文件</w:t>
                  </w:r>
                  <w:r>
                    <w:rPr>
                      <w:rFonts w:ascii="宋体" w:hAnsi="宋体" w:cs="宋体" w:eastAsia="宋体"/>
                      <w:sz w:val="18"/>
                    </w:rPr>
                    <w:t>和</w:t>
                  </w:r>
                  <w:r>
                    <w:rPr>
                      <w:rFonts w:ascii="宋体" w:hAnsi="宋体" w:cs="宋体" w:eastAsia="宋体"/>
                      <w:sz w:val="18"/>
                    </w:rPr>
                    <w:t>文件夹分享给其他用户，支持设置有效期和提取码，获取分享链接的用户可以浏览、下载。</w:t>
                  </w:r>
                </w:p>
                <w:p>
                  <w:pPr>
                    <w:pStyle w:val="null3"/>
                    <w:jc w:val="left"/>
                  </w:pPr>
                  <w:r>
                    <w:rPr>
                      <w:rFonts w:ascii="宋体" w:hAnsi="宋体" w:cs="宋体" w:eastAsia="宋体"/>
                      <w:sz w:val="18"/>
                      <w:b/>
                    </w:rPr>
                    <w:t>4、</w:t>
                  </w:r>
                  <w:r>
                    <w:rPr>
                      <w:rFonts w:ascii="宋体" w:hAnsi="宋体" w:cs="宋体" w:eastAsia="宋体"/>
                      <w:sz w:val="18"/>
                      <w:b/>
                    </w:rPr>
                    <w:t>课程管理</w:t>
                  </w:r>
                  <w:r>
                    <w:rPr>
                      <w:rFonts w:ascii="宋体" w:hAnsi="宋体" w:cs="宋体" w:eastAsia="宋体"/>
                      <w:sz w:val="18"/>
                      <w:b/>
                    </w:rPr>
                    <w:t>功能</w:t>
                  </w:r>
                </w:p>
                <w:p>
                  <w:pPr>
                    <w:pStyle w:val="null3"/>
                    <w:jc w:val="left"/>
                  </w:pPr>
                  <w:r>
                    <w:rPr>
                      <w:rFonts w:ascii="宋体" w:hAnsi="宋体" w:cs="宋体" w:eastAsia="宋体"/>
                      <w:sz w:val="18"/>
                    </w:rPr>
                    <w:t>4.1、</w:t>
                  </w:r>
                  <w:r>
                    <w:rPr>
                      <w:rFonts w:ascii="宋体" w:hAnsi="宋体" w:cs="宋体" w:eastAsia="宋体"/>
                      <w:sz w:val="18"/>
                    </w:rPr>
                    <w:t>支持</w:t>
                  </w:r>
                  <w:r>
                    <w:rPr>
                      <w:rFonts w:ascii="宋体" w:hAnsi="宋体" w:cs="宋体" w:eastAsia="宋体"/>
                      <w:sz w:val="18"/>
                    </w:rPr>
                    <w:t>但不限于课程编排功能，老师可以自定义创建新课程，课程中</w:t>
                  </w:r>
                  <w:r>
                    <w:rPr>
                      <w:rFonts w:ascii="宋体" w:hAnsi="宋体" w:cs="宋体" w:eastAsia="宋体"/>
                      <w:sz w:val="18"/>
                    </w:rPr>
                    <w:t>各</w:t>
                  </w:r>
                  <w:r>
                    <w:rPr>
                      <w:rFonts w:ascii="宋体" w:hAnsi="宋体" w:cs="宋体" w:eastAsia="宋体"/>
                      <w:sz w:val="18"/>
                    </w:rPr>
                    <w:t>级</w:t>
                  </w:r>
                  <w:r>
                    <w:rPr>
                      <w:rFonts w:ascii="宋体" w:hAnsi="宋体" w:cs="宋体" w:eastAsia="宋体"/>
                      <w:sz w:val="18"/>
                    </w:rPr>
                    <w:t>内容支持拖拽排序；</w:t>
                  </w:r>
                  <w:r>
                    <w:rPr>
                      <w:rFonts w:ascii="宋体" w:hAnsi="宋体" w:cs="宋体" w:eastAsia="宋体"/>
                      <w:sz w:val="18"/>
                    </w:rPr>
                    <w:t>老师可以为课程添加标签；</w:t>
                  </w:r>
                </w:p>
                <w:p>
                  <w:pPr>
                    <w:pStyle w:val="null3"/>
                    <w:jc w:val="left"/>
                  </w:pPr>
                  <w:r>
                    <w:rPr>
                      <w:rFonts w:ascii="宋体" w:hAnsi="宋体" w:cs="宋体" w:eastAsia="宋体"/>
                      <w:sz w:val="18"/>
                    </w:rPr>
                    <w:t>4.2、支持但不限于官方教学资源复制功能，老师能够通过拉取操作一键复制官方课程、题库、OJ、试卷等教学资源，课程副本内容支持重组、二次修改、无限复用；课程列表支持排序；支持但不限于将课程导出为课程包，支持上传课程包；</w:t>
                  </w:r>
                </w:p>
                <w:p>
                  <w:pPr>
                    <w:pStyle w:val="null3"/>
                    <w:jc w:val="left"/>
                  </w:pPr>
                  <w:r>
                    <w:rPr>
                      <w:rFonts w:ascii="宋体" w:hAnsi="宋体" w:cs="宋体" w:eastAsia="宋体"/>
                      <w:sz w:val="18"/>
                    </w:rPr>
                    <w:t>4.3、</w:t>
                  </w:r>
                  <w:r>
                    <w:rPr>
                      <w:rFonts w:ascii="宋体" w:hAnsi="宋体" w:cs="宋体" w:eastAsia="宋体"/>
                      <w:sz w:val="18"/>
                    </w:rPr>
                    <w:t>支持</w:t>
                  </w:r>
                  <w:r>
                    <w:rPr>
                      <w:rFonts w:ascii="宋体" w:hAnsi="宋体" w:cs="宋体" w:eastAsia="宋体"/>
                      <w:sz w:val="18"/>
                    </w:rPr>
                    <w:t>但不限于为课程中的实验任务设置实验报告模板，支持但不限于限制</w:t>
                  </w:r>
                  <w:r>
                    <w:rPr>
                      <w:rFonts w:ascii="宋体" w:hAnsi="宋体" w:cs="宋体" w:eastAsia="宋体"/>
                      <w:sz w:val="18"/>
                    </w:rPr>
                    <w:t>实验任务的操作时长；</w:t>
                  </w:r>
                </w:p>
                <w:p>
                  <w:pPr>
                    <w:pStyle w:val="null3"/>
                  </w:pPr>
                  <w:r>
                    <w:rPr>
                      <w:rFonts w:ascii="宋体" w:hAnsi="宋体" w:cs="宋体" w:eastAsia="宋体"/>
                      <w:sz w:val="18"/>
                    </w:rPr>
                    <w:t>4.4、支持</w:t>
                  </w:r>
                  <w:r>
                    <w:rPr>
                      <w:rFonts w:ascii="宋体" w:hAnsi="宋体" w:cs="宋体" w:eastAsia="宋体"/>
                      <w:sz w:val="18"/>
                    </w:rPr>
                    <w:t>但不限于</w:t>
                  </w:r>
                  <w:r>
                    <w:rPr>
                      <w:rFonts w:ascii="宋体" w:hAnsi="宋体" w:cs="宋体" w:eastAsia="宋体"/>
                      <w:sz w:val="18"/>
                    </w:rPr>
                    <w:t>为课程添加知识图谱，能够为课程中每个知识点绑定对应的课程任务；学生完成要求的课程任务并达标后能够点亮知识图谱；</w:t>
                  </w:r>
                </w:p>
                <w:p>
                  <w:pPr>
                    <w:pStyle w:val="null3"/>
                    <w:jc w:val="left"/>
                  </w:pPr>
                  <w:r>
                    <w:rPr>
                      <w:rFonts w:ascii="宋体" w:hAnsi="宋体" w:cs="宋体" w:eastAsia="宋体"/>
                      <w:sz w:val="18"/>
                    </w:rPr>
                    <w:t>4.5、</w:t>
                  </w:r>
                  <w:r>
                    <w:rPr>
                      <w:rFonts w:ascii="宋体" w:hAnsi="宋体" w:cs="宋体" w:eastAsia="宋体"/>
                      <w:sz w:val="18"/>
                    </w:rPr>
                    <w:t>支持</w:t>
                  </w:r>
                  <w:r>
                    <w:rPr>
                      <w:rFonts w:ascii="宋体" w:hAnsi="宋体" w:cs="宋体" w:eastAsia="宋体"/>
                      <w:sz w:val="18"/>
                    </w:rPr>
                    <w:t>但不限于课程发布功能，能够将官方课程开放到前台，也能够将课程作为学习任务发布给学生；支持但不限于自定义设置</w:t>
                  </w:r>
                  <w:r>
                    <w:rPr>
                      <w:rFonts w:ascii="宋体" w:hAnsi="宋体" w:cs="宋体" w:eastAsia="宋体"/>
                      <w:sz w:val="18"/>
                    </w:rPr>
                    <w:t>开</w:t>
                  </w:r>
                  <w:r>
                    <w:rPr>
                      <w:rFonts w:ascii="宋体" w:hAnsi="宋体" w:cs="宋体" w:eastAsia="宋体"/>
                      <w:sz w:val="18"/>
                    </w:rPr>
                    <w:t>放</w:t>
                  </w:r>
                  <w:r>
                    <w:rPr>
                      <w:rFonts w:ascii="宋体" w:hAnsi="宋体" w:cs="宋体" w:eastAsia="宋体"/>
                      <w:sz w:val="18"/>
                    </w:rPr>
                    <w:t>课程的</w:t>
                  </w:r>
                  <w:r>
                    <w:rPr>
                      <w:rFonts w:ascii="宋体" w:hAnsi="宋体" w:cs="宋体" w:eastAsia="宋体"/>
                      <w:sz w:val="18"/>
                    </w:rPr>
                    <w:t>排列顺序和</w:t>
                  </w:r>
                  <w:r>
                    <w:rPr>
                      <w:rFonts w:ascii="宋体" w:hAnsi="宋体" w:cs="宋体" w:eastAsia="宋体"/>
                      <w:sz w:val="18"/>
                    </w:rPr>
                    <w:t>有效期</w:t>
                  </w:r>
                  <w:r>
                    <w:rPr>
                      <w:rFonts w:ascii="宋体" w:hAnsi="宋体" w:cs="宋体" w:eastAsia="宋体"/>
                      <w:sz w:val="18"/>
                    </w:rPr>
                    <w:t>。</w:t>
                  </w:r>
                </w:p>
                <w:p>
                  <w:pPr>
                    <w:pStyle w:val="null3"/>
                    <w:jc w:val="left"/>
                  </w:pPr>
                  <w:r>
                    <w:rPr>
                      <w:rFonts w:ascii="宋体" w:hAnsi="宋体" w:cs="宋体" w:eastAsia="宋体"/>
                      <w:sz w:val="18"/>
                      <w:b/>
                    </w:rPr>
                    <w:t>5、系统资源管理功能</w:t>
                  </w:r>
                </w:p>
                <w:p>
                  <w:pPr>
                    <w:pStyle w:val="null3"/>
                    <w:jc w:val="left"/>
                  </w:pPr>
                  <w:r>
                    <w:rPr>
                      <w:rFonts w:ascii="宋体" w:hAnsi="宋体" w:cs="宋体" w:eastAsia="宋体"/>
                      <w:sz w:val="18"/>
                    </w:rPr>
                    <w:t>5.1、</w:t>
                  </w:r>
                  <w:r>
                    <w:rPr>
                      <w:rFonts w:ascii="宋体" w:hAnsi="宋体" w:cs="宋体" w:eastAsia="宋体"/>
                      <w:sz w:val="18"/>
                    </w:rPr>
                    <w:t>支持</w:t>
                  </w:r>
                  <w:r>
                    <w:rPr>
                      <w:rFonts w:ascii="宋体" w:hAnsi="宋体" w:cs="宋体" w:eastAsia="宋体"/>
                      <w:sz w:val="18"/>
                    </w:rPr>
                    <w:t>但不限于</w:t>
                  </w:r>
                  <w:r>
                    <w:rPr>
                      <w:rFonts w:ascii="宋体" w:hAnsi="宋体" w:cs="宋体" w:eastAsia="宋体"/>
                      <w:sz w:val="18"/>
                    </w:rPr>
                    <w:t>系统服务器集群</w:t>
                  </w:r>
                  <w:r>
                    <w:rPr>
                      <w:rFonts w:ascii="宋体" w:hAnsi="宋体" w:cs="宋体" w:eastAsia="宋体"/>
                      <w:sz w:val="18"/>
                    </w:rPr>
                    <w:t>管理功能，</w:t>
                  </w:r>
                  <w:r>
                    <w:rPr>
                      <w:rFonts w:ascii="宋体" w:hAnsi="宋体" w:cs="宋体" w:eastAsia="宋体"/>
                      <w:sz w:val="18"/>
                    </w:rPr>
                    <w:t>能够</w:t>
                  </w:r>
                  <w:r>
                    <w:rPr>
                      <w:rFonts w:ascii="宋体" w:hAnsi="宋体" w:cs="宋体" w:eastAsia="宋体"/>
                      <w:sz w:val="18"/>
                    </w:rPr>
                    <w:t>监控和查看集群</w:t>
                  </w:r>
                  <w:r>
                    <w:rPr>
                      <w:rFonts w:ascii="宋体" w:hAnsi="宋体" w:cs="宋体" w:eastAsia="宋体"/>
                      <w:sz w:val="18"/>
                    </w:rPr>
                    <w:t>各节点的资源占用情况进行监控；能够统计服务器集群各节点已创建的实验机总数、正在运行的实验机数量</w:t>
                  </w:r>
                  <w:r>
                    <w:rPr>
                      <w:rFonts w:ascii="宋体" w:hAnsi="宋体" w:cs="宋体" w:eastAsia="宋体"/>
                      <w:sz w:val="18"/>
                    </w:rPr>
                    <w:t>；支持但不限于资源总体监控功能，能够通过图表呈现系统集群</w:t>
                  </w:r>
                  <w:r>
                    <w:rPr>
                      <w:rFonts w:ascii="宋体" w:hAnsi="宋体" w:cs="宋体" w:eastAsia="宋体"/>
                      <w:sz w:val="18"/>
                    </w:rPr>
                    <w:t>CPU、内存、磁盘、实验机等资源的实时使用情况;</w:t>
                  </w:r>
                </w:p>
                <w:p>
                  <w:pPr>
                    <w:pStyle w:val="null3"/>
                    <w:jc w:val="left"/>
                  </w:pPr>
                  <w:r>
                    <w:rPr>
                      <w:rFonts w:ascii="宋体" w:hAnsi="宋体" w:cs="宋体" w:eastAsia="宋体"/>
                      <w:sz w:val="18"/>
                    </w:rPr>
                    <w:t>5.2、</w:t>
                  </w:r>
                  <w:r>
                    <w:rPr>
                      <w:rFonts w:ascii="宋体" w:hAnsi="宋体" w:cs="宋体" w:eastAsia="宋体"/>
                      <w:sz w:val="18"/>
                    </w:rPr>
                    <w:t>支持</w:t>
                  </w:r>
                  <w:r>
                    <w:rPr>
                      <w:rFonts w:ascii="宋体" w:hAnsi="宋体" w:cs="宋体" w:eastAsia="宋体"/>
                      <w:sz w:val="18"/>
                    </w:rPr>
                    <w:t>但不限于</w:t>
                  </w:r>
                  <w:r>
                    <w:rPr>
                      <w:rFonts w:ascii="宋体" w:hAnsi="宋体" w:cs="宋体" w:eastAsia="宋体"/>
                      <w:sz w:val="18"/>
                    </w:rPr>
                    <w:t>查看系统内置镜像</w:t>
                  </w:r>
                  <w:r>
                    <w:rPr>
                      <w:rFonts w:ascii="宋体" w:hAnsi="宋体" w:cs="宋体" w:eastAsia="宋体"/>
                      <w:sz w:val="18"/>
                    </w:rPr>
                    <w:t>详情</w:t>
                  </w:r>
                  <w:r>
                    <w:rPr>
                      <w:rFonts w:ascii="宋体" w:hAnsi="宋体" w:cs="宋体" w:eastAsia="宋体"/>
                      <w:sz w:val="18"/>
                    </w:rPr>
                    <w:t>；支持进入镜像图形化桌面进行环境验证；</w:t>
                  </w:r>
                </w:p>
                <w:p>
                  <w:pPr>
                    <w:pStyle w:val="null3"/>
                    <w:jc w:val="left"/>
                  </w:pPr>
                  <w:r>
                    <w:rPr>
                      <w:rFonts w:ascii="宋体" w:hAnsi="宋体" w:cs="宋体" w:eastAsia="宋体"/>
                      <w:sz w:val="18"/>
                    </w:rPr>
                    <w:t>5.3、支持但不限于自定义调整系统镜像的初始CPU、内存和磁盘配额；</w:t>
                  </w:r>
                </w:p>
                <w:p>
                  <w:pPr>
                    <w:pStyle w:val="null3"/>
                    <w:jc w:val="left"/>
                  </w:pPr>
                  <w:r>
                    <w:rPr>
                      <w:rFonts w:ascii="宋体" w:hAnsi="宋体" w:cs="宋体" w:eastAsia="宋体"/>
                      <w:sz w:val="18"/>
                    </w:rPr>
                    <w:t>5.4、支持但不限于自定义镜像功能，能够基于系统已有基础镜像自定义配置、制作生成新的镜像环境，并一键下发到用户端。</w:t>
                  </w:r>
                </w:p>
                <w:p>
                  <w:pPr>
                    <w:pStyle w:val="null3"/>
                    <w:jc w:val="left"/>
                  </w:pPr>
                  <w:r>
                    <w:rPr>
                      <w:rFonts w:ascii="宋体" w:hAnsi="宋体" w:cs="宋体" w:eastAsia="宋体"/>
                      <w:sz w:val="18"/>
                      <w:b/>
                    </w:rPr>
                    <w:t>6</w:t>
                  </w:r>
                  <w:r>
                    <w:rPr>
                      <w:rFonts w:ascii="宋体" w:hAnsi="宋体" w:cs="宋体" w:eastAsia="宋体"/>
                      <w:sz w:val="18"/>
                      <w:b/>
                    </w:rPr>
                    <w:t>、用户实验机管理</w:t>
                  </w:r>
                </w:p>
                <w:p>
                  <w:pPr>
                    <w:pStyle w:val="null3"/>
                    <w:jc w:val="left"/>
                  </w:pPr>
                  <w:r>
                    <w:rPr>
                      <w:rFonts w:ascii="宋体" w:hAnsi="宋体" w:cs="宋体" w:eastAsia="宋体"/>
                      <w:sz w:val="18"/>
                    </w:rPr>
                    <w:t>6.1、</w:t>
                  </w:r>
                  <w:r>
                    <w:rPr>
                      <w:rFonts w:ascii="宋体" w:hAnsi="宋体" w:cs="宋体" w:eastAsia="宋体"/>
                      <w:sz w:val="18"/>
                    </w:rPr>
                    <w:t>支持</w:t>
                  </w:r>
                  <w:r>
                    <w:rPr>
                      <w:rFonts w:ascii="宋体" w:hAnsi="宋体" w:cs="宋体" w:eastAsia="宋体"/>
                      <w:sz w:val="18"/>
                    </w:rPr>
                    <w:t>但不限于</w:t>
                  </w:r>
                  <w:r>
                    <w:rPr>
                      <w:rFonts w:ascii="宋体" w:hAnsi="宋体" w:cs="宋体" w:eastAsia="宋体"/>
                      <w:sz w:val="18"/>
                    </w:rPr>
                    <w:t>查看</w:t>
                  </w:r>
                  <w:r>
                    <w:rPr>
                      <w:rFonts w:ascii="宋体" w:hAnsi="宋体" w:cs="宋体" w:eastAsia="宋体"/>
                      <w:sz w:val="18"/>
                    </w:rPr>
                    <w:t>平台中</w:t>
                  </w:r>
                  <w:r>
                    <w:rPr>
                      <w:rFonts w:ascii="宋体" w:hAnsi="宋体" w:cs="宋体" w:eastAsia="宋体"/>
                      <w:sz w:val="18"/>
                    </w:rPr>
                    <w:t>用户创建的实验机详情；管理员可以直接进入正在运行的实验机</w:t>
                  </w:r>
                  <w:r>
                    <w:rPr>
                      <w:rFonts w:ascii="宋体" w:hAnsi="宋体" w:cs="宋体" w:eastAsia="宋体"/>
                      <w:sz w:val="18"/>
                    </w:rPr>
                    <w:t>图形桌面</w:t>
                  </w:r>
                  <w:r>
                    <w:rPr>
                      <w:rFonts w:ascii="宋体" w:hAnsi="宋体" w:cs="宋体" w:eastAsia="宋体"/>
                      <w:sz w:val="18"/>
                    </w:rPr>
                    <w:t>远程监控使用者的操作；支持</w:t>
                  </w:r>
                  <w:r>
                    <w:rPr>
                      <w:rFonts w:ascii="宋体" w:hAnsi="宋体" w:cs="宋体" w:eastAsia="宋体"/>
                      <w:sz w:val="18"/>
                    </w:rPr>
                    <w:t>但不限于</w:t>
                  </w:r>
                  <w:r>
                    <w:rPr>
                      <w:rFonts w:ascii="宋体" w:hAnsi="宋体" w:cs="宋体" w:eastAsia="宋体"/>
                      <w:sz w:val="18"/>
                    </w:rPr>
                    <w:t>远程</w:t>
                  </w:r>
                  <w:r>
                    <w:rPr>
                      <w:rFonts w:ascii="宋体" w:hAnsi="宋体" w:cs="宋体" w:eastAsia="宋体"/>
                      <w:sz w:val="18"/>
                    </w:rPr>
                    <w:t>控制</w:t>
                  </w:r>
                  <w:r>
                    <w:rPr>
                      <w:rFonts w:ascii="宋体" w:hAnsi="宋体" w:cs="宋体" w:eastAsia="宋体"/>
                      <w:sz w:val="18"/>
                    </w:rPr>
                    <w:t>正在运行的实验机；支持</w:t>
                  </w:r>
                  <w:r>
                    <w:rPr>
                      <w:rFonts w:ascii="宋体" w:hAnsi="宋体" w:cs="宋体" w:eastAsia="宋体"/>
                      <w:sz w:val="18"/>
                    </w:rPr>
                    <w:t>但不限于</w:t>
                  </w:r>
                  <w:r>
                    <w:rPr>
                      <w:rFonts w:ascii="宋体" w:hAnsi="宋体" w:cs="宋体" w:eastAsia="宋体"/>
                      <w:sz w:val="18"/>
                    </w:rPr>
                    <w:t>管理员批量</w:t>
                  </w:r>
                  <w:r>
                    <w:rPr>
                      <w:rFonts w:ascii="宋体" w:hAnsi="宋体" w:cs="宋体" w:eastAsia="宋体"/>
                      <w:sz w:val="18"/>
                    </w:rPr>
                    <w:t>关停或删除用户</w:t>
                  </w:r>
                  <w:r>
                    <w:rPr>
                      <w:rFonts w:ascii="宋体" w:hAnsi="宋体" w:cs="宋体" w:eastAsia="宋体"/>
                      <w:sz w:val="18"/>
                    </w:rPr>
                    <w:t>实验机，可以手动释放</w:t>
                  </w:r>
                  <w:r>
                    <w:rPr>
                      <w:rFonts w:ascii="宋体" w:hAnsi="宋体" w:cs="宋体" w:eastAsia="宋体"/>
                      <w:sz w:val="18"/>
                    </w:rPr>
                    <w:t>实验机占用的</w:t>
                  </w:r>
                  <w:r>
                    <w:rPr>
                      <w:rFonts w:ascii="宋体" w:hAnsi="宋体" w:cs="宋体" w:eastAsia="宋体"/>
                      <w:sz w:val="18"/>
                    </w:rPr>
                    <w:t>计算资源</w:t>
                  </w:r>
                  <w:r>
                    <w:rPr>
                      <w:rFonts w:ascii="宋体" w:hAnsi="宋体" w:cs="宋体" w:eastAsia="宋体"/>
                      <w:sz w:val="18"/>
                    </w:rPr>
                    <w:t>；</w:t>
                  </w:r>
                </w:p>
                <w:p>
                  <w:pPr>
                    <w:pStyle w:val="null3"/>
                    <w:jc w:val="left"/>
                  </w:pPr>
                  <w:r>
                    <w:rPr>
                      <w:rFonts w:ascii="宋体" w:hAnsi="宋体" w:cs="宋体" w:eastAsia="宋体"/>
                      <w:sz w:val="18"/>
                    </w:rPr>
                    <w:t>6.2、支持但不限于动态调整用户实验机，能够在不影响用户使用的情况下动态调整其实验机容器的CPU、内存和磁盘配额；</w:t>
                  </w:r>
                </w:p>
                <w:p>
                  <w:pPr>
                    <w:pStyle w:val="null3"/>
                    <w:jc w:val="left"/>
                  </w:pPr>
                  <w:r>
                    <w:rPr>
                      <w:rFonts w:ascii="宋体" w:hAnsi="宋体" w:cs="宋体" w:eastAsia="宋体"/>
                      <w:sz w:val="18"/>
                    </w:rPr>
                    <w:t>6.3、</w:t>
                  </w:r>
                  <w:r>
                    <w:rPr>
                      <w:rFonts w:ascii="宋体" w:hAnsi="宋体" w:cs="宋体" w:eastAsia="宋体"/>
                      <w:sz w:val="18"/>
                    </w:rPr>
                    <w:t>支持</w:t>
                  </w:r>
                  <w:r>
                    <w:rPr>
                      <w:rFonts w:ascii="宋体" w:hAnsi="宋体" w:cs="宋体" w:eastAsia="宋体"/>
                      <w:sz w:val="18"/>
                    </w:rPr>
                    <w:t>但不限于</w:t>
                  </w:r>
                  <w:r>
                    <w:rPr>
                      <w:rFonts w:ascii="宋体" w:hAnsi="宋体" w:cs="宋体" w:eastAsia="宋体"/>
                      <w:sz w:val="18"/>
                    </w:rPr>
                    <w:t>以可视化图表的形式展示</w:t>
                  </w:r>
                  <w:r>
                    <w:rPr>
                      <w:rFonts w:ascii="宋体" w:hAnsi="宋体" w:cs="宋体" w:eastAsia="宋体"/>
                      <w:sz w:val="18"/>
                    </w:rPr>
                    <w:t>平台每日在线</w:t>
                  </w:r>
                  <w:r>
                    <w:rPr>
                      <w:rFonts w:ascii="宋体" w:hAnsi="宋体" w:cs="宋体" w:eastAsia="宋体"/>
                      <w:sz w:val="18"/>
                    </w:rPr>
                    <w:t>实验机峰值最高并发实验机峰值</w:t>
                  </w:r>
                  <w:r>
                    <w:rPr>
                      <w:rFonts w:ascii="宋体" w:hAnsi="宋体" w:cs="宋体" w:eastAsia="宋体"/>
                      <w:sz w:val="18"/>
                    </w:rPr>
                    <w:t>、</w:t>
                  </w:r>
                  <w:r>
                    <w:rPr>
                      <w:rFonts w:ascii="宋体" w:hAnsi="宋体" w:cs="宋体" w:eastAsia="宋体"/>
                      <w:sz w:val="18"/>
                    </w:rPr>
                    <w:t>每</w:t>
                  </w:r>
                  <w:r>
                    <w:rPr>
                      <w:rFonts w:ascii="宋体" w:hAnsi="宋体" w:cs="宋体" w:eastAsia="宋体"/>
                      <w:sz w:val="18"/>
                    </w:rPr>
                    <w:t>日</w:t>
                  </w:r>
                  <w:r>
                    <w:rPr>
                      <w:rFonts w:ascii="宋体" w:hAnsi="宋体" w:cs="宋体" w:eastAsia="宋体"/>
                      <w:sz w:val="18"/>
                    </w:rPr>
                    <w:t>各时段实验机的实时实验机在线数和实验机并发数</w:t>
                  </w:r>
                  <w:r>
                    <w:rPr>
                      <w:rFonts w:ascii="宋体" w:hAnsi="宋体" w:cs="宋体" w:eastAsia="宋体"/>
                      <w:sz w:val="18"/>
                    </w:rPr>
                    <w:t>。</w:t>
                  </w:r>
                </w:p>
                <w:p>
                  <w:pPr>
                    <w:pStyle w:val="null3"/>
                    <w:jc w:val="left"/>
                  </w:pPr>
                  <w:r>
                    <w:rPr>
                      <w:rFonts w:ascii="宋体" w:hAnsi="宋体" w:cs="宋体" w:eastAsia="宋体"/>
                      <w:sz w:val="18"/>
                      <w:b/>
                    </w:rPr>
                    <w:t>7、课程教学功能</w:t>
                  </w:r>
                </w:p>
                <w:p>
                  <w:pPr>
                    <w:pStyle w:val="null3"/>
                    <w:jc w:val="both"/>
                  </w:pPr>
                  <w:r>
                    <w:rPr>
                      <w:rFonts w:ascii="宋体" w:hAnsi="宋体" w:cs="宋体" w:eastAsia="宋体"/>
                      <w:sz w:val="18"/>
                    </w:rPr>
                    <w:t>7.1、支持但不限于老师查看官方推荐的专业人才培养教学计划表，包括各学年推荐教学课程及课时和学分安排，各课程与官方课程相匹配，可直接跳转查看课程内容详情；</w:t>
                  </w:r>
                </w:p>
                <w:p>
                  <w:pPr>
                    <w:pStyle w:val="null3"/>
                  </w:pPr>
                  <w:r>
                    <w:rPr>
                      <w:rFonts w:ascii="宋体" w:hAnsi="宋体" w:cs="宋体" w:eastAsia="宋体"/>
                      <w:sz w:val="18"/>
                    </w:rPr>
                    <w:t>7.2、</w:t>
                  </w:r>
                  <w:r>
                    <w:rPr>
                      <w:rFonts w:ascii="宋体" w:hAnsi="宋体" w:cs="宋体" w:eastAsia="宋体"/>
                      <w:sz w:val="18"/>
                    </w:rPr>
                    <w:t>支持</w:t>
                  </w:r>
                  <w:r>
                    <w:rPr>
                      <w:rFonts w:ascii="宋体" w:hAnsi="宋体" w:cs="宋体" w:eastAsia="宋体"/>
                      <w:sz w:val="18"/>
                    </w:rPr>
                    <w:t>但不限于</w:t>
                  </w:r>
                  <w:r>
                    <w:rPr>
                      <w:rFonts w:ascii="宋体" w:hAnsi="宋体" w:cs="宋体" w:eastAsia="宋体"/>
                      <w:sz w:val="18"/>
                    </w:rPr>
                    <w:t>教师创建教学空间</w:t>
                  </w:r>
                  <w:r>
                    <w:rPr>
                      <w:rFonts w:ascii="宋体" w:hAnsi="宋体" w:cs="宋体" w:eastAsia="宋体"/>
                      <w:sz w:val="18"/>
                    </w:rPr>
                    <w:t>和项目空间；老师可以通过</w:t>
                  </w:r>
                  <w:r>
                    <w:rPr>
                      <w:rFonts w:ascii="宋体" w:hAnsi="宋体" w:cs="宋体" w:eastAsia="宋体"/>
                      <w:sz w:val="18"/>
                    </w:rPr>
                    <w:t>链接</w:t>
                  </w:r>
                  <w:r>
                    <w:rPr>
                      <w:rFonts w:ascii="宋体" w:hAnsi="宋体" w:cs="宋体" w:eastAsia="宋体"/>
                      <w:sz w:val="18"/>
                    </w:rPr>
                    <w:t>或</w:t>
                  </w:r>
                  <w:r>
                    <w:rPr>
                      <w:rFonts w:ascii="宋体" w:hAnsi="宋体" w:cs="宋体" w:eastAsia="宋体"/>
                      <w:sz w:val="18"/>
                    </w:rPr>
                    <w:t>二维码形式邀请</w:t>
                  </w:r>
                  <w:r>
                    <w:rPr>
                      <w:rFonts w:ascii="宋体" w:hAnsi="宋体" w:cs="宋体" w:eastAsia="宋体"/>
                      <w:sz w:val="18"/>
                    </w:rPr>
                    <w:t>学生</w:t>
                  </w:r>
                  <w:r>
                    <w:rPr>
                      <w:rFonts w:ascii="宋体" w:hAnsi="宋体" w:cs="宋体" w:eastAsia="宋体"/>
                      <w:sz w:val="18"/>
                    </w:rPr>
                    <w:t>加入空间</w:t>
                  </w:r>
                  <w:r>
                    <w:rPr>
                      <w:rFonts w:ascii="宋体" w:hAnsi="宋体" w:cs="宋体" w:eastAsia="宋体"/>
                      <w:sz w:val="18"/>
                    </w:rPr>
                    <w:t>，也能够按专业或班级将学生批量加入空间；支持将其他教师设置为当前空间指定班级的助教；</w:t>
                  </w:r>
                </w:p>
                <w:p>
                  <w:pPr>
                    <w:pStyle w:val="null3"/>
                  </w:pPr>
                  <w:r>
                    <w:rPr>
                      <w:rFonts w:ascii="宋体" w:hAnsi="宋体" w:cs="宋体" w:eastAsia="宋体"/>
                      <w:sz w:val="18"/>
                    </w:rPr>
                    <w:t>7.3、支持</w:t>
                  </w:r>
                  <w:r>
                    <w:rPr>
                      <w:rFonts w:ascii="宋体" w:hAnsi="宋体" w:cs="宋体" w:eastAsia="宋体"/>
                      <w:sz w:val="18"/>
                    </w:rPr>
                    <w:t>但不限于</w:t>
                  </w:r>
                  <w:r>
                    <w:rPr>
                      <w:rFonts w:ascii="宋体" w:hAnsi="宋体" w:cs="宋体" w:eastAsia="宋体"/>
                      <w:sz w:val="18"/>
                    </w:rPr>
                    <w:t>开通互动课程，支持课程录播、课堂延时、课堂群聊、课堂私信、课件播放、电子白板、学生举手、答题统计等功能；</w:t>
                  </w:r>
                  <w:r>
                    <w:rPr>
                      <w:rFonts w:ascii="宋体" w:hAnsi="宋体" w:cs="宋体" w:eastAsia="宋体"/>
                      <w:sz w:val="18"/>
                    </w:rPr>
                    <w:t>支持查看</w:t>
                  </w:r>
                  <w:r>
                    <w:rPr>
                      <w:rFonts w:ascii="宋体" w:hAnsi="宋体" w:cs="宋体" w:eastAsia="宋体"/>
                      <w:sz w:val="18"/>
                    </w:rPr>
                    <w:t>老师的</w:t>
                  </w:r>
                  <w:r>
                    <w:rPr>
                      <w:rFonts w:ascii="宋体" w:hAnsi="宋体" w:cs="宋体" w:eastAsia="宋体"/>
                      <w:sz w:val="18"/>
                    </w:rPr>
                    <w:t>上课记录，包括所属</w:t>
                  </w:r>
                  <w:r>
                    <w:rPr>
                      <w:rFonts w:ascii="宋体" w:hAnsi="宋体" w:cs="宋体" w:eastAsia="宋体"/>
                      <w:sz w:val="18"/>
                    </w:rPr>
                    <w:t>课程</w:t>
                  </w:r>
                  <w:r>
                    <w:rPr>
                      <w:rFonts w:ascii="宋体" w:hAnsi="宋体" w:cs="宋体" w:eastAsia="宋体"/>
                      <w:sz w:val="18"/>
                    </w:rPr>
                    <w:t>、授课老师、课堂类型、课堂状态、</w:t>
                  </w:r>
                  <w:r>
                    <w:rPr>
                      <w:rFonts w:ascii="宋体" w:hAnsi="宋体" w:cs="宋体" w:eastAsia="宋体"/>
                      <w:sz w:val="18"/>
                    </w:rPr>
                    <w:t>上课</w:t>
                  </w:r>
                  <w:r>
                    <w:rPr>
                      <w:rFonts w:ascii="宋体" w:hAnsi="宋体" w:cs="宋体" w:eastAsia="宋体"/>
                      <w:sz w:val="18"/>
                    </w:rPr>
                    <w:t>时长、课堂内聊天记录等数据；</w:t>
                  </w:r>
                  <w:r>
                    <w:rPr>
                      <w:rFonts w:ascii="宋体" w:hAnsi="宋体" w:cs="宋体" w:eastAsia="宋体"/>
                      <w:sz w:val="18"/>
                    </w:rPr>
                    <w:t>支持统计</w:t>
                  </w:r>
                  <w:r>
                    <w:rPr>
                      <w:rFonts w:ascii="宋体" w:hAnsi="宋体" w:cs="宋体" w:eastAsia="宋体"/>
                      <w:sz w:val="18"/>
                    </w:rPr>
                    <w:t>各课程的出勤人数、出勤率和学习时长</w:t>
                  </w:r>
                  <w:r>
                    <w:rPr>
                      <w:rFonts w:ascii="宋体" w:hAnsi="宋体" w:cs="宋体" w:eastAsia="宋体"/>
                      <w:sz w:val="18"/>
                    </w:rPr>
                    <w:t>并以可视化图标展示统计结果；</w:t>
                  </w:r>
                </w:p>
                <w:p>
                  <w:pPr>
                    <w:pStyle w:val="null3"/>
                    <w:jc w:val="both"/>
                  </w:pPr>
                  <w:r>
                    <w:rPr>
                      <w:rFonts w:ascii="宋体" w:hAnsi="宋体" w:cs="宋体" w:eastAsia="宋体"/>
                      <w:sz w:val="18"/>
                    </w:rPr>
                    <w:t>7.4、同一空间支持</w:t>
                  </w:r>
                  <w:r>
                    <w:rPr>
                      <w:rFonts w:ascii="宋体" w:hAnsi="宋体" w:cs="宋体" w:eastAsia="宋体"/>
                      <w:sz w:val="18"/>
                    </w:rPr>
                    <w:t>但不限于</w:t>
                  </w:r>
                  <w:r>
                    <w:rPr>
                      <w:rFonts w:ascii="宋体" w:hAnsi="宋体" w:cs="宋体" w:eastAsia="宋体"/>
                      <w:sz w:val="18"/>
                    </w:rPr>
                    <w:t>开通多门任务课程，并分别设置每门课程的有效时间和达标分值；</w:t>
                  </w:r>
                  <w:r>
                    <w:rPr>
                      <w:rFonts w:ascii="宋体" w:hAnsi="宋体" w:cs="宋体" w:eastAsia="宋体"/>
                      <w:sz w:val="18"/>
                    </w:rPr>
                    <w:t>课程</w:t>
                  </w:r>
                  <w:r>
                    <w:rPr>
                      <w:rFonts w:ascii="宋体" w:hAnsi="宋体" w:cs="宋体" w:eastAsia="宋体"/>
                      <w:sz w:val="18"/>
                    </w:rPr>
                    <w:t>可设置为</w:t>
                  </w:r>
                  <w:r>
                    <w:rPr>
                      <w:rFonts w:ascii="宋体" w:hAnsi="宋体" w:cs="宋体" w:eastAsia="宋体"/>
                      <w:sz w:val="18"/>
                    </w:rPr>
                    <w:t>必修</w:t>
                  </w:r>
                  <w:r>
                    <w:rPr>
                      <w:rFonts w:ascii="宋体" w:hAnsi="宋体" w:cs="宋体" w:eastAsia="宋体"/>
                      <w:sz w:val="18"/>
                    </w:rPr>
                    <w:t>或</w:t>
                  </w:r>
                  <w:r>
                    <w:rPr>
                      <w:rFonts w:ascii="宋体" w:hAnsi="宋体" w:cs="宋体" w:eastAsia="宋体"/>
                      <w:sz w:val="18"/>
                    </w:rPr>
                    <w:t>选修</w:t>
                  </w:r>
                  <w:r>
                    <w:rPr>
                      <w:rFonts w:ascii="宋体" w:hAnsi="宋体" w:cs="宋体" w:eastAsia="宋体"/>
                      <w:sz w:val="18"/>
                    </w:rPr>
                    <w:t>学习模式，选修模式一次性开放所有学习任务，必修模式下学生需要以闯关形式完成课程任务；</w:t>
                  </w:r>
                </w:p>
                <w:p>
                  <w:pPr>
                    <w:pStyle w:val="null3"/>
                    <w:jc w:val="both"/>
                  </w:pPr>
                  <w:r>
                    <w:rPr>
                      <w:rFonts w:ascii="宋体" w:hAnsi="宋体" w:cs="宋体" w:eastAsia="宋体"/>
                      <w:sz w:val="18"/>
                    </w:rPr>
                    <w:t>7.5、学生能够进入课程学习页面在线浏览课件或观看教学视频；视频播放时能够自动记录和定位到上一次学习进度，支持打开配套实验机边看边练；课程章节之间支持自由跳转；支持用户在线编辑、保存学习笔记；</w:t>
                  </w:r>
                </w:p>
                <w:p>
                  <w:pPr>
                    <w:pStyle w:val="null3"/>
                    <w:jc w:val="left"/>
                  </w:pPr>
                  <w:r>
                    <w:rPr>
                      <w:rFonts w:ascii="宋体" w:hAnsi="宋体" w:cs="宋体" w:eastAsia="宋体"/>
                      <w:sz w:val="18"/>
                    </w:rPr>
                    <w:t>7.6、支持但不限于打开在线编程环境进行编程练习，支持但不限于自定义设置代码字号、行距和环境主题配色，支持Python、Java、C++等多种编程语言，能够在线提交、编译运行、保存编写的代码，支持键盘输入数据进行交互式编程并能够即时反馈代码执行结果；支持查看编程题解和代码提交记录。</w:t>
                  </w:r>
                </w:p>
                <w:p>
                  <w:pPr>
                    <w:pStyle w:val="null3"/>
                  </w:pPr>
                  <w:r>
                    <w:rPr>
                      <w:rFonts w:ascii="宋体" w:hAnsi="宋体" w:cs="宋体" w:eastAsia="宋体"/>
                      <w:sz w:val="18"/>
                      <w:b/>
                    </w:rPr>
                    <w:t>8、实验实战功能</w:t>
                  </w:r>
                </w:p>
                <w:p>
                  <w:pPr>
                    <w:pStyle w:val="null3"/>
                  </w:pPr>
                  <w:r>
                    <w:rPr>
                      <w:rFonts w:ascii="宋体" w:hAnsi="宋体" w:cs="宋体" w:eastAsia="宋体"/>
                      <w:sz w:val="18"/>
                    </w:rPr>
                    <w:t>8.1、</w:t>
                  </w:r>
                  <w:r>
                    <w:rPr>
                      <w:rFonts w:ascii="宋体" w:hAnsi="宋体" w:cs="宋体" w:eastAsia="宋体"/>
                      <w:sz w:val="18"/>
                    </w:rPr>
                    <w:t>支持</w:t>
                  </w:r>
                  <w:r>
                    <w:rPr>
                      <w:rFonts w:ascii="宋体" w:hAnsi="宋体" w:cs="宋体" w:eastAsia="宋体"/>
                      <w:sz w:val="18"/>
                    </w:rPr>
                    <w:t>但不限于</w:t>
                  </w:r>
                  <w:r>
                    <w:rPr>
                      <w:rFonts w:ascii="宋体" w:hAnsi="宋体" w:cs="宋体" w:eastAsia="宋体"/>
                      <w:sz w:val="18"/>
                    </w:rPr>
                    <w:t>学生进入教学空间或项目空间</w:t>
                  </w:r>
                  <w:r>
                    <w:rPr>
                      <w:rFonts w:ascii="宋体" w:hAnsi="宋体" w:cs="宋体" w:eastAsia="宋体"/>
                      <w:sz w:val="18"/>
                    </w:rPr>
                    <w:t>查看课程大纲</w:t>
                  </w:r>
                  <w:r>
                    <w:rPr>
                      <w:rFonts w:ascii="宋体" w:hAnsi="宋体" w:cs="宋体" w:eastAsia="宋体"/>
                      <w:sz w:val="18"/>
                    </w:rPr>
                    <w:t>和知识图谱；学生根据老师开通的任务或项目课程学习路径进行实操训练，支持进入实验环境进行实验练习；</w:t>
                  </w:r>
                </w:p>
                <w:p>
                  <w:pPr>
                    <w:pStyle w:val="null3"/>
                  </w:pPr>
                  <w:r>
                    <w:rPr>
                      <w:rFonts w:ascii="宋体" w:hAnsi="宋体" w:cs="宋体" w:eastAsia="宋体"/>
                      <w:sz w:val="18"/>
                    </w:rPr>
                    <w:t>8.2、每个实验任务包含</w:t>
                  </w:r>
                  <w:r>
                    <w:rPr>
                      <w:rFonts w:ascii="宋体" w:hAnsi="宋体" w:cs="宋体" w:eastAsia="宋体"/>
                      <w:sz w:val="18"/>
                    </w:rPr>
                    <w:t>但不限于</w:t>
                  </w:r>
                  <w:r>
                    <w:rPr>
                      <w:rFonts w:ascii="宋体" w:hAnsi="宋体" w:cs="宋体" w:eastAsia="宋体"/>
                      <w:sz w:val="18"/>
                    </w:rPr>
                    <w:t>实验指导手册和配套图形化桌面实验机，指导书内容包括实验目的、实验原理、实验环境、实验内容、详细的</w:t>
                  </w:r>
                  <w:r>
                    <w:rPr>
                      <w:rFonts w:ascii="宋体" w:hAnsi="宋体" w:cs="宋体" w:eastAsia="宋体"/>
                      <w:sz w:val="18"/>
                    </w:rPr>
                    <w:t>图文</w:t>
                  </w:r>
                  <w:r>
                    <w:rPr>
                      <w:rFonts w:ascii="宋体" w:hAnsi="宋体" w:cs="宋体" w:eastAsia="宋体"/>
                      <w:sz w:val="18"/>
                    </w:rPr>
                    <w:t>实验步骤、</w:t>
                  </w:r>
                  <w:r>
                    <w:rPr>
                      <w:rFonts w:ascii="宋体" w:hAnsi="宋体" w:cs="宋体" w:eastAsia="宋体"/>
                      <w:sz w:val="18"/>
                    </w:rPr>
                    <w:t>参考代码、</w:t>
                  </w:r>
                  <w:r>
                    <w:rPr>
                      <w:rFonts w:ascii="宋体" w:hAnsi="宋体" w:cs="宋体" w:eastAsia="宋体"/>
                      <w:sz w:val="18"/>
                    </w:rPr>
                    <w:t>正确</w:t>
                  </w:r>
                  <w:r>
                    <w:rPr>
                      <w:rFonts w:ascii="宋体" w:hAnsi="宋体" w:cs="宋体" w:eastAsia="宋体"/>
                      <w:sz w:val="18"/>
                    </w:rPr>
                    <w:t>实验结果</w:t>
                  </w:r>
                  <w:r>
                    <w:rPr>
                      <w:rFonts w:ascii="宋体" w:hAnsi="宋体" w:cs="宋体" w:eastAsia="宋体"/>
                      <w:sz w:val="18"/>
                    </w:rPr>
                    <w:t>；</w:t>
                  </w:r>
                  <w:r>
                    <w:rPr>
                      <w:rFonts w:ascii="宋体" w:hAnsi="宋体" w:cs="宋体" w:eastAsia="宋体"/>
                      <w:sz w:val="18"/>
                    </w:rPr>
                    <w:t>实验机</w:t>
                  </w:r>
                  <w:r>
                    <w:rPr>
                      <w:rFonts w:ascii="宋体" w:hAnsi="宋体" w:cs="宋体" w:eastAsia="宋体"/>
                      <w:sz w:val="18"/>
                    </w:rPr>
                    <w:t>支持文档模式、操作模式和兼容模式自由切换，兼容模式能够同屏显示实验指导书和图形化实验环境；</w:t>
                  </w:r>
                </w:p>
                <w:p>
                  <w:pPr>
                    <w:pStyle w:val="null3"/>
                  </w:pPr>
                  <w:r>
                    <w:rPr>
                      <w:rFonts w:ascii="宋体" w:hAnsi="宋体" w:cs="宋体" w:eastAsia="宋体"/>
                      <w:sz w:val="18"/>
                    </w:rPr>
                    <w:t>8.3、实验机支持</w:t>
                  </w:r>
                  <w:r>
                    <w:rPr>
                      <w:rFonts w:ascii="宋体" w:hAnsi="宋体" w:cs="宋体" w:eastAsia="宋体"/>
                      <w:sz w:val="18"/>
                    </w:rPr>
                    <w:t>但不限于</w:t>
                  </w:r>
                  <w:r>
                    <w:rPr>
                      <w:rFonts w:ascii="宋体" w:hAnsi="宋体" w:cs="宋体" w:eastAsia="宋体"/>
                      <w:sz w:val="18"/>
                    </w:rPr>
                    <w:t>与本地进行文件互传；支持文字粘贴板功能；支持实验机调用摄像头，支持摄像头图像采集、摄像头视频录制、屏幕录制三种模式；实验机支持重启和初始化，能够一键还原到实验机的初始状态；支持远程协助，包括协同操作和桌面广播两种协助模式；</w:t>
                  </w:r>
                </w:p>
                <w:p>
                  <w:pPr>
                    <w:pStyle w:val="null3"/>
                    <w:jc w:val="left"/>
                  </w:pPr>
                  <w:r>
                    <w:rPr>
                      <w:rFonts w:ascii="宋体" w:hAnsi="宋体" w:cs="宋体" w:eastAsia="宋体"/>
                      <w:sz w:val="18"/>
                    </w:rPr>
                    <w:t>8.4、支持</w:t>
                  </w:r>
                  <w:r>
                    <w:rPr>
                      <w:rFonts w:ascii="宋体" w:hAnsi="宋体" w:cs="宋体" w:eastAsia="宋体"/>
                      <w:sz w:val="18"/>
                    </w:rPr>
                    <w:t>但不限于</w:t>
                  </w:r>
                  <w:r>
                    <w:rPr>
                      <w:rFonts w:ascii="宋体" w:hAnsi="宋体" w:cs="宋体" w:eastAsia="宋体"/>
                      <w:sz w:val="18"/>
                    </w:rPr>
                    <w:t>实验机快照功能，用户可以创建快照单独保存当前实验机状态；支持进入已保存的快照环境；支持删除自己创建的实验机快照；管理员能够查看所有快照的镜像源、所属集群、运行状态等信息，能够批量停止或删除快照容器、批量删除快照；</w:t>
                  </w:r>
                </w:p>
                <w:p>
                  <w:pPr>
                    <w:pStyle w:val="null3"/>
                  </w:pPr>
                  <w:r>
                    <w:rPr>
                      <w:rFonts w:ascii="宋体" w:hAnsi="宋体" w:cs="宋体" w:eastAsia="宋体"/>
                      <w:sz w:val="18"/>
                    </w:rPr>
                    <w:t>8.5、支持</w:t>
                  </w:r>
                  <w:r>
                    <w:rPr>
                      <w:rFonts w:ascii="宋体" w:hAnsi="宋体" w:cs="宋体" w:eastAsia="宋体"/>
                      <w:sz w:val="18"/>
                    </w:rPr>
                    <w:t>但不限于</w:t>
                  </w:r>
                  <w:r>
                    <w:rPr>
                      <w:rFonts w:ascii="宋体" w:hAnsi="宋体" w:cs="宋体" w:eastAsia="宋体"/>
                      <w:sz w:val="18"/>
                    </w:rPr>
                    <w:t>实验操作时长控制，老师可以设置要求学生完成实验的时间，若学生在规定时间内没有完成，实验机支持续时延长可操作时间；</w:t>
                  </w:r>
                </w:p>
                <w:p>
                  <w:pPr>
                    <w:pStyle w:val="null3"/>
                  </w:pPr>
                  <w:r>
                    <w:rPr>
                      <w:rFonts w:ascii="宋体" w:hAnsi="宋体" w:cs="宋体" w:eastAsia="宋体"/>
                      <w:sz w:val="18"/>
                    </w:rPr>
                    <w:t>8.6、</w:t>
                  </w:r>
                  <w:r>
                    <w:rPr>
                      <w:rFonts w:ascii="宋体" w:hAnsi="宋体" w:cs="宋体" w:eastAsia="宋体"/>
                      <w:sz w:val="18"/>
                    </w:rPr>
                    <w:t>支持</w:t>
                  </w:r>
                  <w:r>
                    <w:rPr>
                      <w:rFonts w:ascii="宋体" w:hAnsi="宋体" w:cs="宋体" w:eastAsia="宋体"/>
                      <w:sz w:val="18"/>
                    </w:rPr>
                    <w:t>但不限于</w:t>
                  </w:r>
                  <w:r>
                    <w:rPr>
                      <w:rFonts w:ascii="宋体" w:hAnsi="宋体" w:cs="宋体" w:eastAsia="宋体"/>
                      <w:sz w:val="18"/>
                    </w:rPr>
                    <w:t>对学生的</w:t>
                  </w:r>
                  <w:r>
                    <w:rPr>
                      <w:rFonts w:ascii="宋体" w:hAnsi="宋体" w:cs="宋体" w:eastAsia="宋体"/>
                      <w:sz w:val="18"/>
                    </w:rPr>
                    <w:t>实验结果</w:t>
                  </w:r>
                  <w:r>
                    <w:rPr>
                      <w:rFonts w:ascii="宋体" w:hAnsi="宋体" w:cs="宋体" w:eastAsia="宋体"/>
                      <w:sz w:val="18"/>
                    </w:rPr>
                    <w:t>自动检测</w:t>
                  </w:r>
                  <w:r>
                    <w:rPr>
                      <w:rFonts w:ascii="宋体" w:hAnsi="宋体" w:cs="宋体" w:eastAsia="宋体"/>
                      <w:sz w:val="18"/>
                    </w:rPr>
                    <w:t>，</w:t>
                  </w:r>
                  <w:r>
                    <w:rPr>
                      <w:rFonts w:ascii="宋体" w:hAnsi="宋体" w:cs="宋体" w:eastAsia="宋体"/>
                      <w:sz w:val="18"/>
                    </w:rPr>
                    <w:t>可以</w:t>
                  </w:r>
                  <w:r>
                    <w:rPr>
                      <w:rFonts w:ascii="宋体" w:hAnsi="宋体" w:cs="宋体" w:eastAsia="宋体"/>
                      <w:sz w:val="18"/>
                    </w:rPr>
                    <w:t>通过预先设置好的检测条件</w:t>
                  </w:r>
                  <w:r>
                    <w:rPr>
                      <w:rFonts w:ascii="宋体" w:hAnsi="宋体" w:cs="宋体" w:eastAsia="宋体"/>
                      <w:sz w:val="18"/>
                    </w:rPr>
                    <w:t>判断</w:t>
                  </w:r>
                  <w:r>
                    <w:rPr>
                      <w:rFonts w:ascii="宋体" w:hAnsi="宋体" w:cs="宋体" w:eastAsia="宋体"/>
                      <w:sz w:val="18"/>
                    </w:rPr>
                    <w:t>学生的实验</w:t>
                  </w:r>
                  <w:r>
                    <w:rPr>
                      <w:rFonts w:ascii="宋体" w:hAnsi="宋体" w:cs="宋体" w:eastAsia="宋体"/>
                      <w:sz w:val="18"/>
                    </w:rPr>
                    <w:t>过程是否操作正确，并根据检测项权重计算实验得分；</w:t>
                  </w:r>
                </w:p>
                <w:p>
                  <w:pPr>
                    <w:pStyle w:val="null3"/>
                  </w:pPr>
                  <w:r>
                    <w:rPr>
                      <w:rFonts w:ascii="宋体" w:hAnsi="宋体" w:cs="宋体" w:eastAsia="宋体"/>
                      <w:sz w:val="18"/>
                    </w:rPr>
                    <w:t>8.7、</w:t>
                  </w:r>
                  <w:r>
                    <w:rPr>
                      <w:rFonts w:ascii="宋体" w:hAnsi="宋体" w:cs="宋体" w:eastAsia="宋体"/>
                      <w:sz w:val="18"/>
                    </w:rPr>
                    <w:t>支持</w:t>
                  </w:r>
                  <w:r>
                    <w:rPr>
                      <w:rFonts w:ascii="宋体" w:hAnsi="宋体" w:cs="宋体" w:eastAsia="宋体"/>
                      <w:sz w:val="18"/>
                    </w:rPr>
                    <w:t>但不限于</w:t>
                  </w:r>
                  <w:r>
                    <w:rPr>
                      <w:rFonts w:ascii="宋体" w:hAnsi="宋体" w:cs="宋体" w:eastAsia="宋体"/>
                      <w:sz w:val="18"/>
                    </w:rPr>
                    <w:t>学生</w:t>
                  </w:r>
                  <w:r>
                    <w:rPr>
                      <w:rFonts w:ascii="宋体" w:hAnsi="宋体" w:cs="宋体" w:eastAsia="宋体"/>
                      <w:sz w:val="18"/>
                    </w:rPr>
                    <w:t>在线编写实验报告，支持实验机截图功能，能够将当前实验机桌面生成截图并插入到实验报告中；截图</w:t>
                  </w:r>
                  <w:r>
                    <w:rPr>
                      <w:rFonts w:ascii="宋体" w:hAnsi="宋体" w:cs="宋体" w:eastAsia="宋体"/>
                      <w:sz w:val="18"/>
                    </w:rPr>
                    <w:t>能够</w:t>
                  </w:r>
                  <w:r>
                    <w:rPr>
                      <w:rFonts w:ascii="宋体" w:hAnsi="宋体" w:cs="宋体" w:eastAsia="宋体"/>
                      <w:sz w:val="18"/>
                    </w:rPr>
                    <w:t>显示当前用户</w:t>
                  </w:r>
                  <w:r>
                    <w:rPr>
                      <w:rFonts w:ascii="宋体" w:hAnsi="宋体" w:cs="宋体" w:eastAsia="宋体"/>
                      <w:sz w:val="18"/>
                    </w:rPr>
                    <w:t>名称</w:t>
                  </w:r>
                  <w:r>
                    <w:rPr>
                      <w:rFonts w:ascii="宋体" w:hAnsi="宋体" w:cs="宋体" w:eastAsia="宋体"/>
                      <w:sz w:val="18"/>
                    </w:rPr>
                    <w:t>和</w:t>
                  </w:r>
                  <w:r>
                    <w:rPr>
                      <w:rFonts w:ascii="宋体" w:hAnsi="宋体" w:cs="宋体" w:eastAsia="宋体"/>
                      <w:sz w:val="18"/>
                    </w:rPr>
                    <w:t>截图</w:t>
                  </w:r>
                  <w:r>
                    <w:rPr>
                      <w:rFonts w:ascii="宋体" w:hAnsi="宋体" w:cs="宋体" w:eastAsia="宋体"/>
                      <w:sz w:val="18"/>
                    </w:rPr>
                    <w:t>时间；支持老师批量审核学生实验报告并打分；支持对学生提交的实验报告进行审核通过、驳回、评分、编写评语；支持批量导出学生实验成绩和实验报告；</w:t>
                  </w:r>
                </w:p>
                <w:p>
                  <w:pPr>
                    <w:pStyle w:val="null3"/>
                  </w:pPr>
                  <w:r>
                    <w:rPr>
                      <w:rFonts w:ascii="宋体" w:hAnsi="宋体" w:cs="宋体" w:eastAsia="宋体"/>
                      <w:sz w:val="18"/>
                    </w:rPr>
                    <w:t>8.8、平台支持</w:t>
                  </w:r>
                  <w:r>
                    <w:rPr>
                      <w:rFonts w:ascii="宋体" w:hAnsi="宋体" w:cs="宋体" w:eastAsia="宋体"/>
                      <w:sz w:val="18"/>
                    </w:rPr>
                    <w:t>但不限于</w:t>
                  </w:r>
                  <w:r>
                    <w:rPr>
                      <w:rFonts w:ascii="宋体" w:hAnsi="宋体" w:cs="宋体" w:eastAsia="宋体"/>
                      <w:sz w:val="18"/>
                    </w:rPr>
                    <w:t>自动对学生实验操作过程进行监控，老师能够回放学生实验机桌面以及键盘输入数据和实验操作画面。</w:t>
                  </w:r>
                </w:p>
                <w:p>
                  <w:pPr>
                    <w:pStyle w:val="null3"/>
                    <w:jc w:val="left"/>
                  </w:pPr>
                  <w:r>
                    <w:rPr>
                      <w:rFonts w:ascii="宋体" w:hAnsi="宋体" w:cs="宋体" w:eastAsia="宋体"/>
                      <w:sz w:val="18"/>
                      <w:b/>
                    </w:rPr>
                    <w:t>9、考试与作业功能</w:t>
                  </w:r>
                </w:p>
                <w:p>
                  <w:pPr>
                    <w:pStyle w:val="null3"/>
                    <w:jc w:val="left"/>
                  </w:pPr>
                  <w:r>
                    <w:rPr>
                      <w:rFonts w:ascii="宋体" w:hAnsi="宋体" w:cs="宋体" w:eastAsia="宋体"/>
                      <w:sz w:val="18"/>
                    </w:rPr>
                    <w:t>9.1、支持但不限于导入系统题库；支持新增、修改、删除、检索习题；</w:t>
                  </w:r>
                  <w:r>
                    <w:rPr>
                      <w:rFonts w:ascii="宋体" w:hAnsi="宋体" w:cs="宋体" w:eastAsia="宋体"/>
                      <w:sz w:val="18"/>
                    </w:rPr>
                    <w:t>支持单选、多选、判断、在线编程</w:t>
                  </w:r>
                  <w:r>
                    <w:rPr>
                      <w:rFonts w:ascii="宋体" w:hAnsi="宋体" w:cs="宋体" w:eastAsia="宋体"/>
                      <w:sz w:val="18"/>
                    </w:rPr>
                    <w:t>、实验操作、简答题等多种题型；支持批量导入习题；支持创建试卷，</w:t>
                  </w:r>
                  <w:r>
                    <w:rPr>
                      <w:rFonts w:ascii="宋体" w:hAnsi="宋体" w:cs="宋体" w:eastAsia="宋体"/>
                      <w:sz w:val="18"/>
                    </w:rPr>
                    <w:t>试卷支持多次复用；支持老师为学生下发作业或考试，平台能够按老师预设的抽题规则从题库中抽题；</w:t>
                  </w:r>
                </w:p>
                <w:p>
                  <w:pPr>
                    <w:pStyle w:val="null3"/>
                  </w:pPr>
                  <w:r>
                    <w:rPr>
                      <w:rFonts w:ascii="宋体" w:hAnsi="宋体" w:cs="宋体" w:eastAsia="宋体"/>
                      <w:sz w:val="18"/>
                    </w:rPr>
                    <w:t>9.2、支持</w:t>
                  </w:r>
                  <w:r>
                    <w:rPr>
                      <w:rFonts w:ascii="宋体" w:hAnsi="宋体" w:cs="宋体" w:eastAsia="宋体"/>
                      <w:sz w:val="18"/>
                    </w:rPr>
                    <w:t>但不限于</w:t>
                  </w:r>
                  <w:r>
                    <w:rPr>
                      <w:rFonts w:ascii="宋体" w:hAnsi="宋体" w:cs="宋体" w:eastAsia="宋体"/>
                      <w:sz w:val="18"/>
                    </w:rPr>
                    <w:t>学生在线考试答题</w:t>
                  </w:r>
                  <w:r>
                    <w:rPr>
                      <w:rFonts w:ascii="宋体" w:hAnsi="宋体" w:cs="宋体" w:eastAsia="宋体"/>
                      <w:sz w:val="18"/>
                    </w:rPr>
                    <w:t>;支持考试防作弊功能，学生考试答题页面禁用鼠标右键、禁止选中、禁用快捷键；学生提交后平台能够自动判卷；</w:t>
                  </w:r>
                  <w:r>
                    <w:rPr>
                      <w:rFonts w:ascii="宋体" w:hAnsi="宋体" w:cs="宋体" w:eastAsia="宋体"/>
                      <w:sz w:val="18"/>
                    </w:rPr>
                    <w:t>支持老师查看学生答题详情、错误率、修改题目得分</w:t>
                  </w:r>
                  <w:r>
                    <w:rPr>
                      <w:rFonts w:ascii="宋体" w:hAnsi="宋体" w:cs="宋体" w:eastAsia="宋体"/>
                      <w:sz w:val="18"/>
                    </w:rPr>
                    <w:t>、驳回重答</w:t>
                  </w:r>
                  <w:r>
                    <w:rPr>
                      <w:rFonts w:ascii="宋体" w:hAnsi="宋体" w:cs="宋体" w:eastAsia="宋体"/>
                      <w:sz w:val="18"/>
                    </w:rPr>
                    <w:t>；</w:t>
                  </w:r>
                </w:p>
                <w:p>
                  <w:pPr>
                    <w:pStyle w:val="null3"/>
                  </w:pPr>
                  <w:r>
                    <w:rPr>
                      <w:rFonts w:ascii="宋体" w:hAnsi="宋体" w:cs="宋体" w:eastAsia="宋体"/>
                      <w:sz w:val="18"/>
                    </w:rPr>
                    <w:t>9.3、支持</w:t>
                  </w:r>
                  <w:r>
                    <w:rPr>
                      <w:rFonts w:ascii="宋体" w:hAnsi="宋体" w:cs="宋体" w:eastAsia="宋体"/>
                      <w:sz w:val="18"/>
                    </w:rPr>
                    <w:t>但不限于</w:t>
                  </w:r>
                  <w:r>
                    <w:rPr>
                      <w:rFonts w:ascii="宋体" w:hAnsi="宋体" w:cs="宋体" w:eastAsia="宋体"/>
                      <w:sz w:val="18"/>
                    </w:rPr>
                    <w:t>对学生答题情况进行统计，包括提交率、及格率、优秀率、答题用时、答题排名等信息，能够</w:t>
                  </w:r>
                  <w:r>
                    <w:rPr>
                      <w:rFonts w:ascii="宋体" w:hAnsi="宋体" w:cs="宋体" w:eastAsia="宋体"/>
                      <w:sz w:val="18"/>
                    </w:rPr>
                    <w:t>查看</w:t>
                  </w:r>
                  <w:r>
                    <w:rPr>
                      <w:rFonts w:ascii="宋体" w:hAnsi="宋体" w:cs="宋体" w:eastAsia="宋体"/>
                      <w:sz w:val="18"/>
                    </w:rPr>
                    <w:t>学生</w:t>
                  </w:r>
                  <w:r>
                    <w:rPr>
                      <w:rFonts w:ascii="宋体" w:hAnsi="宋体" w:cs="宋体" w:eastAsia="宋体"/>
                      <w:sz w:val="18"/>
                    </w:rPr>
                    <w:t>试卷作答详情</w:t>
                  </w:r>
                  <w:r>
                    <w:rPr>
                      <w:rFonts w:ascii="宋体" w:hAnsi="宋体" w:cs="宋体" w:eastAsia="宋体"/>
                      <w:sz w:val="18"/>
                    </w:rPr>
                    <w:t>并</w:t>
                  </w:r>
                  <w:r>
                    <w:rPr>
                      <w:rFonts w:ascii="宋体" w:hAnsi="宋体" w:cs="宋体" w:eastAsia="宋体"/>
                      <w:sz w:val="18"/>
                    </w:rPr>
                    <w:t>将</w:t>
                  </w:r>
                  <w:r>
                    <w:rPr>
                      <w:rFonts w:ascii="宋体" w:hAnsi="宋体" w:cs="宋体" w:eastAsia="宋体"/>
                      <w:sz w:val="18"/>
                    </w:rPr>
                    <w:t>学生答题成绩</w:t>
                  </w:r>
                  <w:r>
                    <w:rPr>
                      <w:rFonts w:ascii="宋体" w:hAnsi="宋体" w:cs="宋体" w:eastAsia="宋体"/>
                      <w:sz w:val="18"/>
                    </w:rPr>
                    <w:t>导出为文件</w:t>
                  </w:r>
                  <w:r>
                    <w:rPr>
                      <w:rFonts w:ascii="宋体" w:hAnsi="宋体" w:cs="宋体" w:eastAsia="宋体"/>
                      <w:sz w:val="18"/>
                    </w:rPr>
                    <w:t>；支持对试卷中每道题目的作答情况进行统计分析，能够统计每道题目的答题人数和正确率、各选项的提交数，以及每位学生提交的答案详情。</w:t>
                  </w:r>
                </w:p>
                <w:p>
                  <w:pPr>
                    <w:pStyle w:val="null3"/>
                    <w:jc w:val="left"/>
                  </w:pPr>
                  <w:r>
                    <w:rPr>
                      <w:rFonts w:ascii="宋体" w:hAnsi="宋体" w:cs="宋体" w:eastAsia="宋体"/>
                      <w:sz w:val="18"/>
                      <w:b/>
                    </w:rPr>
                    <w:t>10</w:t>
                  </w:r>
                  <w:r>
                    <w:rPr>
                      <w:rFonts w:ascii="宋体" w:hAnsi="宋体" w:cs="宋体" w:eastAsia="宋体"/>
                      <w:sz w:val="18"/>
                      <w:b/>
                    </w:rPr>
                    <w:t>、网站</w:t>
                  </w:r>
                  <w:r>
                    <w:rPr>
                      <w:rFonts w:ascii="宋体" w:hAnsi="宋体" w:cs="宋体" w:eastAsia="宋体"/>
                      <w:sz w:val="18"/>
                      <w:b/>
                    </w:rPr>
                    <w:t>个性化</w:t>
                  </w:r>
                  <w:r>
                    <w:rPr>
                      <w:rFonts w:ascii="宋体" w:hAnsi="宋体" w:cs="宋体" w:eastAsia="宋体"/>
                      <w:sz w:val="18"/>
                      <w:b/>
                    </w:rPr>
                    <w:t>配置</w:t>
                  </w:r>
                  <w:r>
                    <w:rPr>
                      <w:rFonts w:ascii="宋体" w:hAnsi="宋体" w:cs="宋体" w:eastAsia="宋体"/>
                      <w:sz w:val="18"/>
                      <w:b/>
                    </w:rPr>
                    <w:t>功能</w:t>
                  </w:r>
                </w:p>
                <w:p>
                  <w:pPr>
                    <w:pStyle w:val="null3"/>
                    <w:jc w:val="left"/>
                  </w:pPr>
                  <w:r>
                    <w:rPr>
                      <w:rFonts w:ascii="宋体" w:hAnsi="宋体" w:cs="宋体" w:eastAsia="宋体"/>
                      <w:sz w:val="18"/>
                    </w:rPr>
                    <w:t>10.1、提供但不限于主题功能，能够根据系统配色方案改变系统主题风格；支持一键更换深色或浅色系统主题风格方案；支持切换中文、英文系统语言；</w:t>
                  </w:r>
                </w:p>
                <w:p>
                  <w:pPr>
                    <w:pStyle w:val="null3"/>
                    <w:jc w:val="left"/>
                  </w:pPr>
                  <w:r>
                    <w:rPr>
                      <w:rFonts w:ascii="宋体" w:hAnsi="宋体" w:cs="宋体" w:eastAsia="宋体"/>
                      <w:sz w:val="18"/>
                    </w:rPr>
                    <w:t>10.2、支持但不限于自定义设置平台的名称和Logo；支持自定义设置前台首页展示样式模板，能够修改平台宣传语和首页二级模块的文案，或上传首页图片。</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套</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计算机基础课程资源</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8"/>
                    </w:rPr>
                    <w:t>提供视频课程和实验任务，包括</w:t>
                  </w:r>
                  <w:r>
                    <w:rPr>
                      <w:rFonts w:ascii="宋体" w:hAnsi="宋体" w:cs="宋体" w:eastAsia="宋体"/>
                      <w:sz w:val="18"/>
                    </w:rPr>
                    <w:t>Linux操作系统、MySQL数据库、MongoDB数据库、Python编程语言、Java编程语言、数据采集、数据分析、数据可视化、数据科学理论等内容。</w:t>
                  </w:r>
                </w:p>
                <w:p>
                  <w:pPr>
                    <w:pStyle w:val="null3"/>
                  </w:pPr>
                  <w:r>
                    <w:rPr>
                      <w:rFonts w:ascii="宋体" w:hAnsi="宋体" w:cs="宋体" w:eastAsia="宋体"/>
                      <w:sz w:val="18"/>
                    </w:rPr>
                    <w:t>1.1.视频课程</w:t>
                  </w:r>
                </w:p>
                <w:p>
                  <w:pPr>
                    <w:pStyle w:val="null3"/>
                  </w:pPr>
                  <w:r>
                    <w:rPr>
                      <w:rFonts w:ascii="宋体" w:hAnsi="宋体" w:cs="宋体" w:eastAsia="宋体"/>
                      <w:sz w:val="18"/>
                    </w:rPr>
                    <w:t>1.1.1．Python学前课程：本课程包括但不限于讲解Python编程语言中的基本比变量、流程控制等内容，不少于8课时。</w:t>
                  </w:r>
                </w:p>
                <w:p>
                  <w:pPr>
                    <w:pStyle w:val="null3"/>
                  </w:pPr>
                  <w:r>
                    <w:rPr>
                      <w:rFonts w:ascii="宋体" w:hAnsi="宋体" w:cs="宋体" w:eastAsia="宋体"/>
                      <w:sz w:val="18"/>
                    </w:rPr>
                    <w:t>1.1.2．Python基础编程：本课程包括但不限于讲解Python编程语言中变量和数据类型、运算符、程序结构、函数、序列等知识点，不少于49课时。</w:t>
                  </w:r>
                </w:p>
                <w:p>
                  <w:pPr>
                    <w:pStyle w:val="null3"/>
                  </w:pPr>
                  <w:r>
                    <w:rPr>
                      <w:rFonts w:ascii="宋体" w:hAnsi="宋体" w:cs="宋体" w:eastAsia="宋体"/>
                      <w:sz w:val="18"/>
                    </w:rPr>
                    <w:t>1.1.3．Python基础编程（微课）：本课程包括但不限于讲解Python编程语言中变量和数据类型、运算符、程序结构、函数、序列、模块和包等知识点，不少于37课时。</w:t>
                  </w:r>
                </w:p>
                <w:p>
                  <w:pPr>
                    <w:pStyle w:val="null3"/>
                  </w:pPr>
                  <w:r>
                    <w:rPr>
                      <w:rFonts w:ascii="宋体" w:hAnsi="宋体" w:cs="宋体" w:eastAsia="宋体"/>
                      <w:sz w:val="18"/>
                    </w:rPr>
                    <w:t>1.1.4．Python编程语言：本课程包括但不限于讲解Python编程语言的基本内容，所涉范围教全面，不少于29课时。</w:t>
                  </w:r>
                </w:p>
                <w:p>
                  <w:pPr>
                    <w:pStyle w:val="null3"/>
                  </w:pPr>
                  <w:r>
                    <w:rPr>
                      <w:rFonts w:ascii="宋体" w:hAnsi="宋体" w:cs="宋体" w:eastAsia="宋体"/>
                      <w:sz w:val="18"/>
                    </w:rPr>
                    <w:t>1.1.5．Python网络爬虫：本课程包括但不限于讲解Python网络爬虫涉及的技术，包括css选择器、Xpath技术、requests、scrapy等内容，不少于4课时。</w:t>
                  </w:r>
                </w:p>
                <w:p>
                  <w:pPr>
                    <w:pStyle w:val="null3"/>
                  </w:pPr>
                  <w:r>
                    <w:rPr>
                      <w:rFonts w:ascii="宋体" w:hAnsi="宋体" w:cs="宋体" w:eastAsia="宋体"/>
                      <w:sz w:val="18"/>
                    </w:rPr>
                    <w:t>1.1.6．Python数据分析：本课程包括但不限于讲解Python数据分析涉及的相关库，包括Pandas、Numpy、Matplotlib 等内容，不少于17课时。</w:t>
                  </w:r>
                </w:p>
                <w:p>
                  <w:pPr>
                    <w:pStyle w:val="null3"/>
                  </w:pPr>
                  <w:r>
                    <w:rPr>
                      <w:rFonts w:ascii="宋体" w:hAnsi="宋体" w:cs="宋体" w:eastAsia="宋体"/>
                      <w:sz w:val="18"/>
                    </w:rPr>
                    <w:t>1.1.7．Python Web 前端：本课程包括但不限于讲解Python Web开发所涉及的技术、包括Django、html等内容，不少于16课时。</w:t>
                  </w:r>
                </w:p>
                <w:p>
                  <w:pPr>
                    <w:pStyle w:val="null3"/>
                  </w:pPr>
                  <w:r>
                    <w:rPr>
                      <w:rFonts w:ascii="宋体" w:hAnsi="宋体" w:cs="宋体" w:eastAsia="宋体"/>
                      <w:sz w:val="18"/>
                    </w:rPr>
                    <w:t>1.1.8．Python可视化：本课程包括但不限于讲解echarts、Django框架等内容，不少于12课时。</w:t>
                  </w:r>
                </w:p>
                <w:p>
                  <w:pPr>
                    <w:pStyle w:val="null3"/>
                  </w:pPr>
                  <w:r>
                    <w:rPr>
                      <w:rFonts w:ascii="宋体" w:hAnsi="宋体" w:cs="宋体" w:eastAsia="宋体"/>
                      <w:sz w:val="18"/>
                    </w:rPr>
                    <w:t>1.1.9．Java编程语言：本课程包括但不限于讲解Java基础语法、面向对象编程、异常处理、输入输出、集合框架等内容，不少于29课时。</w:t>
                  </w:r>
                </w:p>
                <w:p>
                  <w:pPr>
                    <w:pStyle w:val="null3"/>
                  </w:pPr>
                  <w:r>
                    <w:rPr>
                      <w:rFonts w:ascii="宋体" w:hAnsi="宋体" w:cs="宋体" w:eastAsia="宋体"/>
                      <w:sz w:val="18"/>
                    </w:rPr>
                    <w:t>1.1.10．Java习题讲解：本课程包括但不限于讲解Java编程语言对应习题、解答过程。</w:t>
                  </w:r>
                </w:p>
                <w:p>
                  <w:pPr>
                    <w:pStyle w:val="null3"/>
                  </w:pPr>
                  <w:r>
                    <w:rPr>
                      <w:rFonts w:ascii="宋体" w:hAnsi="宋体" w:cs="宋体" w:eastAsia="宋体"/>
                      <w:sz w:val="18"/>
                    </w:rPr>
                    <w:t>1.1.11．Java Web技术与应用：本课程包括但不限于讲解Java Web开发所涉及的内容，包括但不限于jsp、servlet、html、css 等，不少于10课时。</w:t>
                  </w:r>
                </w:p>
                <w:p>
                  <w:pPr>
                    <w:pStyle w:val="null3"/>
                  </w:pPr>
                  <w:r>
                    <w:rPr>
                      <w:rFonts w:ascii="宋体" w:hAnsi="宋体" w:cs="宋体" w:eastAsia="宋体"/>
                      <w:sz w:val="18"/>
                    </w:rPr>
                    <w:t>1.1.12．Java数据采集技术：本课程包括但不限于讲解Java采集网络数据的过程、包括但不限于XPath技术、WebMagic爬虫框架。</w:t>
                  </w:r>
                </w:p>
                <w:p>
                  <w:pPr>
                    <w:pStyle w:val="null3"/>
                  </w:pPr>
                  <w:r>
                    <w:rPr>
                      <w:rFonts w:ascii="宋体" w:hAnsi="宋体" w:cs="宋体" w:eastAsia="宋体"/>
                      <w:sz w:val="18"/>
                    </w:rPr>
                    <w:t>1.1.13．云架构操作系统基础（Linux）：本课程包括但不限于讲解Linux基本命令以及基础文件操作等内容，不少于49课时。</w:t>
                  </w:r>
                </w:p>
                <w:p>
                  <w:pPr>
                    <w:pStyle w:val="null3"/>
                  </w:pPr>
                  <w:r>
                    <w:rPr>
                      <w:rFonts w:ascii="宋体" w:hAnsi="宋体" w:cs="宋体" w:eastAsia="宋体"/>
                      <w:sz w:val="18"/>
                    </w:rPr>
                    <w:t>1.1.14．云操作系统应用（OpenStack）：本课程包括但不限于讲解云计算体系架构、经典云计算解决案例等内容，不少于40课时。</w:t>
                  </w:r>
                </w:p>
                <w:p>
                  <w:pPr>
                    <w:pStyle w:val="null3"/>
                  </w:pPr>
                  <w:r>
                    <w:rPr>
                      <w:rFonts w:ascii="宋体" w:hAnsi="宋体" w:cs="宋体" w:eastAsia="宋体"/>
                      <w:sz w:val="18"/>
                    </w:rPr>
                    <w:t>1.1.15．云数据库应用（MySQL）：本课程包括但不限于讲解 MySQL数据库的创建、数据查询、事务等内容，不少于52课时。</w:t>
                  </w:r>
                </w:p>
                <w:p>
                  <w:pPr>
                    <w:pStyle w:val="null3"/>
                  </w:pPr>
                  <w:r>
                    <w:rPr>
                      <w:rFonts w:ascii="宋体" w:hAnsi="宋体" w:cs="宋体" w:eastAsia="宋体"/>
                      <w:sz w:val="18"/>
                    </w:rPr>
                    <w:t>1.1.16．MongoDB数据库：本课程包括但不限于讲解MongoDB数据库创建表、查询数据基本命令等内容，不少于12课时。</w:t>
                  </w:r>
                </w:p>
                <w:p>
                  <w:pPr>
                    <w:pStyle w:val="null3"/>
                  </w:pPr>
                  <w:r>
                    <w:rPr>
                      <w:rFonts w:ascii="宋体" w:hAnsi="宋体" w:cs="宋体" w:eastAsia="宋体"/>
                      <w:sz w:val="18"/>
                    </w:rPr>
                    <w:t>1.1.17．Scala编程语言：本课程包括但不限于讲解Scala数组、映射、元组、包及包的引入、作用范围等内容，不少于11课时。</w:t>
                  </w:r>
                </w:p>
                <w:p>
                  <w:pPr>
                    <w:pStyle w:val="null3"/>
                  </w:pPr>
                  <w:r>
                    <w:rPr>
                      <w:rFonts w:ascii="宋体" w:hAnsi="宋体" w:cs="宋体" w:eastAsia="宋体"/>
                      <w:sz w:val="18"/>
                    </w:rPr>
                    <w:t>1.1.18．R语言：本课程包括但不限于讲解R的语法、数据分析基本方法等内容，不少于16课时。</w:t>
                  </w:r>
                </w:p>
                <w:p>
                  <w:pPr>
                    <w:pStyle w:val="null3"/>
                  </w:pPr>
                  <w:r>
                    <w:rPr>
                      <w:rFonts w:ascii="宋体" w:hAnsi="宋体" w:cs="宋体" w:eastAsia="宋体"/>
                      <w:sz w:val="18"/>
                    </w:rPr>
                    <w:t>1.1.19．Shell脚本：本课程包括但不限于讲解Shell概述、Shell脚本应用等内容，不少于7课时。</w:t>
                  </w:r>
                </w:p>
                <w:p>
                  <w:pPr>
                    <w:pStyle w:val="null3"/>
                  </w:pPr>
                  <w:r>
                    <w:rPr>
                      <w:rFonts w:ascii="宋体" w:hAnsi="宋体" w:cs="宋体" w:eastAsia="宋体"/>
                      <w:sz w:val="18"/>
                    </w:rPr>
                    <w:t>1.1.20．Excel数据分析：本课程包括但不限于讲解Excel数据分析的基本工具和操作流程等内容，不少于5课时。</w:t>
                  </w:r>
                </w:p>
                <w:p>
                  <w:pPr>
                    <w:pStyle w:val="null3"/>
                  </w:pPr>
                  <w:r>
                    <w:rPr>
                      <w:rFonts w:ascii="宋体" w:hAnsi="宋体" w:cs="宋体" w:eastAsia="宋体"/>
                      <w:sz w:val="18"/>
                    </w:rPr>
                    <w:t>1.1.21．网络安全应用：本课程包括但不限于讲解信息安全的定义、云计算、防火墙等内容，不少于21课时。</w:t>
                  </w:r>
                </w:p>
                <w:p>
                  <w:pPr>
                    <w:pStyle w:val="null3"/>
                  </w:pPr>
                  <w:r>
                    <w:rPr>
                      <w:rFonts w:ascii="宋体" w:hAnsi="宋体" w:cs="宋体" w:eastAsia="宋体"/>
                      <w:sz w:val="18"/>
                    </w:rPr>
                    <w:t>1.1.22．数据科学：本课程包括但不限于讲解数据科学的理论体系 、专业介绍等内容，不少于15课时。</w:t>
                  </w:r>
                </w:p>
                <w:p>
                  <w:pPr>
                    <w:pStyle w:val="null3"/>
                  </w:pPr>
                  <w:r>
                    <w:rPr>
                      <w:rFonts w:ascii="宋体" w:hAnsi="宋体" w:cs="宋体" w:eastAsia="宋体"/>
                      <w:sz w:val="18"/>
                    </w:rPr>
                    <w:t>1.1.23．数据科学理论与实践：本课程包括但不限于讲解数据计算与数据科学理论和应用操作等内容，不少于31课时。</w:t>
                  </w:r>
                </w:p>
                <w:p>
                  <w:pPr>
                    <w:pStyle w:val="null3"/>
                  </w:pPr>
                  <w:r>
                    <w:rPr>
                      <w:rFonts w:ascii="宋体" w:hAnsi="宋体" w:cs="宋体" w:eastAsia="宋体"/>
                      <w:sz w:val="18"/>
                    </w:rPr>
                    <w:t>1.1.24．信息技术基础：本课程包括但不限于讲解信息检索与信息素养、新媒体等内容，不少于6课时。</w:t>
                  </w:r>
                </w:p>
                <w:p>
                  <w:pPr>
                    <w:pStyle w:val="null3"/>
                  </w:pPr>
                  <w:r>
                    <w:rPr>
                      <w:rFonts w:ascii="宋体" w:hAnsi="宋体" w:cs="宋体" w:eastAsia="宋体"/>
                      <w:sz w:val="18"/>
                    </w:rPr>
                    <w:t>1.1.25．清华数据科学高峰论坛：本课程包括但不限于讲解大数据、数据科学、人工智能等概论，不少于6课时。</w:t>
                  </w:r>
                </w:p>
                <w:p>
                  <w:pPr>
                    <w:pStyle w:val="null3"/>
                  </w:pPr>
                  <w:r>
                    <w:rPr>
                      <w:rFonts w:ascii="宋体" w:hAnsi="宋体" w:cs="宋体" w:eastAsia="宋体"/>
                      <w:sz w:val="18"/>
                    </w:rPr>
                    <w:t>1.1.26．职场软技能：本课程包括但不限于讲解职场礼仪、规则、法律法规等内容，不少于85课时。</w:t>
                  </w:r>
                </w:p>
                <w:p>
                  <w:pPr>
                    <w:pStyle w:val="null3"/>
                  </w:pPr>
                  <w:r>
                    <w:rPr>
                      <w:rFonts w:ascii="宋体" w:hAnsi="宋体" w:cs="宋体" w:eastAsia="宋体"/>
                      <w:sz w:val="18"/>
                    </w:rPr>
                    <w:t>1.2.实验任务</w:t>
                  </w:r>
                </w:p>
                <w:p>
                  <w:pPr>
                    <w:pStyle w:val="null3"/>
                  </w:pPr>
                  <w:r>
                    <w:rPr>
                      <w:rFonts w:ascii="宋体" w:hAnsi="宋体" w:cs="宋体" w:eastAsia="宋体"/>
                      <w:sz w:val="18"/>
                    </w:rPr>
                    <w:t>1.2.1．Linux操作系统：本课程包括但不限于Linux操作系统的基本命令、文件与目录、用户与用户组、软件包管理、Shell编程等实验任务并提供配套实验环境，不少于25个实验。</w:t>
                  </w:r>
                </w:p>
                <w:p>
                  <w:pPr>
                    <w:pStyle w:val="null3"/>
                  </w:pPr>
                  <w:r>
                    <w:rPr>
                      <w:rFonts w:ascii="宋体" w:hAnsi="宋体" w:cs="宋体" w:eastAsia="宋体"/>
                      <w:sz w:val="18"/>
                    </w:rPr>
                    <w:t>1.2.2．MySQL数据库：本课程针对MySQL数据库进行但不限于数据存储、查询、处理和管理等方面安排的学习内容，包括创建数据库、表的创建与管理、数据查询等实验任务并提供配套实验环境，不少于9个实验。</w:t>
                  </w:r>
                </w:p>
                <w:p>
                  <w:pPr>
                    <w:pStyle w:val="null3"/>
                  </w:pPr>
                  <w:r>
                    <w:rPr>
                      <w:rFonts w:ascii="宋体" w:hAnsi="宋体" w:cs="宋体" w:eastAsia="宋体"/>
                      <w:sz w:val="18"/>
                    </w:rPr>
                    <w:t>1.2.3．MongoDB数据库：本课程包含但不限于MongoDB的安装、MongoDB Shell的使用、文档的创建和管理、查询操作等实验任务并提供配套实验环境，不少于8个实验。</w:t>
                  </w:r>
                </w:p>
                <w:p>
                  <w:pPr>
                    <w:pStyle w:val="null3"/>
                  </w:pPr>
                  <w:r>
                    <w:rPr>
                      <w:rFonts w:ascii="宋体" w:hAnsi="宋体" w:cs="宋体" w:eastAsia="宋体"/>
                      <w:sz w:val="18"/>
                    </w:rPr>
                    <w:t>1.2.4．Python编程语言：本课程包括但不限于针对使用Python语法进行应用程序开发安排的学习任务，包括Python基础语法、列表、元组等实验任务并提供配套实验环境，不少于43个实验。</w:t>
                  </w:r>
                </w:p>
                <w:p>
                  <w:pPr>
                    <w:pStyle w:val="null3"/>
                  </w:pPr>
                  <w:r>
                    <w:rPr>
                      <w:rFonts w:ascii="宋体" w:hAnsi="宋体" w:cs="宋体" w:eastAsia="宋体"/>
                      <w:sz w:val="18"/>
                    </w:rPr>
                    <w:t>1.2.5．Python Web课程：本课程包括但不限于针对Python Web应用程序开发方面安排的学习任务，包括HTML、CSS、JavaScript等，以及Django框架的使用和实战案例的开发等实验任务，不少于39个实验。</w:t>
                  </w:r>
                </w:p>
                <w:p>
                  <w:pPr>
                    <w:pStyle w:val="null3"/>
                  </w:pPr>
                  <w:r>
                    <w:rPr>
                      <w:rFonts w:ascii="宋体" w:hAnsi="宋体" w:cs="宋体" w:eastAsia="宋体"/>
                      <w:sz w:val="18"/>
                    </w:rPr>
                    <w:t>1.2.6．Python数据采集：本课程包括但不限于Scrapy框架的安装与简介、Scrapy爬虫数据采集案例等实验任务并提供配套实验环境，不少于23个实验。</w:t>
                  </w:r>
                </w:p>
                <w:p>
                  <w:pPr>
                    <w:pStyle w:val="null3"/>
                  </w:pPr>
                  <w:r>
                    <w:rPr>
                      <w:rFonts w:ascii="宋体" w:hAnsi="宋体" w:cs="宋体" w:eastAsia="宋体"/>
                      <w:sz w:val="18"/>
                    </w:rPr>
                    <w:t>1.2.7．Python数据分析：本课程包括但不限于Numpy、Pandas、Matplotlib等Python第三方库的相关实验任务并提供配套实验环境，不少于30个实验。</w:t>
                  </w:r>
                </w:p>
                <w:p>
                  <w:pPr>
                    <w:pStyle w:val="null3"/>
                  </w:pPr>
                  <w:r>
                    <w:rPr>
                      <w:rFonts w:ascii="宋体" w:hAnsi="宋体" w:cs="宋体" w:eastAsia="宋体"/>
                      <w:sz w:val="18"/>
                    </w:rPr>
                    <w:t>1.2.8．数据结构与算法：本课程包括但不限于时间复杂度、链表、递归、查找、排序、树和图等常用算法和常见数据结构的相关实验任务并提供配套实验环境，不少于24个实验。</w:t>
                  </w:r>
                </w:p>
                <w:p>
                  <w:pPr>
                    <w:pStyle w:val="null3"/>
                  </w:pPr>
                  <w:r>
                    <w:rPr>
                      <w:rFonts w:ascii="宋体" w:hAnsi="宋体" w:cs="宋体" w:eastAsia="宋体"/>
                      <w:sz w:val="18"/>
                    </w:rPr>
                    <w:t>1.2.9．Java编程语言：本课程包括但不限于Java程序设计基础、Java类和对象、接口和抽象类、常用类、异常处理、文件操作、IO流、集合、线程等实验任务并提供配套实验环境，不少于35个实验。</w:t>
                  </w:r>
                </w:p>
                <w:p>
                  <w:pPr>
                    <w:pStyle w:val="null3"/>
                  </w:pPr>
                  <w:r>
                    <w:rPr>
                      <w:rFonts w:ascii="宋体" w:hAnsi="宋体" w:cs="宋体" w:eastAsia="宋体"/>
                      <w:sz w:val="18"/>
                    </w:rPr>
                    <w:t>1.2.10．Java Web课程：本课程包括但不限于Tomcat配置、JSP和Servlet的使用、JDBC连接数据库等实验任务并提供配套实验环境，不少于21个实验。</w:t>
                  </w:r>
                </w:p>
                <w:p>
                  <w:pPr>
                    <w:pStyle w:val="null3"/>
                  </w:pPr>
                  <w:r>
                    <w:rPr>
                      <w:rFonts w:ascii="宋体" w:hAnsi="宋体" w:cs="宋体" w:eastAsia="宋体"/>
                      <w:sz w:val="18"/>
                    </w:rPr>
                    <w:t>1.2.11．Java数据采集：本课程包括但不限于HTML、CSS、正则表达式、XPath解析、Java爬虫数据采集案例等相关的实验任务并提供配套实验环境，，不少于10个实验。</w:t>
                  </w:r>
                </w:p>
                <w:p>
                  <w:pPr>
                    <w:pStyle w:val="null3"/>
                  </w:pPr>
                  <w:r>
                    <w:rPr>
                      <w:rFonts w:ascii="宋体" w:hAnsi="宋体" w:cs="宋体" w:eastAsia="宋体"/>
                      <w:sz w:val="18"/>
                    </w:rPr>
                    <w:t>1.2.12．Excel数据分析：本课程包括但不限于Excel数据处理与分析基础等实验任务并提供配套实验环境，不少于4个实验。</w:t>
                  </w:r>
                </w:p>
                <w:p>
                  <w:pPr>
                    <w:pStyle w:val="null3"/>
                    <w:jc w:val="left"/>
                  </w:pPr>
                  <w:r>
                    <w:rPr>
                      <w:rFonts w:ascii="宋体" w:hAnsi="宋体" w:cs="宋体" w:eastAsia="宋体"/>
                      <w:sz w:val="18"/>
                    </w:rPr>
                    <w:t>1.2.13．数据分析SPSS：本课程包括但不限于SPSS因子分析、聚类分析等实验任务并提供配套实验环境，不少于8个实验。</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套</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大数据核心课程资源</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8"/>
                    </w:rPr>
                    <w:t>提供视频课程和实验任务，包括但不限于</w:t>
                  </w:r>
                  <w:r>
                    <w:rPr>
                      <w:rFonts w:ascii="宋体" w:hAnsi="宋体" w:cs="宋体" w:eastAsia="宋体"/>
                      <w:sz w:val="18"/>
                    </w:rPr>
                    <w:t>Hadoop大数据技术、MapReduce开发、Spark大数据技术、数据仓库Hive、分布式数据库HBase、数据迁移工具Sqoop、消息队列Kafka、Storm实时处理、大数据建模以及大数据应用案例讲解等内容。</w:t>
                  </w:r>
                </w:p>
                <w:p>
                  <w:pPr>
                    <w:pStyle w:val="null3"/>
                  </w:pPr>
                  <w:r>
                    <w:rPr>
                      <w:rFonts w:ascii="宋体" w:hAnsi="宋体" w:cs="宋体" w:eastAsia="宋体"/>
                      <w:sz w:val="18"/>
                    </w:rPr>
                    <w:t>2.1.视频课程</w:t>
                  </w:r>
                </w:p>
                <w:p>
                  <w:pPr>
                    <w:pStyle w:val="null3"/>
                  </w:pPr>
                  <w:r>
                    <w:rPr>
                      <w:rFonts w:ascii="宋体" w:hAnsi="宋体" w:cs="宋体" w:eastAsia="宋体"/>
                      <w:sz w:val="18"/>
                    </w:rPr>
                    <w:t>2.1.1．初识大数据：本课程包括但不限于讲解大数据基本概念、大数据产业链条和价值、大数据时代的思维和行为、产业应用场景、数据开放的机会与挑战的介绍和探讨，不少于5课时。</w:t>
                  </w:r>
                </w:p>
                <w:p>
                  <w:pPr>
                    <w:pStyle w:val="null3"/>
                  </w:pPr>
                  <w:r>
                    <w:rPr>
                      <w:rFonts w:ascii="宋体" w:hAnsi="宋体" w:cs="宋体" w:eastAsia="宋体"/>
                      <w:sz w:val="18"/>
                    </w:rPr>
                    <w:t>2.1.2．Hadoop核心技术与应用：本课程包括但不限于讲解大数据的发展历史、Hadoop理论概述、Hadoop常用命令、Hadoop伪分布模式安装、HDFS理论讲解、HDFS数据处理原理、HDFS文件操作、HDFS数据读写过程等内容，旨在帮助学习者掌握Hadoop的核心技术和应用，不少于10课时。</w:t>
                  </w:r>
                </w:p>
                <w:p>
                  <w:pPr>
                    <w:pStyle w:val="null3"/>
                  </w:pPr>
                  <w:r>
                    <w:rPr>
                      <w:rFonts w:ascii="宋体" w:hAnsi="宋体" w:cs="宋体" w:eastAsia="宋体"/>
                      <w:sz w:val="18"/>
                    </w:rPr>
                    <w:t>2.1.3．MapReduce开发：本课程包括但不限于讲解MapReduce理论概述、Mapreduce体系结构和工作流程，以及WordCount、求和、求平均值、去重、Map端join、Reduce端join、自然排序、二次排序、倒排序索引等多个Mapreduce开发实例，旨在帮助学习者了解和掌握MapReduce编程模型及其在大数据处理中的应用，不少于12课时。</w:t>
                  </w:r>
                </w:p>
                <w:p>
                  <w:pPr>
                    <w:pStyle w:val="null3"/>
                  </w:pPr>
                  <w:r>
                    <w:rPr>
                      <w:rFonts w:ascii="宋体" w:hAnsi="宋体" w:cs="宋体" w:eastAsia="宋体"/>
                      <w:sz w:val="18"/>
                    </w:rPr>
                    <w:t>2.1.4．Spark核心技术与应用：本课程包括但不限于讲解Spark简介、Spark Local模式安装、Spark Standalone模式安装、Spark编程模型、Spark Shell操作、Spark开发环境搭建、Spark Streaming、Spark SQL数据处理和分析等内容，旨在帮助学习者掌握Spark的基本概念和操作技巧、核心技术和应用，不少于22课时。</w:t>
                  </w:r>
                </w:p>
                <w:p>
                  <w:pPr>
                    <w:pStyle w:val="null3"/>
                  </w:pPr>
                  <w:r>
                    <w:rPr>
                      <w:rFonts w:ascii="宋体" w:hAnsi="宋体" w:cs="宋体" w:eastAsia="宋体"/>
                      <w:sz w:val="18"/>
                    </w:rPr>
                    <w:t>2.1.5．Storm技术原理与应用：本课程包括但不限于讲解Storm流式计算原理及系统架构、Storm集群规划和部署、Storm Java API及DRPC应用开发示例、Storm多语言API、Kafka与Storm的结合使用、Storm KafkaSpout及流式处理应用开发示例、实时PV统计示例、Storm高级API-Trident，以及Trident深入分析，包括Transactional级别、Spout和State接口以及Trident Kafka Spout等的原理和使用方式，旨在帮助学习者掌握Storm流式计算的原理和应用，不少于42课时。</w:t>
                  </w:r>
                </w:p>
                <w:p>
                  <w:pPr>
                    <w:pStyle w:val="null3"/>
                  </w:pPr>
                  <w:r>
                    <w:rPr>
                      <w:rFonts w:ascii="宋体" w:hAnsi="宋体" w:cs="宋体" w:eastAsia="宋体"/>
                      <w:sz w:val="18"/>
                    </w:rPr>
                    <w:t>2.1.6．数据仓库Hive原理与应用：本课程包括但不限于讲解数据仓库Hive的概念和特点、Hive的体系结构、Hive的安装模式、Hive的管理方式、Hive的数据类型、Hive的数据存储、Hive的UDF等内容，旨在帮助学习者了解Hive的原理和应用，不少于24课时。</w:t>
                  </w:r>
                </w:p>
                <w:p>
                  <w:pPr>
                    <w:pStyle w:val="null3"/>
                  </w:pPr>
                  <w:r>
                    <w:rPr>
                      <w:rFonts w:ascii="宋体" w:hAnsi="宋体" w:cs="宋体" w:eastAsia="宋体"/>
                      <w:sz w:val="18"/>
                    </w:rPr>
                    <w:t>2.1.7．分布式数据库HBase：本课程包括但不限于讲解HBase的基本概念、特点和作用，HBase基本操作及创建、删除和修改等操作，HBase主函数与建表方法、HBase添加记录及扫描表：讲解如何向HBase中添加记录并进行表的扫描操作等内容，旨在帮助学习者了解HBase的基本概念和操作，不少于5课时。</w:t>
                  </w:r>
                </w:p>
                <w:p>
                  <w:pPr>
                    <w:pStyle w:val="null3"/>
                  </w:pPr>
                  <w:r>
                    <w:rPr>
                      <w:rFonts w:ascii="宋体" w:hAnsi="宋体" w:cs="宋体" w:eastAsia="宋体"/>
                      <w:sz w:val="18"/>
                    </w:rPr>
                    <w:t>2.1.8．Sqoop技术原理与应用：本课程包括但不限于讲解Sqoop的基本概念和作用，以及如何使用Sqoop进行数据库表的导入和导出操作。</w:t>
                  </w:r>
                </w:p>
                <w:p>
                  <w:pPr>
                    <w:pStyle w:val="null3"/>
                  </w:pPr>
                  <w:r>
                    <w:rPr>
                      <w:rFonts w:ascii="宋体" w:hAnsi="宋体" w:cs="宋体" w:eastAsia="宋体"/>
                      <w:sz w:val="18"/>
                    </w:rPr>
                    <w:t>2.1.9．分布式消息队列Kafka技术应用：本课程包括但不限于讲解Kafka的基本介绍、Kafka的架构和工作原理、Kafka的配置使用、Kafka的Java API等内容，旨在帮助学习者了解Kafka的基本介绍和应用技术。</w:t>
                  </w:r>
                </w:p>
                <w:p>
                  <w:pPr>
                    <w:pStyle w:val="null3"/>
                  </w:pPr>
                  <w:r>
                    <w:rPr>
                      <w:rFonts w:ascii="宋体" w:hAnsi="宋体" w:cs="宋体" w:eastAsia="宋体"/>
                      <w:sz w:val="18"/>
                    </w:rPr>
                    <w:t>2.1.10．分布式日志收集系统Flume：本课程包括但不限于讲解Flume的基本概念和实例演示Flume配置文件的编写，包括源（Source）、通道（Channel）和汇（Sink）等组件的配置。</w:t>
                  </w:r>
                </w:p>
                <w:p>
                  <w:pPr>
                    <w:pStyle w:val="null3"/>
                  </w:pPr>
                  <w:r>
                    <w:rPr>
                      <w:rFonts w:ascii="宋体" w:hAnsi="宋体" w:cs="宋体" w:eastAsia="宋体"/>
                      <w:sz w:val="18"/>
                    </w:rPr>
                    <w:t>2.1.11．Python财务案例：本课程包括但不限于讲解Python财务数据分析案例的开发流程，包括获取同行业股票数据、采购合同台账生成、行业销售数据抓取与分析、审计银行询证函批量生成等内容。通过学习本课程，旨在帮助学习者通过Python语言应用解决财务领域的实际问题，学习者将能够掌握Python在财务领域中的应用技巧。</w:t>
                  </w:r>
                </w:p>
                <w:p>
                  <w:pPr>
                    <w:pStyle w:val="null3"/>
                  </w:pPr>
                  <w:r>
                    <w:rPr>
                      <w:rFonts w:ascii="宋体" w:hAnsi="宋体" w:cs="宋体" w:eastAsia="宋体"/>
                      <w:sz w:val="18"/>
                    </w:rPr>
                    <w:t>2.1.12．搜索引擎关键词流量数据挖掘：本课程包括但不限于讲解搜索引擎搜索数据统计案例，包括使用相关工具和技术对搜索引擎的关键词搜索数据进行统计和分析、利用数据挖掘算法和模型搜索引擎的搜索数据进行深入挖掘、利用更高级的搜索数据统计方法对用户行为分析和趋势预测等、将搜索数据统计结果可视化展示等内容。</w:t>
                  </w:r>
                </w:p>
                <w:p>
                  <w:pPr>
                    <w:pStyle w:val="null3"/>
                  </w:pPr>
                  <w:r>
                    <w:rPr>
                      <w:rFonts w:ascii="宋体" w:hAnsi="宋体" w:cs="宋体" w:eastAsia="宋体"/>
                      <w:sz w:val="18"/>
                    </w:rPr>
                    <w:t>2.1.13．互联网电商数据统计分析：本课程包括但不限于讲解互联网电商领域常用的统计指标、数据表结构、利用Shell编写Hive脚本统计和分析各个电商数据指标、使用数据可视化工具将统计分析结果以图表形式展示等内容。</w:t>
                  </w:r>
                </w:p>
                <w:p>
                  <w:pPr>
                    <w:pStyle w:val="null3"/>
                  </w:pPr>
                  <w:r>
                    <w:rPr>
                      <w:rFonts w:ascii="宋体" w:hAnsi="宋体" w:cs="宋体" w:eastAsia="宋体"/>
                      <w:sz w:val="18"/>
                    </w:rPr>
                    <w:t>2.1.14．搜索引擎日志数据统计分析：本课程包括但不限于讲解搜索引擎日志数据的重要性和应用价值，以及如何进行日志数据的统计和分析，包括日志数据的收集、清洗、转换和存储等关键步骤，旨在帮助学习者了解如何进行搜索引擎日志数据的统计和分析。</w:t>
                  </w:r>
                </w:p>
                <w:p>
                  <w:pPr>
                    <w:pStyle w:val="null3"/>
                  </w:pPr>
                  <w:r>
                    <w:rPr>
                      <w:rFonts w:ascii="宋体" w:hAnsi="宋体" w:cs="宋体" w:eastAsia="宋体"/>
                      <w:sz w:val="18"/>
                    </w:rPr>
                    <w:t>2.1.15．海量网站访问日志统计分析：本课程包括但不限于讲解海量网站访问日志统计分析案例的架构和设计思路，以及网站访问日志的结构和特点、使用Hive进行海量网站访问日志的pv（页面访问量）的计算和浏览器信息的提取、使用数据可视化工具对统计结果进行图表可视化展示。</w:t>
                  </w:r>
                </w:p>
                <w:p>
                  <w:pPr>
                    <w:pStyle w:val="null3"/>
                  </w:pPr>
                  <w:r>
                    <w:rPr>
                      <w:rFonts w:ascii="宋体" w:hAnsi="宋体" w:cs="宋体" w:eastAsia="宋体"/>
                      <w:sz w:val="18"/>
                    </w:rPr>
                    <w:t>2.1.16．电商平台大数据分析：本课程包括但不限于讲解电商平台大数据分析的重要性和应用价值、利用大数据技术和方法对电商平台的数据进行分析和挖掘等内容，旨在帮助学习者了解如何进行电商平台的大数据分析。</w:t>
                  </w:r>
                </w:p>
                <w:p>
                  <w:pPr>
                    <w:pStyle w:val="null3"/>
                  </w:pPr>
                  <w:r>
                    <w:rPr>
                      <w:rFonts w:ascii="宋体" w:hAnsi="宋体" w:cs="宋体" w:eastAsia="宋体"/>
                      <w:sz w:val="18"/>
                    </w:rPr>
                    <w:t>2.1.17．大数据挑战及大数据人才：本课程包括但不限于讲解大数据带来的数据管理与处理、隐私与安全、人才需求与培养方面的三个挑战、大数据的人才类型、大数据团队中不同类型人才的跨学科的合作、数据共享和沟通协调等各类协同工作方式和合作模式等内容。</w:t>
                  </w:r>
                </w:p>
                <w:p>
                  <w:pPr>
                    <w:pStyle w:val="null3"/>
                  </w:pPr>
                  <w:r>
                    <w:rPr>
                      <w:rFonts w:ascii="宋体" w:hAnsi="宋体" w:cs="宋体" w:eastAsia="宋体"/>
                      <w:sz w:val="18"/>
                    </w:rPr>
                    <w:t>2.1.18．大数据与新能源交通：本课程包括但不限于讲解汽车智能网联技术的发展现状、工业大数据在智能制造方面的应用和意义、互联互通技术在交通领域的发展历程和前景、速充电技术在新能源交通中的应用和挑战、交通互联网大数据在改善城市生活和交通效率方面的作用、如何利用大数据优化车辆动力系统的能耗性能、在公共交通领域中大数据的应用和影响、新能源汽车在大数据支持下的发展策略、共享交通对于提高城市交通效率的作用、欧洲桩联网技术在新能源交通领域的应用和解决方案、人工智能在交通图像大数据处理中的应用等内容。</w:t>
                  </w:r>
                </w:p>
                <w:p>
                  <w:pPr>
                    <w:pStyle w:val="null3"/>
                  </w:pPr>
                  <w:r>
                    <w:rPr>
                      <w:rFonts w:ascii="宋体" w:hAnsi="宋体" w:cs="宋体" w:eastAsia="宋体"/>
                      <w:sz w:val="18"/>
                    </w:rPr>
                    <w:t>2.2.实验任务</w:t>
                  </w:r>
                </w:p>
                <w:p>
                  <w:pPr>
                    <w:pStyle w:val="null3"/>
                  </w:pPr>
                  <w:r>
                    <w:rPr>
                      <w:rFonts w:ascii="宋体" w:hAnsi="宋体" w:cs="宋体" w:eastAsia="宋体"/>
                      <w:sz w:val="18"/>
                    </w:rPr>
                    <w:t>2.2.1．Hadoop集群搭建：本课程包括但不限于大数据集群主节点、从节点1、从节点2的搭建和配置方法相关实验任务并提供配套实验环境，不少于3个实验。</w:t>
                  </w:r>
                </w:p>
                <w:p>
                  <w:pPr>
                    <w:pStyle w:val="null3"/>
                  </w:pPr>
                  <w:r>
                    <w:rPr>
                      <w:rFonts w:ascii="宋体" w:hAnsi="宋体" w:cs="宋体" w:eastAsia="宋体"/>
                      <w:sz w:val="18"/>
                    </w:rPr>
                    <w:t>2.2.2．大数据处理技术Hadoop：本课程包括但不限于Hadoop伪分布模式安装、安装Hadoop开发插件、Hadoop Shell操作、HDFS Java API和开发YARN客户端应用，以及排序、去重、求平均值、自定义输入输出格式、最优路径算法、社交好友推荐算法、PageRank算法和互联网精准广告推送算法各种MapReduce开发实践和应用实例的相关实验任务并提供配套实验环境，不少于37个实验。</w:t>
                  </w:r>
                </w:p>
                <w:p>
                  <w:pPr>
                    <w:pStyle w:val="null3"/>
                  </w:pPr>
                  <w:r>
                    <w:rPr>
                      <w:rFonts w:ascii="宋体" w:hAnsi="宋体" w:cs="宋体" w:eastAsia="宋体"/>
                      <w:sz w:val="18"/>
                    </w:rPr>
                    <w:t>2.2.3．数据仓库Hive：本课程包括但不限于Hive 安装部署、Hive 基本操作、Hive 查询、Hive 分组排序、Hive 分区和分桶、Hive UDF、Hive JDBC连接、 Python 实现Hive API、Python 实现 Hive UDF等相关实验任务并提供配套实验环境，不少于9个实验。</w:t>
                  </w:r>
                </w:p>
                <w:p>
                  <w:pPr>
                    <w:pStyle w:val="null3"/>
                  </w:pPr>
                  <w:r>
                    <w:rPr>
                      <w:rFonts w:ascii="宋体" w:hAnsi="宋体" w:cs="宋体" w:eastAsia="宋体"/>
                      <w:sz w:val="18"/>
                    </w:rPr>
                    <w:t>2.2.4．非关系型数据库HBase：本课程包括但不限于HBase安装、HBase Shell基本操作、HBase的过滤器、 Java 实现HBase API、Python实现HBase API 实例、MapReduce读取HBase、Mapreduce写入HBase、MapReduce读取HBase并写入HBase等相关实验任务并提供配套实验环境，不少于8个实验。</w:t>
                  </w:r>
                </w:p>
                <w:p>
                  <w:pPr>
                    <w:pStyle w:val="null3"/>
                  </w:pPr>
                  <w:r>
                    <w:rPr>
                      <w:rFonts w:ascii="宋体" w:hAnsi="宋体" w:cs="宋体" w:eastAsia="宋体"/>
                      <w:sz w:val="18"/>
                    </w:rPr>
                    <w:t>2.2.5．数据迁移工具Sqoop：本课程包括但不限于Sqoop 的安装和配置方法、Sqoop 的job和codegen、Sqoop 对数据库的操作、Sqoop 导入数据、Sqoop 导出数据、Sqoop 增量数据导入等相关实验任务并提供配套实验环境，旨在帮助学习者了解和掌握Sqoop在数据迁移中的应用，不少于7个实验。</w:t>
                  </w:r>
                </w:p>
                <w:p>
                  <w:pPr>
                    <w:pStyle w:val="null3"/>
                  </w:pPr>
                  <w:r>
                    <w:rPr>
                      <w:rFonts w:ascii="宋体" w:hAnsi="宋体" w:cs="宋体" w:eastAsia="宋体"/>
                      <w:sz w:val="18"/>
                    </w:rPr>
                    <w:t>2.2.6．消息队列Kafka：本课程包括但不限于Kafka 安装及测试方法、Kafka Java API、Flume传输数据给Kafka、Kafka传输数据到Spark Streaming 、Python Kafka API 实例、PySpark Streaming结合Kafka 实现WordCount等相关实验任务并提供配套实验环境，旨在帮助学习者了解和掌握Kafka在大数据处理中的应用，不少于6个实验。</w:t>
                  </w:r>
                </w:p>
                <w:p>
                  <w:pPr>
                    <w:pStyle w:val="null3"/>
                  </w:pPr>
                  <w:r>
                    <w:rPr>
                      <w:rFonts w:ascii="宋体" w:hAnsi="宋体" w:cs="宋体" w:eastAsia="宋体"/>
                      <w:sz w:val="18"/>
                    </w:rPr>
                    <w:t>2.2.7．日志收集系统Flume：本课程包括但不限于Flume 安装和配置Flume、Flume 传输数据给Kafka、Flume AVRO Client开发、Flume Interceptors相关配置、Flume selector相关配置、Flume Sink Processors相关配置Flume 自定义来源等相关实验任务并提供配套实验环境，旨在帮助学习者了解和掌握Flume在大数据日志收集中的应用，不少于9个实验。</w:t>
                  </w:r>
                </w:p>
                <w:p>
                  <w:pPr>
                    <w:pStyle w:val="null3"/>
                  </w:pPr>
                  <w:r>
                    <w:rPr>
                      <w:rFonts w:ascii="宋体" w:hAnsi="宋体" w:cs="宋体" w:eastAsia="宋体"/>
                      <w:sz w:val="18"/>
                    </w:rPr>
                    <w:t>2.2.8．计算引擎Spark：本课程包括但不限于Spark的安装和配置方法、Spark Shell操作、Spark API操作、Spark SQL操作、Spark Streaming介绍及案例演示；Spark MLlib频繁模式挖掘、特征提取、聚类、协同过滤、决策树、朴素贝叶斯分类等常见机器学习算法的应用；利用Sparklyr进行数据方差分析、分类算法、因子分析、主成分分析、逻辑回归、K-means聚类、线性回归分析等；PySpark的安装和基本操作，包括在IPython Notebook中使用Spark、Python Spark RDD、PySpark SQL、DataFrame、RDD等；PySpark MLlib机器学习常用算法，包括决策树回归分析、二元分类、随机森林、逻辑回归、推荐引擎等，旨在帮助学习者了解和掌握使用Spark进行高效的数据处理、分析和机器学习，掌握Spark与Python编程语言结合使用，不少于43个实验。</w:t>
                  </w:r>
                </w:p>
                <w:p>
                  <w:pPr>
                    <w:pStyle w:val="null3"/>
                  </w:pPr>
                  <w:r>
                    <w:rPr>
                      <w:rFonts w:ascii="宋体" w:hAnsi="宋体" w:cs="宋体" w:eastAsia="宋体"/>
                      <w:sz w:val="18"/>
                    </w:rPr>
                    <w:t>2.2.9．实时处理框架Storm：本课程包括但不限于Storm 单机模式安装、Storm WordCount统计、Storm Shell 基本操作、Storm Trident之WordCount、Storm Trident之Aggregate、Storm Trident之Function、Storm Trident之Filter、Storm 日志处理实战案例等相关实验任务并提供配套实验环境，旨在帮助学习者了解和掌握Storm在大数据实时处理中的应用，不少于8个实验。</w:t>
                  </w:r>
                </w:p>
                <w:p>
                  <w:pPr>
                    <w:pStyle w:val="null3"/>
                  </w:pPr>
                  <w:r>
                    <w:rPr>
                      <w:rFonts w:ascii="宋体" w:hAnsi="宋体" w:cs="宋体" w:eastAsia="宋体"/>
                      <w:sz w:val="18"/>
                    </w:rPr>
                    <w:t>2.2.10．批处理调度器Azkaban：本课程包括但不限于Azkaban的安装方法、Azkaban的简单操作、Azkaban脚本调度、Azkaban调度微博评论数据分析、Azkaban调度Linux日志分析等相关实验任务并提供配套实验环境。</w:t>
                  </w:r>
                </w:p>
                <w:p>
                  <w:pPr>
                    <w:pStyle w:val="null3"/>
                  </w:pPr>
                  <w:r>
                    <w:rPr>
                      <w:rFonts w:ascii="宋体" w:hAnsi="宋体" w:cs="宋体" w:eastAsia="宋体"/>
                      <w:sz w:val="18"/>
                    </w:rPr>
                    <w:t>2.2.11．Phoenix：本课程包括但不限于Phoenix安装方法和Phoenix常用操作等相关实验任务并提供配套实验环境，旨在帮助学习者了解和掌握Phoenix在Hadoop生态系统中的应用。</w:t>
                  </w:r>
                </w:p>
                <w:p>
                  <w:pPr>
                    <w:pStyle w:val="null3"/>
                  </w:pPr>
                  <w:r>
                    <w:rPr>
                      <w:rFonts w:ascii="宋体" w:hAnsi="宋体" w:cs="宋体" w:eastAsia="宋体"/>
                      <w:sz w:val="18"/>
                    </w:rPr>
                    <w:t>2.2.12．Pig：本课程包括但不限于安装和配置Pig，以及如何编写和使用Pig用户自定义函数等相关实验任务并提供配套实验环境，旨在帮助学习者了解和掌握Pig在大数据处理中的应用。</w:t>
                  </w:r>
                </w:p>
                <w:p>
                  <w:pPr>
                    <w:pStyle w:val="null3"/>
                  </w:pPr>
                  <w:r>
                    <w:rPr>
                      <w:rFonts w:ascii="宋体" w:hAnsi="宋体" w:cs="宋体" w:eastAsia="宋体"/>
                      <w:sz w:val="18"/>
                    </w:rPr>
                    <w:t>2.2.13．分布式应用程序协调服务ZooKeeper：本课程包括但不限于安装和配置ZooKeeper，以便在分布式环境中使用ZooKeeper进行应用程序的协调和管理，旨在帮助学习者了解和掌握ZooKeeper在分布式系统中的应用。</w:t>
                  </w:r>
                </w:p>
                <w:p>
                  <w:pPr>
                    <w:pStyle w:val="null3"/>
                  </w:pPr>
                  <w:r>
                    <w:rPr>
                      <w:rFonts w:ascii="宋体" w:hAnsi="宋体" w:cs="宋体" w:eastAsia="宋体"/>
                      <w:sz w:val="18"/>
                    </w:rPr>
                    <w:t>2.2.14．工作流引擎Oozie：本课程包括但不限于在单节点环境中安装和配置Oozie，以及如何创建和管理工作流，旨在帮助学习者了解和掌握Oozie在大数据工作流管理中的应用。</w:t>
                  </w:r>
                </w:p>
                <w:p>
                  <w:pPr>
                    <w:pStyle w:val="null3"/>
                    <w:jc w:val="both"/>
                  </w:pPr>
                  <w:r>
                    <w:rPr>
                      <w:rFonts w:ascii="宋体" w:hAnsi="宋体" w:cs="宋体" w:eastAsia="宋体"/>
                      <w:sz w:val="18"/>
                    </w:rPr>
                    <w:t>2.2.15．大数据建模：本课程包括但不限于KNN、线性回归等不同的建模算法和应用；模型的创建与评估、模型的验证与优化以及多算法模型对比的方法和技巧；并以不同的应用场景为例，预测用户评分、人脸识别、预测犯罪分类、预测共享单车租用情况、识别企业是否偷漏税、建立疾病恶化预测模型和情感判断模型等，旨在教授学生如何使用大数据算法进行建模和预测分析，不少于12个实验。</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套</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大数据综合项目案例</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8"/>
                    </w:rPr>
                    <w:t>1、</w:t>
                  </w:r>
                  <w:r>
                    <w:rPr>
                      <w:rFonts w:ascii="宋体" w:hAnsi="宋体" w:cs="宋体" w:eastAsia="宋体"/>
                      <w:sz w:val="18"/>
                    </w:rPr>
                    <w:t>综合实践项目</w:t>
                  </w:r>
                </w:p>
                <w:p>
                  <w:pPr>
                    <w:pStyle w:val="null3"/>
                  </w:pPr>
                  <w:r>
                    <w:rPr>
                      <w:rFonts w:ascii="宋体" w:hAnsi="宋体" w:cs="宋体" w:eastAsia="宋体"/>
                      <w:sz w:val="18"/>
                    </w:rPr>
                    <w:t>提供至少</w:t>
                  </w:r>
                  <w:r>
                    <w:rPr>
                      <w:rFonts w:ascii="宋体" w:hAnsi="宋体" w:cs="宋体" w:eastAsia="宋体"/>
                      <w:sz w:val="18"/>
                    </w:rPr>
                    <w:t>14个完整的基于真实数据和应用场景的项目实战案例，项目内容和开发环境集成在平台内。案例根据项目实际的开发流程，拆分成各个独立的阶段，包括但不限于项目概述、环境准备、需求分析、操作流程、代码实现等，每个阶段都用一个完整的实验任务来引导学生完成，各个实验任务之间的数据和结果均接续，学生分步完成项目任务，即可体验一个大数据项目的完整开发流程，获得真正的实践经验。</w:t>
                  </w:r>
                </w:p>
                <w:p>
                  <w:pPr>
                    <w:pStyle w:val="null3"/>
                  </w:pPr>
                  <w:r>
                    <w:rPr>
                      <w:rFonts w:ascii="宋体" w:hAnsi="宋体" w:cs="宋体" w:eastAsia="宋体"/>
                      <w:sz w:val="18"/>
                    </w:rPr>
                    <w:t>2、数据挖掘案例</w:t>
                  </w:r>
                </w:p>
                <w:p>
                  <w:pPr>
                    <w:pStyle w:val="null3"/>
                  </w:pPr>
                  <w:r>
                    <w:rPr>
                      <w:rFonts w:ascii="宋体" w:hAnsi="宋体" w:cs="宋体" w:eastAsia="宋体"/>
                      <w:sz w:val="18"/>
                    </w:rPr>
                    <w:t>提供至少</w:t>
                  </w:r>
                  <w:r>
                    <w:rPr>
                      <w:rFonts w:ascii="宋体" w:hAnsi="宋体" w:cs="宋体" w:eastAsia="宋体"/>
                      <w:sz w:val="18"/>
                    </w:rPr>
                    <w:t>25个大数据分析与挖掘案例，每个案例提供实验指导手册及配套实验环境。</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套</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名师精品课</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提供一套《大数据技术原理与应用（第</w:t>
                  </w:r>
                  <w:r>
                    <w:rPr>
                      <w:rFonts w:ascii="宋体" w:hAnsi="宋体" w:cs="宋体" w:eastAsia="宋体"/>
                      <w:sz w:val="18"/>
                    </w:rPr>
                    <w:t>3版）》教材配套序列化精品课程，包括但不限于教学大纲、不少于112课时的授课视频、不少于27个上机实验任务指导书及配套实验环境、课件PPT、课后练习实验和考试题库。课程分为不少于15章，涵盖但不限于大数据的概念、影响、应用领域和关键技术，以及大数据处理架构Hadoop、分布式文件系统HDFS、分布式数据库HBase、NoSQL数据库、不同数据库的比较、云数据库、MapReduce、数据仓库分析工具Hive、Spark、流计算、图计算、数据可视化以及大数据在不同领域的应用等内容。</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套</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行业数据集</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8"/>
                    </w:rPr>
                    <w:t>提供至少</w:t>
                  </w:r>
                  <w:r>
                    <w:rPr>
                      <w:rFonts w:ascii="宋体" w:hAnsi="宋体" w:cs="宋体" w:eastAsia="宋体"/>
                      <w:sz w:val="18"/>
                    </w:rPr>
                    <w:t>113个不同的行业数据，数据均经过脱敏和格式化处理，数据量能够满足日常教学和课后训练使用。</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套</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题库</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8"/>
                    </w:rPr>
                    <w:t>提供一套含有不少于</w:t>
                  </w:r>
                  <w:r>
                    <w:rPr>
                      <w:rFonts w:ascii="宋体" w:hAnsi="宋体" w:cs="宋体" w:eastAsia="宋体"/>
                      <w:sz w:val="18"/>
                    </w:rPr>
                    <w:t>2000道习题的题库，覆盖但不限于Java、Python、MySQL数据库、大数据技术、数据结构与算法、数据挖掘等，题型包含单选题、多选题、判断题、在线编程题、实验任务题，能够支撑教学环节中的测验和考核。</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套</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智能制造仿真产线调试工作台</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总体需求：外形尺寸</w:t>
                  </w:r>
                  <w:r>
                    <w:rPr>
                      <w:rFonts w:ascii="宋体" w:hAnsi="宋体" w:cs="宋体" w:eastAsia="宋体"/>
                      <w:sz w:val="18"/>
                    </w:rPr>
                    <w:t>≥3000mm*800mm*1600mm(长*宽*高），满足“智能产线应用”“智能装备与产线运维”“智能生产管控”“智能产线数据采集”等实训需求，可支持智能装备与产线开发、智能装备与产线应用、智能生产管控、装备与产线智能运维四个职业方向的产业人才培训。</w:t>
                  </w:r>
                </w:p>
                <w:p>
                  <w:pPr>
                    <w:pStyle w:val="null3"/>
                    <w:jc w:val="both"/>
                  </w:pPr>
                  <w:r>
                    <w:rPr>
                      <w:rFonts w:ascii="宋体" w:hAnsi="宋体" w:cs="宋体" w:eastAsia="宋体"/>
                      <w:sz w:val="18"/>
                    </w:rPr>
                    <w:t>包含但不限于</w:t>
                  </w:r>
                  <w:r>
                    <w:rPr>
                      <w:rFonts w:ascii="宋体" w:hAnsi="宋体" w:cs="宋体" w:eastAsia="宋体"/>
                      <w:sz w:val="18"/>
                    </w:rPr>
                    <w:t>操作台、编程电脑及显示屏、主控</w:t>
                  </w:r>
                  <w:r>
                    <w:rPr>
                      <w:rFonts w:ascii="宋体" w:hAnsi="宋体" w:cs="宋体" w:eastAsia="宋体"/>
                      <w:sz w:val="18"/>
                    </w:rPr>
                    <w:t>PLC、工业交换机、电源模组等组成；该单元为系统调试工作站，可对整个平台进行方案设计、编程调试网络管理及系统搭建等操作。</w:t>
                  </w:r>
                </w:p>
                <w:p>
                  <w:pPr>
                    <w:pStyle w:val="null3"/>
                    <w:jc w:val="both"/>
                  </w:pPr>
                  <w:r>
                    <w:rPr>
                      <w:rFonts w:ascii="宋体" w:hAnsi="宋体" w:cs="宋体" w:eastAsia="宋体"/>
                      <w:sz w:val="18"/>
                    </w:rPr>
                    <w:t>1）操作台外形尺寸≥600mm*800mm*1600mm(长*宽*高）；</w:t>
                  </w:r>
                </w:p>
                <w:p>
                  <w:pPr>
                    <w:pStyle w:val="null3"/>
                    <w:jc w:val="both"/>
                  </w:pPr>
                  <w:r>
                    <w:rPr>
                      <w:rFonts w:ascii="宋体" w:hAnsi="宋体" w:cs="宋体" w:eastAsia="宋体"/>
                      <w:sz w:val="18"/>
                    </w:rPr>
                    <w:t>2）平台终端：≥i5-14400, ≥10核，Intel H610芯片，集成显卡，≥16G内存，≥512G固态硬盘，显示器尺寸：≥23.8英寸，外形尺寸：5不小于40mm*421mm*189mm(长*宽*高），至少包含1个VGA，至少包含1个HDMI接口，支持壁挂，至少支持100Hz刷新率。</w:t>
                  </w:r>
                </w:p>
                <w:p>
                  <w:pPr>
                    <w:pStyle w:val="null3"/>
                    <w:jc w:val="both"/>
                  </w:pPr>
                  <w:r>
                    <w:rPr>
                      <w:rFonts w:ascii="宋体" w:hAnsi="宋体" w:cs="宋体" w:eastAsia="宋体"/>
                      <w:sz w:val="18"/>
                    </w:rPr>
                    <w:t>3）主机安全加固系统：安全加固系统支持单机部署和网络部署，支持ghot部署，虚拟化部署，工作模式：支持观察模式和执行模式，观察模式只告警、不拦截，执行模式拦截并告警，系统内存的占用小于20M，支持用户权限划分，系统管理员、普通管理员，审计管理员，支持支持中英文版Windows操作系统，包括Windows Server 2003/2008/2012/2016/2019/2022；Windows 2000/XP/Vista/7/8/8.1/10/11 操作系统(32位及64位)以及Window 10嵌入式。</w:t>
                  </w:r>
                </w:p>
                <w:p>
                  <w:pPr>
                    <w:pStyle w:val="null3"/>
                    <w:jc w:val="both"/>
                  </w:pPr>
                  <w:r>
                    <w:rPr>
                      <w:rFonts w:ascii="宋体" w:hAnsi="宋体" w:cs="宋体" w:eastAsia="宋体"/>
                      <w:sz w:val="18"/>
                    </w:rPr>
                    <w:t>支持但不限于主流</w:t>
                  </w:r>
                  <w:r>
                    <w:rPr>
                      <w:rFonts w:ascii="宋体" w:hAnsi="宋体" w:cs="宋体" w:eastAsia="宋体"/>
                      <w:sz w:val="18"/>
                    </w:rPr>
                    <w:t>Linux操作系统，包括但不限于RedHat 5.x、6.x、7.x、8.x、9.x；CentOS 5.x、6.x、7.x、8.x；Ubuntu 14.x、16.x、18.x、20.x、22.x; SUSE;Debian，支持国产操作系统，包括但不限于中标麒麟Kylin3.x、NeoKylin7.x、中标麒麟Kylin桌面版；银河麒麟V10、统信 V20；凝思安全操作系统V6.0、OpenEuler</w:t>
                  </w:r>
                </w:p>
                <w:p>
                  <w:pPr>
                    <w:pStyle w:val="null3"/>
                    <w:jc w:val="both"/>
                  </w:pPr>
                  <w:r>
                    <w:rPr>
                      <w:rFonts w:ascii="宋体" w:hAnsi="宋体" w:cs="宋体" w:eastAsia="宋体"/>
                      <w:sz w:val="18"/>
                    </w:rPr>
                    <w:t>白名单防护：支持但不限于程序或进程、脚本的白名单防护，禁止白名单以外的非法进程或脚本运行，并产生安全告警事件；</w:t>
                  </w:r>
                </w:p>
                <w:p>
                  <w:pPr>
                    <w:pStyle w:val="null3"/>
                    <w:jc w:val="both"/>
                  </w:pPr>
                  <w:r>
                    <w:rPr>
                      <w:rFonts w:ascii="宋体" w:hAnsi="宋体" w:cs="宋体" w:eastAsia="宋体"/>
                      <w:sz w:val="18"/>
                    </w:rPr>
                    <w:t>支持但不限于配置白名单防护模式为观察模式或执行模式，观察模式下只告警不拦截，执行模式下拦截且告警；</w:t>
                  </w:r>
                </w:p>
                <w:p>
                  <w:pPr>
                    <w:pStyle w:val="null3"/>
                    <w:jc w:val="both"/>
                  </w:pPr>
                  <w:r>
                    <w:rPr>
                      <w:rFonts w:ascii="宋体" w:hAnsi="宋体" w:cs="宋体" w:eastAsia="宋体"/>
                      <w:sz w:val="18"/>
                    </w:rPr>
                    <w:t>支持但不限于将告警的程序一键添加到白名单库；</w:t>
                  </w:r>
                </w:p>
                <w:p>
                  <w:pPr>
                    <w:pStyle w:val="null3"/>
                    <w:jc w:val="both"/>
                  </w:pPr>
                  <w:r>
                    <w:rPr>
                      <w:rFonts w:ascii="宋体" w:hAnsi="宋体" w:cs="宋体" w:eastAsia="宋体"/>
                      <w:sz w:val="18"/>
                    </w:rPr>
                    <w:t>系统固化：支持但不限于对系统进行一键固化操作，自动生成白名单库；</w:t>
                  </w:r>
                  <w:r>
                    <w:rPr>
                      <w:rFonts w:ascii="宋体" w:hAnsi="宋体" w:cs="宋体" w:eastAsia="宋体"/>
                      <w:sz w:val="18"/>
                    </w:rPr>
                    <w:t>★支持同类型主机的安装即固化功能。白名单管理：支持白名单库的导出备份及导入；支持对白名单进行关键内容、模糊查询查找；支持对白名单库进行追加、删除、保存等自定义操作；</w:t>
                  </w:r>
                </w:p>
                <w:p>
                  <w:pPr>
                    <w:pStyle w:val="null3"/>
                    <w:jc w:val="both"/>
                  </w:pPr>
                  <w:r>
                    <w:rPr>
                      <w:rFonts w:ascii="宋体" w:hAnsi="宋体" w:cs="宋体" w:eastAsia="宋体"/>
                      <w:sz w:val="18"/>
                    </w:rPr>
                    <w:t>支持但不限于白名单的共享管理，可以实现基于安全域的白名单共享，域内主机公用一套白名单库；</w:t>
                  </w:r>
                </w:p>
                <w:p>
                  <w:pPr>
                    <w:pStyle w:val="null3"/>
                    <w:jc w:val="both"/>
                  </w:pPr>
                  <w:r>
                    <w:rPr>
                      <w:rFonts w:ascii="宋体" w:hAnsi="宋体" w:cs="宋体" w:eastAsia="宋体"/>
                      <w:sz w:val="18"/>
                    </w:rPr>
                    <w:t>资源监控：支持但不限于对</w:t>
                  </w:r>
                  <w:r>
                    <w:rPr>
                      <w:rFonts w:ascii="宋体" w:hAnsi="宋体" w:cs="宋体" w:eastAsia="宋体"/>
                      <w:sz w:val="18"/>
                    </w:rPr>
                    <w:t>CPU占用率、内存使用率、系统盘使用率设置限值，超过限值提示用户并记录日志；</w:t>
                  </w:r>
                </w:p>
                <w:p>
                  <w:pPr>
                    <w:pStyle w:val="null3"/>
                    <w:jc w:val="both"/>
                  </w:pPr>
                  <w:r>
                    <w:rPr>
                      <w:rFonts w:ascii="宋体" w:hAnsi="宋体" w:cs="宋体" w:eastAsia="宋体"/>
                      <w:sz w:val="18"/>
                    </w:rPr>
                    <w:t>支持但不限于分别对网络的接收速度和发送速度设置限值，超过限值提示用户并记录日志；</w:t>
                  </w:r>
                </w:p>
                <w:p>
                  <w:pPr>
                    <w:pStyle w:val="null3"/>
                    <w:jc w:val="both"/>
                  </w:pPr>
                  <w:r>
                    <w:rPr>
                      <w:rFonts w:ascii="宋体" w:hAnsi="宋体" w:cs="宋体" w:eastAsia="宋体"/>
                      <w:sz w:val="18"/>
                    </w:rPr>
                    <w:t>支持但不限于对普通</w:t>
                  </w:r>
                  <w:r>
                    <w:rPr>
                      <w:rFonts w:ascii="宋体" w:hAnsi="宋体" w:cs="宋体" w:eastAsia="宋体"/>
                      <w:sz w:val="18"/>
                    </w:rPr>
                    <w:t>U盘的访问控制，包括只读、只写、执行；</w:t>
                  </w:r>
                </w:p>
                <w:p>
                  <w:pPr>
                    <w:pStyle w:val="null3"/>
                    <w:jc w:val="both"/>
                  </w:pPr>
                  <w:r>
                    <w:rPr>
                      <w:rFonts w:ascii="宋体" w:hAnsi="宋体" w:cs="宋体" w:eastAsia="宋体"/>
                      <w:sz w:val="18"/>
                    </w:rPr>
                    <w:t>支持但不限于基于白名单的</w:t>
                  </w:r>
                  <w:r>
                    <w:rPr>
                      <w:rFonts w:ascii="宋体" w:hAnsi="宋体" w:cs="宋体" w:eastAsia="宋体"/>
                      <w:sz w:val="18"/>
                    </w:rPr>
                    <w:t>U盘接入管理，支持对单一Ｕ盘的独立权限控制，杜绝一切非注册U盘接入；</w:t>
                  </w:r>
                </w:p>
                <w:p>
                  <w:pPr>
                    <w:pStyle w:val="null3"/>
                    <w:jc w:val="both"/>
                  </w:pPr>
                  <w:r>
                    <w:rPr>
                      <w:rFonts w:ascii="宋体" w:hAnsi="宋体" w:cs="宋体" w:eastAsia="宋体"/>
                      <w:sz w:val="18"/>
                    </w:rPr>
                    <w:t>对特定安装目录的文件进行完整性保护，防止恶意程序篡改或误操作对目标文件进行修改或删除；</w:t>
                  </w:r>
                </w:p>
                <w:p>
                  <w:pPr>
                    <w:pStyle w:val="null3"/>
                    <w:jc w:val="both"/>
                  </w:pPr>
                  <w:r>
                    <w:rPr>
                      <w:rFonts w:ascii="宋体" w:hAnsi="宋体" w:cs="宋体" w:eastAsia="宋体"/>
                      <w:sz w:val="18"/>
                    </w:rPr>
                    <w:t>支持但不限于对操作系统的审核策略、安全选项等进行统一的设置。</w:t>
                  </w:r>
                </w:p>
                <w:p>
                  <w:pPr>
                    <w:pStyle w:val="null3"/>
                    <w:jc w:val="both"/>
                  </w:pPr>
                  <w:r>
                    <w:rPr>
                      <w:rFonts w:ascii="宋体" w:hAnsi="宋体" w:cs="宋体" w:eastAsia="宋体"/>
                      <w:sz w:val="18"/>
                    </w:rPr>
                    <w:t>3）主控PLC：控制器采用模块化、紧凑型设计、可扩展性强,具有标准工业通信接口以及丰富的集成功能，具有实现简单逻辑控制、高级逻辑控制、网络通信与控制应用， 以及过程控制系统等高级应用功能，技术参数如下：</w:t>
                  </w:r>
                </w:p>
                <w:p>
                  <w:pPr>
                    <w:pStyle w:val="null3"/>
                    <w:jc w:val="both"/>
                  </w:pPr>
                  <w:r>
                    <w:rPr>
                      <w:rFonts w:ascii="宋体" w:hAnsi="宋体" w:cs="宋体" w:eastAsia="宋体"/>
                      <w:sz w:val="18"/>
                    </w:rPr>
                    <w:t>3.1）不少于14 点集成24V直流数字量输入（漏电流/源电流（IEC 1 型漏电流））；</w:t>
                  </w:r>
                </w:p>
                <w:p>
                  <w:pPr>
                    <w:pStyle w:val="null3"/>
                    <w:jc w:val="both"/>
                  </w:pPr>
                  <w:r>
                    <w:rPr>
                      <w:rFonts w:ascii="宋体" w:hAnsi="宋体" w:cs="宋体" w:eastAsia="宋体"/>
                      <w:sz w:val="18"/>
                    </w:rPr>
                    <w:t>3.2）不少于10 点集成数字量输出，24 V 直流或继电器；</w:t>
                  </w:r>
                </w:p>
                <w:p>
                  <w:pPr>
                    <w:pStyle w:val="null3"/>
                    <w:jc w:val="both"/>
                  </w:pPr>
                  <w:r>
                    <w:rPr>
                      <w:rFonts w:ascii="宋体" w:hAnsi="宋体" w:cs="宋体" w:eastAsia="宋体"/>
                      <w:sz w:val="18"/>
                    </w:rPr>
                    <w:t>3.3）不少于2 点集成模拟量输入 0 ~ 10 V；</w:t>
                  </w:r>
                </w:p>
                <w:p>
                  <w:pPr>
                    <w:pStyle w:val="null3"/>
                    <w:jc w:val="both"/>
                  </w:pPr>
                  <w:r>
                    <w:rPr>
                      <w:rFonts w:ascii="宋体" w:hAnsi="宋体" w:cs="宋体" w:eastAsia="宋体"/>
                      <w:sz w:val="18"/>
                    </w:rPr>
                    <w:t>3.4）不少于4 路脉冲输出 (PTO)，频率最高 100 kHz；</w:t>
                  </w:r>
                </w:p>
                <w:p>
                  <w:pPr>
                    <w:pStyle w:val="null3"/>
                    <w:jc w:val="both"/>
                  </w:pPr>
                  <w:r>
                    <w:rPr>
                      <w:rFonts w:ascii="宋体" w:hAnsi="宋体" w:cs="宋体" w:eastAsia="宋体"/>
                      <w:sz w:val="18"/>
                    </w:rPr>
                    <w:t>3.5)脉冲宽度调制输出 (PWM)，频率最高 100 kHz；</w:t>
                  </w:r>
                </w:p>
                <w:p>
                  <w:pPr>
                    <w:pStyle w:val="null3"/>
                    <w:jc w:val="both"/>
                  </w:pPr>
                  <w:r>
                    <w:rPr>
                      <w:rFonts w:ascii="宋体" w:hAnsi="宋体" w:cs="宋体" w:eastAsia="宋体"/>
                      <w:sz w:val="18"/>
                    </w:rPr>
                    <w:t>3.6)不少于2个集成以太网接口（TCP/IP native、ISO-on-TCP）；</w:t>
                  </w:r>
                </w:p>
                <w:p>
                  <w:pPr>
                    <w:pStyle w:val="null3"/>
                    <w:jc w:val="both"/>
                  </w:pPr>
                  <w:r>
                    <w:rPr>
                      <w:rFonts w:ascii="宋体" w:hAnsi="宋体" w:cs="宋体" w:eastAsia="宋体"/>
                      <w:sz w:val="18"/>
                    </w:rPr>
                    <w:t>3.7) 不少于6个快速计数器（3个最大频率为 100 kHz；3 个最大频率为 30 kHz），带有可参数化的使能和复位输入，可以同时用作带有 2 点单独输入的加减计数器，或用于连接增量型编码器；</w:t>
                  </w:r>
                </w:p>
                <w:p>
                  <w:pPr>
                    <w:pStyle w:val="null3"/>
                    <w:jc w:val="both"/>
                  </w:pPr>
                  <w:r>
                    <w:rPr>
                      <w:rFonts w:ascii="宋体" w:hAnsi="宋体" w:cs="宋体" w:eastAsia="宋体"/>
                      <w:sz w:val="18"/>
                    </w:rPr>
                    <w:t>3.8)通过附加通信接口扩展，例如，RS485 或 RS232；</w:t>
                  </w:r>
                </w:p>
                <w:p>
                  <w:pPr>
                    <w:pStyle w:val="null3"/>
                    <w:jc w:val="both"/>
                  </w:pPr>
                  <w:r>
                    <w:rPr>
                      <w:rFonts w:ascii="宋体" w:hAnsi="宋体" w:cs="宋体" w:eastAsia="宋体"/>
                      <w:sz w:val="18"/>
                    </w:rPr>
                    <w:t>通过信号板使用模拟或数字信号直接在</w:t>
                  </w:r>
                  <w:r>
                    <w:rPr>
                      <w:rFonts w:ascii="宋体" w:hAnsi="宋体" w:cs="宋体" w:eastAsia="宋体"/>
                      <w:sz w:val="18"/>
                    </w:rPr>
                    <w:t>CPU 上扩展（保持 CPU 安装尺寸）；</w:t>
                  </w:r>
                </w:p>
                <w:p>
                  <w:pPr>
                    <w:pStyle w:val="null3"/>
                    <w:jc w:val="both"/>
                  </w:pPr>
                  <w:r>
                    <w:rPr>
                      <w:rFonts w:ascii="宋体" w:hAnsi="宋体" w:cs="宋体" w:eastAsia="宋体"/>
                      <w:sz w:val="18"/>
                    </w:rPr>
                    <w:t>3.9)通过信号模块使用各种模拟量和数字量输入和输出信号扩展；可选存储器扩展（SIMATIC 存储卡）；</w:t>
                  </w:r>
                </w:p>
                <w:p>
                  <w:pPr>
                    <w:pStyle w:val="null3"/>
                    <w:jc w:val="both"/>
                  </w:pPr>
                  <w:r>
                    <w:rPr>
                      <w:rFonts w:ascii="宋体" w:hAnsi="宋体" w:cs="宋体" w:eastAsia="宋体"/>
                      <w:sz w:val="18"/>
                    </w:rPr>
                    <w:t>3.10)PID 控制器，具有自动调谐功能；集成实时时钟</w:t>
                  </w:r>
                </w:p>
                <w:p>
                  <w:pPr>
                    <w:pStyle w:val="null3"/>
                    <w:jc w:val="both"/>
                  </w:pPr>
                  <w:r>
                    <w:rPr>
                      <w:rFonts w:ascii="宋体" w:hAnsi="宋体" w:cs="宋体" w:eastAsia="宋体"/>
                      <w:sz w:val="18"/>
                    </w:rPr>
                    <w:t>4）工业交换机：不少于8个百兆RJ45接口，9.6V~60VDC三冗电源输入，支持正负极反接保护，反接亦可正常工作，短路保护、浪涌保护，符合IEC/EN 61000-4工业级防护，标准的DIN导轨安装。</w:t>
                  </w:r>
                </w:p>
                <w:p>
                  <w:pPr>
                    <w:pStyle w:val="null3"/>
                    <w:jc w:val="both"/>
                  </w:pPr>
                  <w:r>
                    <w:rPr>
                      <w:rFonts w:ascii="宋体" w:hAnsi="宋体" w:cs="宋体" w:eastAsia="宋体"/>
                      <w:sz w:val="18"/>
                    </w:rPr>
                    <w:t>5）电源模组：不少于2路DC24V/5A,两路AC220V/10A电源输出。</w:t>
                  </w:r>
                </w:p>
                <w:p>
                  <w:pPr>
                    <w:pStyle w:val="null3"/>
                    <w:jc w:val="left"/>
                  </w:pPr>
                  <w:r>
                    <w:rPr>
                      <w:rFonts w:ascii="宋体" w:hAnsi="宋体" w:cs="宋体" w:eastAsia="宋体"/>
                      <w:sz w:val="18"/>
                    </w:rPr>
                    <w:t>6）学生凳外形尺寸≥300mm*250mm*450mm，防滑静音脚垫。</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台</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智能制造仿真产线上料标识工作台</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8"/>
                    </w:rPr>
                    <w:t>包含但不限于上料与标识操作台、工业交换机、触摸屏系统、西门子</w:t>
                  </w:r>
                  <w:r>
                    <w:rPr>
                      <w:rFonts w:ascii="宋体" w:hAnsi="宋体" w:cs="宋体" w:eastAsia="宋体"/>
                      <w:sz w:val="18"/>
                    </w:rPr>
                    <w:t>PLC控制系统模块、伺服系统、步进驱动系统、故障设置系统、扫码传感器、直线模组机构、铝电池存储架、传输皮带模块、盒盖机构、电源模块、执行机构等组成，电芯自动上料与标识采用伺服驱动传动系统，伺服传动系统由直线模组平台、伺服电机、高精密丝杠、直线轴承及导杆、伺服控制器等组成。伺服机械取电芯自动上料模块，由伺服模组及配套机械手进行，机械手末端安装真空吸盘，通过真空吸附电芯，机械手将电芯从料盘里取出、搬运并放置到入料皮带上。</w:t>
                  </w:r>
                </w:p>
                <w:p>
                  <w:pPr>
                    <w:pStyle w:val="null3"/>
                    <w:jc w:val="both"/>
                  </w:pPr>
                  <w:r>
                    <w:rPr>
                      <w:rFonts w:ascii="宋体" w:hAnsi="宋体" w:cs="宋体" w:eastAsia="宋体"/>
                      <w:sz w:val="18"/>
                    </w:rPr>
                    <w:t>1）操作台外形尺寸不小于600mm*800mm*1600mm(长*宽*高）；</w:t>
                  </w:r>
                </w:p>
                <w:p>
                  <w:pPr>
                    <w:pStyle w:val="null3"/>
                  </w:pPr>
                  <w:r>
                    <w:rPr>
                      <w:rFonts w:ascii="宋体" w:hAnsi="宋体" w:cs="宋体" w:eastAsia="宋体"/>
                      <w:sz w:val="18"/>
                    </w:rPr>
                    <w:t>2）接入交换机：不少于8个百兆RJ45接口，9.6V~60VDC三冗电源输入，支持正负极反接保护，反接亦可正常工作，短路保护、浪涌保护，符合IEC/EN 61000-4工业级防护，标准的DIN导轨安装。</w:t>
                  </w:r>
                </w:p>
                <w:p>
                  <w:pPr>
                    <w:pStyle w:val="null3"/>
                  </w:pPr>
                  <w:r>
                    <w:rPr>
                      <w:rFonts w:ascii="宋体" w:hAnsi="宋体" w:cs="宋体" w:eastAsia="宋体"/>
                      <w:sz w:val="18"/>
                    </w:rPr>
                    <w:t>3）触摸屏系统：不小于7寸，供电电源：DC24V,支持串口，USB口，以太网口10/100M自适应，TFT液晶显示屏（分辨率800*480），显示颜色：262k，显示亮度：252cd/㎡,电阻式触摸屏，处理器：Cortex-A7多核800MHZ，内存：128M,系统存储：128M，触摸屏人机界面产品的设计符合工业环境,符合CE/FCC认证标准。</w:t>
                  </w:r>
                </w:p>
                <w:p>
                  <w:pPr>
                    <w:pStyle w:val="null3"/>
                  </w:pPr>
                  <w:r>
                    <w:rPr>
                      <w:rFonts w:ascii="宋体" w:hAnsi="宋体" w:cs="宋体" w:eastAsia="宋体"/>
                      <w:sz w:val="18"/>
                    </w:rPr>
                    <w:t>4）PLC控制模块:控制器采用模块化、紧凑型设计、可扩展性强,具有标准工业通信接口以及丰富的集成功能，具有实现简单逻辑控制、高级逻辑控制、网络通信与控制应用， 以及过程控制系统等高级应用功能，技术参数如下：</w:t>
                  </w:r>
                </w:p>
                <w:p>
                  <w:pPr>
                    <w:pStyle w:val="null3"/>
                  </w:pPr>
                  <w:r>
                    <w:rPr>
                      <w:rFonts w:ascii="宋体" w:hAnsi="宋体" w:cs="宋体" w:eastAsia="宋体"/>
                      <w:sz w:val="18"/>
                    </w:rPr>
                    <w:t>●不少于14点集成24V直流数字量输入（漏电流/源电流（IEC 1 型漏电流）；</w:t>
                  </w:r>
                </w:p>
                <w:p>
                  <w:pPr>
                    <w:pStyle w:val="null3"/>
                  </w:pPr>
                  <w:r>
                    <w:rPr>
                      <w:rFonts w:ascii="宋体" w:hAnsi="宋体" w:cs="宋体" w:eastAsia="宋体"/>
                      <w:sz w:val="18"/>
                    </w:rPr>
                    <w:t>●不少于10 点集成数字量输出，24 V 直流或继电器；</w:t>
                  </w:r>
                </w:p>
                <w:p>
                  <w:pPr>
                    <w:pStyle w:val="null3"/>
                  </w:pPr>
                  <w:r>
                    <w:rPr>
                      <w:rFonts w:ascii="宋体" w:hAnsi="宋体" w:cs="宋体" w:eastAsia="宋体"/>
                      <w:sz w:val="18"/>
                    </w:rPr>
                    <w:t>●不少于2 点集成模拟量输入 0 ~ 10 V；</w:t>
                  </w:r>
                </w:p>
                <w:p>
                  <w:pPr>
                    <w:pStyle w:val="null3"/>
                  </w:pPr>
                  <w:r>
                    <w:rPr>
                      <w:rFonts w:ascii="宋体" w:hAnsi="宋体" w:cs="宋体" w:eastAsia="宋体"/>
                      <w:sz w:val="18"/>
                    </w:rPr>
                    <w:t>●不少于4 路脉冲输出 (PTO)，频率最高 100 kHz；</w:t>
                  </w:r>
                </w:p>
                <w:p>
                  <w:pPr>
                    <w:pStyle w:val="null3"/>
                  </w:pPr>
                  <w:r>
                    <w:rPr>
                      <w:rFonts w:ascii="宋体" w:hAnsi="宋体" w:cs="宋体" w:eastAsia="宋体"/>
                      <w:sz w:val="18"/>
                    </w:rPr>
                    <w:t>●脉冲宽度调制输出 (PWM)，频率最高 100 kHz；</w:t>
                  </w:r>
                </w:p>
                <w:p>
                  <w:pPr>
                    <w:pStyle w:val="null3"/>
                  </w:pPr>
                  <w:r>
                    <w:rPr>
                      <w:rFonts w:ascii="宋体" w:hAnsi="宋体" w:cs="宋体" w:eastAsia="宋体"/>
                      <w:sz w:val="18"/>
                    </w:rPr>
                    <w:t>●不少于2个集成以太网接口（TCP/IP native、ISO-on-TCP）；</w:t>
                  </w:r>
                </w:p>
                <w:p>
                  <w:pPr>
                    <w:pStyle w:val="null3"/>
                  </w:pPr>
                  <w:r>
                    <w:rPr>
                      <w:rFonts w:ascii="宋体" w:hAnsi="宋体" w:cs="宋体" w:eastAsia="宋体"/>
                      <w:sz w:val="18"/>
                    </w:rPr>
                    <w:t>●不少于6个快速计数器（3个最大频率为 100 kHz；3个最大频率为 30 kHz），带有可参数化的使能和复位输入，可以同时用作带有 2 点单独输入的加减计数器，或用于连接增量型编码器；</w:t>
                  </w:r>
                </w:p>
                <w:p>
                  <w:pPr>
                    <w:pStyle w:val="null3"/>
                  </w:pPr>
                  <w:r>
                    <w:rPr>
                      <w:rFonts w:ascii="宋体" w:hAnsi="宋体" w:cs="宋体" w:eastAsia="宋体"/>
                      <w:sz w:val="18"/>
                    </w:rPr>
                    <w:t>●通过附加通信接口扩展，例如，RS485 或 RS232；通过信号板使用模拟或数字信号直接在 CPU 上扩展（保持 CPU 安装尺寸）；</w:t>
                  </w:r>
                </w:p>
                <w:p>
                  <w:pPr>
                    <w:pStyle w:val="null3"/>
                  </w:pPr>
                  <w:r>
                    <w:rPr>
                      <w:rFonts w:ascii="宋体" w:hAnsi="宋体" w:cs="宋体" w:eastAsia="宋体"/>
                      <w:sz w:val="18"/>
                    </w:rPr>
                    <w:t>●通过信号模块使用各种模拟量和数字量输入和输出信号扩展；可选存储器扩展（SIMATIC 存储卡）；</w:t>
                  </w:r>
                </w:p>
                <w:p>
                  <w:pPr>
                    <w:pStyle w:val="null3"/>
                  </w:pPr>
                  <w:r>
                    <w:rPr>
                      <w:rFonts w:ascii="宋体" w:hAnsi="宋体" w:cs="宋体" w:eastAsia="宋体"/>
                      <w:sz w:val="18"/>
                    </w:rPr>
                    <w:t>●PID 控制器，具有自动调谐功能；集成实时时钟</w:t>
                  </w:r>
                </w:p>
                <w:p>
                  <w:pPr>
                    <w:pStyle w:val="null3"/>
                  </w:pPr>
                  <w:r>
                    <w:rPr>
                      <w:rFonts w:ascii="宋体" w:hAnsi="宋体" w:cs="宋体" w:eastAsia="宋体"/>
                      <w:sz w:val="18"/>
                    </w:rPr>
                    <w:t>●扩展模块：外形尺寸不小于45mm*100mm*75mm,功耗：低于2.5W，不少于16点输入16点输出，允许连续最大电压30V/DC，浪涌电压35VDC，持续0.5秒，输出电流最大0.5A,信号灯负载。</w:t>
                  </w:r>
                </w:p>
                <w:p>
                  <w:pPr>
                    <w:pStyle w:val="null3"/>
                    <w:jc w:val="both"/>
                  </w:pPr>
                  <w:r>
                    <w:rPr>
                      <w:rFonts w:ascii="宋体" w:hAnsi="宋体" w:cs="宋体" w:eastAsia="宋体"/>
                      <w:sz w:val="18"/>
                    </w:rPr>
                    <w:t>5)伺服驱动系统：额定功率不小于0.2KW,电源设备容量：不小于1.4KVA,AC220V电源输入，额定输出电流 不小于1.6A，控制方式IGBT PWM控制，正弦波电流驱动方式，23位多圈绝对值编码器，速度指令输入：CVS/PV模式，转矩指令输入：CST/PT模式，一键式参数调整、自适应参数调整、速度观测器、模型跟踪，支持EtherCAt协议，支持状态显示、用户参数设定、监视显示、警报跟踪显示、JOG运行与自动调谐操作、速度、转矩指令信号等测绘功能；通讯与运动控制指令给定。伺服驱动电机:额定功率不小于100W,额定转速不小于3000rpm,23位多圈绝对值编码器，外壳防护等级：≥IP67。</w:t>
                  </w:r>
                </w:p>
                <w:p>
                  <w:pPr>
                    <w:pStyle w:val="null3"/>
                    <w:jc w:val="both"/>
                  </w:pPr>
                  <w:r>
                    <w:rPr>
                      <w:rFonts w:ascii="宋体" w:hAnsi="宋体" w:cs="宋体" w:eastAsia="宋体"/>
                      <w:sz w:val="18"/>
                    </w:rPr>
                    <w:t>6）步进驱动系统：外形尺寸不小于118mm*75.5mm*25.5mm,输入电压：DC24V,电流1.0-4.2A，两相，步进脉冲频率200KHz,绝缘等级100MΩ，支持报警输出、输入信号滤波、自整定、报警组态设置、脉冲有效沿设置、单双脉冲选择、自检测设置。支持通过拨码选择不同细分数，改变电机旋转一圈所需的步数，可通过拨码选择不同驱动器输出电流，以适配不同电机或不同负载。</w:t>
                  </w:r>
                </w:p>
                <w:p>
                  <w:pPr>
                    <w:pStyle w:val="null3"/>
                    <w:jc w:val="both"/>
                  </w:pPr>
                  <w:r>
                    <w:rPr>
                      <w:rFonts w:ascii="宋体" w:hAnsi="宋体" w:cs="宋体" w:eastAsia="宋体"/>
                      <w:sz w:val="18"/>
                    </w:rPr>
                    <w:t>7）故障设置系统：外形尺寸不小于180mm*240mm*85mm(长*宽*高），路故障设置，故障设置有断路、正常等故障类型。</w:t>
                  </w:r>
                </w:p>
                <w:p>
                  <w:pPr>
                    <w:pStyle w:val="null3"/>
                    <w:jc w:val="both"/>
                  </w:pPr>
                  <w:r>
                    <w:rPr>
                      <w:rFonts w:ascii="宋体" w:hAnsi="宋体" w:cs="宋体" w:eastAsia="宋体"/>
                      <w:sz w:val="18"/>
                    </w:rPr>
                    <w:t>8）扫码传感器：外形尺寸不小于49.5mm*45mm*22mm,扫描头物理转角不小于220°，白色LED背景光源，工作电压DC10V-48V,工作功率不小于2W，400mA,支持标准的一维，二维条码，网口支持POE，影像式扫描类型，通信距离0-200米，IP等级，≥IP54设计标准，产品符合ROHS、FCC、CE认证。</w:t>
                  </w:r>
                </w:p>
                <w:p>
                  <w:pPr>
                    <w:pStyle w:val="null3"/>
                    <w:jc w:val="both"/>
                  </w:pPr>
                  <w:r>
                    <w:rPr>
                      <w:rFonts w:ascii="宋体" w:hAnsi="宋体" w:cs="宋体" w:eastAsia="宋体"/>
                      <w:sz w:val="18"/>
                    </w:rPr>
                    <w:t>9）直线模组机构：直线模组执行机构尺寸不小于480mm*300mm*500mm,由伺服电机启动直线模组前后移动，直线尺寸为485mm*145mm*60mm,导程为10mm.</w:t>
                  </w:r>
                </w:p>
                <w:p>
                  <w:pPr>
                    <w:pStyle w:val="null3"/>
                    <w:jc w:val="both"/>
                  </w:pPr>
                  <w:r>
                    <w:rPr>
                      <w:rFonts w:ascii="宋体" w:hAnsi="宋体" w:cs="宋体" w:eastAsia="宋体"/>
                      <w:sz w:val="18"/>
                    </w:rPr>
                    <w:t>10）铝电池存储架：外形尺寸不少于205mm*205mm*200mm，铝电池存储架可放置8个铝电池包，每个位置都有接近开关来检测物料的有无。物料的前后排移动机构由直线导轨和气缸组成。</w:t>
                  </w:r>
                </w:p>
                <w:p>
                  <w:pPr>
                    <w:pStyle w:val="null3"/>
                    <w:jc w:val="both"/>
                  </w:pPr>
                  <w:r>
                    <w:rPr>
                      <w:rFonts w:ascii="宋体" w:hAnsi="宋体" w:cs="宋体" w:eastAsia="宋体"/>
                      <w:sz w:val="18"/>
                    </w:rPr>
                    <w:t>11）传输皮带模块：机构尺寸为不小于600mm*70mm*170mm，输送带的驱动由步进电机和同步轮组成。输送带两侧由两个不锈钢方条作为物料移动的导向，输送带带动物料前进。</w:t>
                  </w:r>
                </w:p>
                <w:p>
                  <w:pPr>
                    <w:pStyle w:val="null3"/>
                    <w:jc w:val="both"/>
                  </w:pPr>
                  <w:r>
                    <w:rPr>
                      <w:rFonts w:ascii="宋体" w:hAnsi="宋体" w:cs="宋体" w:eastAsia="宋体"/>
                      <w:sz w:val="18"/>
                    </w:rPr>
                    <w:t>12）盒盖机构：盒盖机构尺寸为不小于160mm*90mm*250mm,由导轨气缸带动塑料棒推动电芯载具的盖子闭合，由磁铁吸合电芯载具。</w:t>
                  </w:r>
                </w:p>
                <w:p>
                  <w:pPr>
                    <w:pStyle w:val="null3"/>
                    <w:jc w:val="left"/>
                  </w:pPr>
                  <w:r>
                    <w:rPr>
                      <w:rFonts w:ascii="宋体" w:hAnsi="宋体" w:cs="宋体" w:eastAsia="宋体"/>
                      <w:sz w:val="18"/>
                    </w:rPr>
                    <w:t>13）电源模组：2路DC24V/5A,两路AC220V/10A电源输出，可通过蓝牙连接控制设备电源通断，可分为单节点控制、定时开关通断、1键开/关节点控制、状态显示、软件界面显示实时时间及日期等信息状态</w:t>
                  </w:r>
                </w:p>
                <w:p>
                  <w:pPr>
                    <w:pStyle w:val="null3"/>
                    <w:jc w:val="left"/>
                  </w:pPr>
                  <w:r>
                    <w:rPr>
                      <w:rFonts w:ascii="宋体" w:hAnsi="宋体" w:cs="宋体" w:eastAsia="宋体"/>
                      <w:sz w:val="18"/>
                    </w:rPr>
                    <w:t>14）系统控制器：CPU:≥I5-1204P，不少于12核，内存≥16G,硬盘≥512G固态，集成显卡,USB接口不少于4个，显示器尺寸：≥23.8英寸，外形尺寸：不小于540mm*421mm*189mm(长*宽*高），1个VGA，不少于1个HDMI接口，支持壁挂，至少支持100Hz刷新率。</w:t>
                  </w:r>
                </w:p>
                <w:p>
                  <w:pPr>
                    <w:pStyle w:val="null3"/>
                    <w:jc w:val="left"/>
                  </w:pPr>
                  <w:r>
                    <w:rPr>
                      <w:rFonts w:ascii="宋体" w:hAnsi="宋体" w:cs="宋体" w:eastAsia="宋体"/>
                      <w:sz w:val="18"/>
                    </w:rPr>
                    <w:t>15）真空发生器：压力范围≥0.1-0.6Mpa，额定压力不小于0.5Mpa,真空流量≥63 l/min,空气消耗量不小于100 l/min。</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台</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智能制造仿真产线成型工作台</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8"/>
                    </w:rPr>
                    <w:t>包含但不限于极耳整形装置、工装定位机构、故障设置装置、极耳裁切装置、电源模组、工业交换机、</w:t>
                  </w:r>
                  <w:r>
                    <w:rPr>
                      <w:rFonts w:ascii="宋体" w:hAnsi="宋体" w:cs="宋体" w:eastAsia="宋体"/>
                      <w:sz w:val="18"/>
                    </w:rPr>
                    <w:t>PLC控制系统、触摸屏系统、SCADA系统、输送带模块、智能传感器等组成。极片裁剪模块采用上下裁切刀组合动作，完成电芯极耳的定尺寸裁切极耳裁切机，可进行气缸组合机构的组装与调试，刀片定位调节、传感器的安装与调试、气缸组合机构动作逻辑的PLC编程。</w:t>
                  </w:r>
                </w:p>
                <w:p>
                  <w:pPr>
                    <w:pStyle w:val="null3"/>
                    <w:jc w:val="left"/>
                  </w:pPr>
                  <w:r>
                    <w:rPr>
                      <w:rFonts w:ascii="宋体" w:hAnsi="宋体" w:cs="宋体" w:eastAsia="宋体"/>
                      <w:sz w:val="18"/>
                    </w:rPr>
                    <w:t>生产流程：接收到订单指令下发后，由皮带输送线把锂电池包输送带极耳裁剪装置定位处，裁剪装置对极耳进行裁剪，裁剪完后皮带输送线输送到极耳整形装置处，对极耳进行整形，整形完后，进入下一个生产流程。</w:t>
                  </w:r>
                </w:p>
                <w:p>
                  <w:pPr>
                    <w:pStyle w:val="null3"/>
                    <w:jc w:val="left"/>
                  </w:pPr>
                  <w:r>
                    <w:rPr>
                      <w:rFonts w:ascii="宋体" w:hAnsi="宋体" w:cs="宋体" w:eastAsia="宋体"/>
                      <w:sz w:val="18"/>
                    </w:rPr>
                    <w:t>1）极耳整形装置：外形尺寸为不小于120mm*375mm*350mm,由气缸推动整形块对裁切后的极耳进行整平。整形块上连接有压力传感器，可以检测整形时的压力。</w:t>
                  </w:r>
                </w:p>
                <w:p>
                  <w:pPr>
                    <w:pStyle w:val="null3"/>
                    <w:jc w:val="left"/>
                  </w:pPr>
                  <w:r>
                    <w:rPr>
                      <w:rFonts w:ascii="宋体" w:hAnsi="宋体" w:cs="宋体" w:eastAsia="宋体"/>
                      <w:sz w:val="18"/>
                    </w:rPr>
                    <w:t>2）工装定位装置：由一个气缸把阻挡块顶升上来，把工装载具截停在输送带上，接着由定位气缸推动定位块插入工装载具中</w:t>
                  </w:r>
                </w:p>
                <w:p>
                  <w:pPr>
                    <w:pStyle w:val="null3"/>
                    <w:jc w:val="left"/>
                  </w:pPr>
                  <w:r>
                    <w:rPr>
                      <w:rFonts w:ascii="宋体" w:hAnsi="宋体" w:cs="宋体" w:eastAsia="宋体"/>
                      <w:sz w:val="18"/>
                    </w:rPr>
                    <w:t>3）故障设置装置：外形尺寸不小于180mm*240mm*85mm(长*宽*高），8路故障设置，故障设置有断路、正常等故障类型。</w:t>
                  </w:r>
                </w:p>
                <w:p>
                  <w:pPr>
                    <w:pStyle w:val="null3"/>
                    <w:jc w:val="left"/>
                  </w:pPr>
                  <w:r>
                    <w:rPr>
                      <w:rFonts w:ascii="宋体" w:hAnsi="宋体" w:cs="宋体" w:eastAsia="宋体"/>
                      <w:sz w:val="18"/>
                    </w:rPr>
                    <w:t>4）极耳裁切装置：外形尺寸为不小于120mm*375mm*350mm,由气缸推动模拟刀片下行，将极耳多余部分切掉。模拟刀片装在一个可以上下前后移动的活动块上，可以根据裁切的实际情况来调节模拟刀片的裁切效果。</w:t>
                  </w:r>
                </w:p>
                <w:p>
                  <w:pPr>
                    <w:pStyle w:val="null3"/>
                    <w:jc w:val="left"/>
                  </w:pPr>
                  <w:r>
                    <w:rPr>
                      <w:rFonts w:ascii="宋体" w:hAnsi="宋体" w:cs="宋体" w:eastAsia="宋体"/>
                      <w:sz w:val="18"/>
                    </w:rPr>
                    <w:t>5）电源模块：不少于2路DC24V/5A,两路AC220V/10A电源输出。</w:t>
                  </w:r>
                </w:p>
                <w:p>
                  <w:pPr>
                    <w:pStyle w:val="null3"/>
                    <w:jc w:val="left"/>
                  </w:pPr>
                  <w:r>
                    <w:rPr>
                      <w:rFonts w:ascii="宋体" w:hAnsi="宋体" w:cs="宋体" w:eastAsia="宋体"/>
                      <w:sz w:val="18"/>
                    </w:rPr>
                    <w:t>6）PLC控制系统：控制器采用模块化、紧凑型设计、可扩展性强,具有标准工业通信接口以及丰富的集成功能，具有实现简单逻辑控制、高级逻辑控制、网络通信与控制应用， 以及过程控制系统等高级应用功能，技术参数如下：</w:t>
                  </w:r>
                </w:p>
                <w:p>
                  <w:pPr>
                    <w:pStyle w:val="null3"/>
                  </w:pPr>
                  <w:r>
                    <w:rPr>
                      <w:rFonts w:ascii="宋体" w:hAnsi="宋体" w:cs="宋体" w:eastAsia="宋体"/>
                      <w:sz w:val="18"/>
                    </w:rPr>
                    <w:t>●不少于14 点集成 24 V 直流数字量输入（漏电流/源电流（IEC 1 型漏电流）；</w:t>
                  </w:r>
                </w:p>
                <w:p>
                  <w:pPr>
                    <w:pStyle w:val="null3"/>
                  </w:pPr>
                  <w:r>
                    <w:rPr>
                      <w:rFonts w:ascii="宋体" w:hAnsi="宋体" w:cs="宋体" w:eastAsia="宋体"/>
                      <w:sz w:val="18"/>
                    </w:rPr>
                    <w:t>●不少于10 点集成数字量输出，24 V 直流或继电器；</w:t>
                  </w:r>
                </w:p>
                <w:p>
                  <w:pPr>
                    <w:pStyle w:val="null3"/>
                  </w:pPr>
                  <w:r>
                    <w:rPr>
                      <w:rFonts w:ascii="宋体" w:hAnsi="宋体" w:cs="宋体" w:eastAsia="宋体"/>
                      <w:sz w:val="18"/>
                    </w:rPr>
                    <w:t>●不少于2 点集成模拟量输入 0 ~ 10 V；</w:t>
                  </w:r>
                </w:p>
                <w:p>
                  <w:pPr>
                    <w:pStyle w:val="null3"/>
                  </w:pPr>
                  <w:r>
                    <w:rPr>
                      <w:rFonts w:ascii="宋体" w:hAnsi="宋体" w:cs="宋体" w:eastAsia="宋体"/>
                      <w:sz w:val="18"/>
                    </w:rPr>
                    <w:t>●不少于4 路脉冲输出 (PTO)，频率最高 100 kHz；</w:t>
                  </w:r>
                </w:p>
                <w:p>
                  <w:pPr>
                    <w:pStyle w:val="null3"/>
                  </w:pPr>
                  <w:r>
                    <w:rPr>
                      <w:rFonts w:ascii="宋体" w:hAnsi="宋体" w:cs="宋体" w:eastAsia="宋体"/>
                      <w:sz w:val="18"/>
                    </w:rPr>
                    <w:t>● 脉冲宽度调制输出 (PWM)，频率最高 100 kHz；</w:t>
                  </w:r>
                </w:p>
                <w:p>
                  <w:pPr>
                    <w:pStyle w:val="null3"/>
                  </w:pPr>
                  <w:r>
                    <w:rPr>
                      <w:rFonts w:ascii="宋体" w:hAnsi="宋体" w:cs="宋体" w:eastAsia="宋体"/>
                      <w:sz w:val="18"/>
                    </w:rPr>
                    <w:t>●不少于2个集成以太网接口（TCP/IP native、ISO-on-TCP）；</w:t>
                  </w:r>
                </w:p>
                <w:p>
                  <w:pPr>
                    <w:pStyle w:val="null3"/>
                    <w:spacing w:before="315"/>
                  </w:pPr>
                  <w:r>
                    <w:rPr>
                      <w:rFonts w:ascii="宋体" w:hAnsi="宋体" w:cs="宋体" w:eastAsia="宋体"/>
                      <w:sz w:val="18"/>
                    </w:rPr>
                    <w:t>●不少于6个快速计数器（3 个最大频率为 100 kHz；3 个最大频率为 30 kHz），带有可参数化的使能和复位输入，可以同时用作带有 2 点单独输入的加减计数器，或用于连接增量型编码器；</w:t>
                  </w:r>
                </w:p>
                <w:p>
                  <w:pPr>
                    <w:pStyle w:val="null3"/>
                  </w:pPr>
                  <w:r>
                    <w:rPr>
                      <w:rFonts w:ascii="宋体" w:hAnsi="宋体" w:cs="宋体" w:eastAsia="宋体"/>
                      <w:sz w:val="18"/>
                    </w:rPr>
                    <w:t>● 通过附加通信接口扩展，例如，RS485 或 RS232；</w:t>
                  </w:r>
                </w:p>
                <w:p>
                  <w:pPr>
                    <w:pStyle w:val="null3"/>
                  </w:pPr>
                  <w:r>
                    <w:rPr>
                      <w:rFonts w:ascii="宋体" w:hAnsi="宋体" w:cs="宋体" w:eastAsia="宋体"/>
                      <w:sz w:val="18"/>
                    </w:rPr>
                    <w:t>通过信号板使用模拟或数字信号直接在</w:t>
                  </w:r>
                  <w:r>
                    <w:rPr>
                      <w:rFonts w:ascii="宋体" w:hAnsi="宋体" w:cs="宋体" w:eastAsia="宋体"/>
                      <w:sz w:val="18"/>
                    </w:rPr>
                    <w:t>CPU 上扩展（保持 CPU 安装尺寸）；</w:t>
                  </w:r>
                </w:p>
                <w:p>
                  <w:pPr>
                    <w:pStyle w:val="null3"/>
                  </w:pPr>
                  <w:r>
                    <w:rPr>
                      <w:rFonts w:ascii="宋体" w:hAnsi="宋体" w:cs="宋体" w:eastAsia="宋体"/>
                      <w:sz w:val="18"/>
                    </w:rPr>
                    <w:t>● 通过信号模块使用各种模拟量和数字量输入和输出信号扩展；可选存储器扩展（SIMATIC 存储卡）；</w:t>
                  </w:r>
                </w:p>
                <w:p>
                  <w:pPr>
                    <w:pStyle w:val="null3"/>
                  </w:pPr>
                  <w:r>
                    <w:rPr>
                      <w:rFonts w:ascii="宋体" w:hAnsi="宋体" w:cs="宋体" w:eastAsia="宋体"/>
                      <w:sz w:val="18"/>
                    </w:rPr>
                    <w:t>●PID 控制器，具有自动调谐功能；集成实时时钟</w:t>
                  </w:r>
                </w:p>
                <w:p>
                  <w:pPr>
                    <w:pStyle w:val="null3"/>
                  </w:pPr>
                  <w:r>
                    <w:rPr>
                      <w:rFonts w:ascii="宋体" w:hAnsi="宋体" w:cs="宋体" w:eastAsia="宋体"/>
                      <w:sz w:val="18"/>
                    </w:rPr>
                    <w:t>●扩展模块：外形尺寸不小于45mm*100mm*75mm,功耗：不小于2.5W，不少于16点输入16点输出，允许连续最大电压30V/DC，浪涌电压35VDC，持续0.5秒，输出电流最大0.5A,信号灯负载。</w:t>
                  </w:r>
                </w:p>
                <w:p>
                  <w:pPr>
                    <w:pStyle w:val="null3"/>
                  </w:pPr>
                  <w:r>
                    <w:rPr>
                      <w:rFonts w:ascii="宋体" w:hAnsi="宋体" w:cs="宋体" w:eastAsia="宋体"/>
                      <w:sz w:val="18"/>
                    </w:rPr>
                    <w:t>●通讯模块：外形尺寸不小于30mm*100mm*75mm,功耗：不小于1.1W，</w:t>
                  </w:r>
                </w:p>
                <w:p>
                  <w:pPr>
                    <w:pStyle w:val="null3"/>
                    <w:numPr>
                      <w:ilvl w:val="0"/>
                      <w:numId w:val="1"/>
                    </w:numPr>
                    <w:jc w:val="left"/>
                  </w:pPr>
                  <w:r>
                    <w:rPr>
                      <w:rFonts w:ascii="宋体" w:hAnsi="宋体" w:cs="宋体" w:eastAsia="宋体"/>
                      <w:sz w:val="18"/>
                    </w:rPr>
                    <w:t>触摸屏系统：不小于</w:t>
                  </w:r>
                  <w:r>
                    <w:rPr>
                      <w:rFonts w:ascii="宋体" w:hAnsi="宋体" w:cs="宋体" w:eastAsia="宋体"/>
                      <w:sz w:val="18"/>
                    </w:rPr>
                    <w:t>7寸，供电电源：DC24V,支持串口，USB口，以太网口10/100M自适应，TFT液晶显示屏（分辨率不小于800*480），显示颜色：不小于262k，显示亮度：不小于252cd/㎡,电阻式触摸屏，处理器：Cortex-A7多核800MHZ，内存：≥128M,系统存储：≥128M，触摸屏人机界面产品的设计符合工业环境,符合CE/FCC认证标准。</w:t>
                  </w:r>
                </w:p>
                <w:p>
                  <w:pPr>
                    <w:pStyle w:val="null3"/>
                    <w:ind w:firstLine="180"/>
                    <w:jc w:val="both"/>
                  </w:pPr>
                  <w:r>
                    <w:rPr>
                      <w:rFonts w:ascii="宋体" w:hAnsi="宋体" w:cs="宋体" w:eastAsia="宋体"/>
                      <w:sz w:val="18"/>
                    </w:rPr>
                    <w:t>8)输送带模块：机构尺寸为不小于600mm*70mm*170mm，输送带的驱动由步进电机和同步轮组成。输送带两侧由两个不锈钢方条作为物料移动的导向，输送带带动物料前进。</w:t>
                  </w:r>
                </w:p>
                <w:p>
                  <w:pPr>
                    <w:pStyle w:val="null3"/>
                  </w:pPr>
                  <w:r>
                    <w:rPr>
                      <w:rFonts w:ascii="宋体" w:hAnsi="宋体" w:cs="宋体" w:eastAsia="宋体"/>
                      <w:sz w:val="18"/>
                    </w:rPr>
                    <w:t>9)智能传感器：外形尺寸：不小于50mm*66mm*20mm,量程50kg,精度：≥0.05%F.s,灵敏度1.0~2.0±0.1mv/V,激励电压5-12VDC,绝缘阻抗≥2000MΩ，输入阻抗385±35Ω，非线性±0.03%F.S，滞后误差：±0.03%F.S，重复性误差：±0.03%F.S，零点温度系数：±0.03%F.S/10℃，线缆：￠3*200mm,材质：不锈钢。</w:t>
                  </w:r>
                </w:p>
                <w:p>
                  <w:pPr>
                    <w:pStyle w:val="null3"/>
                    <w:ind w:firstLine="180"/>
                  </w:pPr>
                  <w:r>
                    <w:rPr>
                      <w:rFonts w:ascii="宋体" w:hAnsi="宋体" w:cs="宋体" w:eastAsia="宋体"/>
                      <w:sz w:val="18"/>
                    </w:rPr>
                    <w:t>10）控制按钮包含手自动选择按钮、启动按钮、停止按钮、复位按钮、急停按钮、三色灯组成。</w:t>
                  </w:r>
                </w:p>
                <w:p>
                  <w:pPr>
                    <w:pStyle w:val="null3"/>
                    <w:spacing w:after="315"/>
                    <w:jc w:val="left"/>
                  </w:pPr>
                  <w:r>
                    <w:rPr>
                      <w:rFonts w:ascii="宋体" w:hAnsi="宋体" w:cs="宋体" w:eastAsia="宋体"/>
                      <w:sz w:val="18"/>
                    </w:rPr>
                    <w:t>11)变频器系统：输入电压AC220V，额定功率不小于0.37KW，电源频率50HZ，V/f,多点V/F、FCC（磁通电流控制），支持参数克隆、USS/MODBUS RTU通讯、用户自定义默认值、直流母线电压控制、支持PID控制、BICO功能、单脉冲高转矩启动模式、多脉冲高转矩启动模式，防堵、电压提升、滑差补偿、PWM调制功能，支持ECO节能模式、休眠模式、能耗监控，模拟量输入：双极性电流/电压模式，0-20mA模拟量输出，光隔离PNP/NPN模式，可通过端子选择，D01为晶体管输出，220VAC 0.5A，带电阻负载，DO2为继电器输出。产品符合CE，cULus，C-tick， KC标准，符合EMC标准。外形尺寸不小72mm*230mm*43.5mm。</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台</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智能制造仿真产线检测工作台</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8"/>
                    </w:rPr>
                    <w:t>包括但不限于贴胶机构装置、视觉检测系统、输送单元、故障设置系统、电源模组、触摸屏系统、工装定位机构等组成。贴胶机模块为标准化机电组合模块机构，采用卷料胶纸，方便胶纸更换和保管。胶纸输送、定位、吸取、粘贴稳定，重复定位性好。尺寸检测机采用机器视觉系统对极耳的裁切长度、胶纸粘贴的距离和角度进行图像采集，并通过机器视觉软件对采集图像进行分析判断，将检测结果上传到上位机软件。机器视觉系统由工业相机、镜头、</w:t>
                  </w:r>
                  <w:r>
                    <w:rPr>
                      <w:rFonts w:ascii="宋体" w:hAnsi="宋体" w:cs="宋体" w:eastAsia="宋体"/>
                      <w:sz w:val="18"/>
                    </w:rPr>
                    <w:t>LED光源、光源控制器、视觉检测软件等组成。尺寸检测机，主要可进行工业机器视觉检测系统硬件的选型、组装与调试、机器视觉检测软件的设置及调试。</w:t>
                  </w:r>
                </w:p>
                <w:p>
                  <w:pPr>
                    <w:pStyle w:val="null3"/>
                    <w:ind w:firstLine="180"/>
                  </w:pPr>
                  <w:r>
                    <w:rPr>
                      <w:rFonts w:ascii="宋体" w:hAnsi="宋体" w:cs="宋体" w:eastAsia="宋体"/>
                      <w:sz w:val="18"/>
                    </w:rPr>
                    <w:t>生产流程：工作站接收到订单指令下发后，由皮带输送线把锂电池包输送到贴胶装置定位处，对锂电池包进行贴胶纸工艺，贴完胶纸工艺后，视觉系统对产品及母模板进行比对，标注，检测是否有贴纸、贴纸是否贴好等，检测完成后进入下一流程。</w:t>
                  </w:r>
                </w:p>
                <w:p>
                  <w:pPr>
                    <w:pStyle w:val="null3"/>
                  </w:pPr>
                  <w:r>
                    <w:rPr>
                      <w:rFonts w:ascii="宋体" w:hAnsi="宋体" w:cs="宋体" w:eastAsia="宋体"/>
                      <w:sz w:val="18"/>
                    </w:rPr>
                    <w:t>1）贴胶机机构装置：贴胶机构尺寸为不小于300mm*350mm*400mm,由剥标机把绝缘胶纸从筒卷上剥离出来，接着用双轴气缸把吸盘从输送带上移动过来，吸盘下降，把绝缘胶纸吸附起来，再运动到输送带上，真空吸盘下降，把绝缘胶纸粘贴在电池包上面。</w:t>
                  </w:r>
                </w:p>
                <w:p>
                  <w:pPr>
                    <w:pStyle w:val="null3"/>
                  </w:pPr>
                  <w:r>
                    <w:rPr>
                      <w:rFonts w:ascii="宋体" w:hAnsi="宋体" w:cs="宋体" w:eastAsia="宋体"/>
                      <w:sz w:val="18"/>
                    </w:rPr>
                    <w:t>2）视觉检测系统：不小于1200万像素，传感器类型CMOS.卷帘快门，IMX226,像元尺寸：不小于1.85μm*1.85μm,靶面尺寸：1/1.7″,分辨率：不小于4024*3036，动态范围70.5dB,信噪比40.5dB，支持自动曝光、手动曝光、一件曝光模式，支持水平镜像，垂直镜像输出，数据接口：GigE,6-pin P7接口提供电源和IO：至少1路输入，至少1路输出，至少1路可双向配置IO。供电电压：DC9-24V，镜头：C-Mount,外形尺寸：不小于29mm*29mm*42mm, 至少支持Windows10 32/64bits,GigE Vision2.0，GenICam协议标准。</w:t>
                  </w:r>
                </w:p>
                <w:p>
                  <w:pPr>
                    <w:pStyle w:val="null3"/>
                  </w:pPr>
                  <w:r>
                    <w:rPr>
                      <w:rFonts w:ascii="宋体" w:hAnsi="宋体" w:cs="宋体" w:eastAsia="宋体"/>
                      <w:sz w:val="18"/>
                    </w:rPr>
                    <w:t>2.1）图像处理系统：该系统能够实时捕捉并分析生产线上产品的图像信息，精准测量产品尺寸，大幅提高生产效率和产品质量。目标物体分拣：采用高分辨率工业相机，配合专业图像处理算法，确保在生产环境下对产品细节的精确捕捉和识别，测量产品尺寸。实时决策与控制：系统集成实时数据处理模块，能够快速做出分拣决策，并通过接口直接与生产线上的PLC通讯，实现无缝控制。灵活配置与扩展：支持结果输出接口，用户可根据实际需求进一步开发。易用性与维护：提供直观的用户界面，操作简单，降低维护成本，识别精度：95% 以上，识别速度：40 psc/min（根据产品复杂度调整）适用产品尺寸范围：最小5mm x 5mm至最大300mm x 300mm，系统兼容性：可与主流PLC品牌（如Siemens, Mitsubishi, Allen-Bradley等）无缝对接。</w:t>
                  </w:r>
                </w:p>
                <w:p>
                  <w:pPr>
                    <w:pStyle w:val="null3"/>
                    <w:jc w:val="left"/>
                  </w:pPr>
                  <w:r>
                    <w:rPr>
                      <w:rFonts w:ascii="宋体" w:hAnsi="宋体" w:cs="宋体" w:eastAsia="宋体"/>
                      <w:sz w:val="18"/>
                    </w:rPr>
                    <w:t>2.2）软件可实现但不限于电池极片长度的测量与极片保护胶纸的检测，标注出极片长度，识别极片保护胶纸的有无，能输出OK和NG信号给到控制器从而实现良品和不良品的分解，能实现识别的可视化界面，可视化界面分别能显示，P1:相机的一键查找连接，控制相机的打开和关闭；设置极片的标准尺寸以及公差；相机的实时画面预览。P2:可以实现全自动运行，同时实时显示检测结果，以及运行信息。识别结果以及图片存储在后台数据库中可以通过scada系统展示设备运行数据。</w:t>
                  </w:r>
                </w:p>
                <w:p>
                  <w:pPr>
                    <w:pStyle w:val="null3"/>
                  </w:pPr>
                  <w:r>
                    <w:rPr>
                      <w:rFonts w:ascii="宋体" w:hAnsi="宋体" w:cs="宋体" w:eastAsia="宋体"/>
                      <w:sz w:val="18"/>
                    </w:rPr>
                    <w:t>4）输送单元：外形尺寸不小于600mm*70mm*170mm，输送带的驱动由步进电机和同步轮组成。输送带两侧由两个不锈钢方条作为物料移动的导向，输送带带动物料前进。</w:t>
                  </w:r>
                </w:p>
                <w:p>
                  <w:pPr>
                    <w:pStyle w:val="null3"/>
                  </w:pPr>
                  <w:r>
                    <w:rPr>
                      <w:rFonts w:ascii="宋体" w:hAnsi="宋体" w:cs="宋体" w:eastAsia="宋体"/>
                      <w:sz w:val="18"/>
                    </w:rPr>
                    <w:t>5）故障设置：外形尺寸不小于180mm*240mm*85mm(长*宽*高），8路故障设置，故障设置有断路、正常等故障类型。</w:t>
                  </w:r>
                </w:p>
                <w:p>
                  <w:pPr>
                    <w:pStyle w:val="null3"/>
                  </w:pPr>
                  <w:r>
                    <w:rPr>
                      <w:rFonts w:ascii="宋体" w:hAnsi="宋体" w:cs="宋体" w:eastAsia="宋体"/>
                      <w:sz w:val="18"/>
                    </w:rPr>
                    <w:t>6）电源模块：：2路DC24V/5A,两路AC220V/10A电源输出。</w:t>
                  </w:r>
                </w:p>
                <w:p>
                  <w:pPr>
                    <w:pStyle w:val="null3"/>
                    <w:jc w:val="left"/>
                  </w:pPr>
                  <w:r>
                    <w:rPr>
                      <w:rFonts w:ascii="宋体" w:hAnsi="宋体" w:cs="宋体" w:eastAsia="宋体"/>
                      <w:sz w:val="18"/>
                    </w:rPr>
                    <w:t>7）触摸屏系统：不小于7寸，供电电源：DC24V,支持串口，USB口，以太网口10/100M自适应，TFT液晶显示屏（分辨率不小于800*480），显示颜色：不小于262k，显示亮度：不小于252cd/㎡,电阻式触摸屏，处理器：≥Cortex-A7多核800MHZ，内存：≥128M,系统存储：≥128M，触摸屏人机界面产品的设计符合工业环境,符合CE/FCC认证标准。</w:t>
                  </w:r>
                </w:p>
                <w:p>
                  <w:pPr>
                    <w:pStyle w:val="null3"/>
                    <w:jc w:val="left"/>
                  </w:pPr>
                  <w:r>
                    <w:rPr>
                      <w:rFonts w:ascii="宋体" w:hAnsi="宋体" w:cs="宋体" w:eastAsia="宋体"/>
                      <w:sz w:val="18"/>
                    </w:rPr>
                    <w:t>8）工装定位机构：工装定位装置由一个气缸把阻挡块顶升上来，把工装载具截停在输送带上，接着由定位气缸推动定位块插入工装载具中。</w:t>
                  </w:r>
                </w:p>
                <w:p>
                  <w:pPr>
                    <w:pStyle w:val="null3"/>
                  </w:pPr>
                  <w:r>
                    <w:rPr>
                      <w:rFonts w:ascii="宋体" w:hAnsi="宋体" w:cs="宋体" w:eastAsia="宋体"/>
                      <w:sz w:val="18"/>
                    </w:rPr>
                    <w:t>9）PLC控制系统：控制器采用模块化、紧凑型设计、可扩展性强,具有标准工业通信接口以及丰富的集成功能，具有实现简单逻辑控制、高级逻辑控制、网络通信与控制应用， 以及过程控制系统等高级应用功能，技术参数如下：</w:t>
                  </w:r>
                </w:p>
                <w:p>
                  <w:pPr>
                    <w:pStyle w:val="null3"/>
                  </w:pPr>
                  <w:r>
                    <w:rPr>
                      <w:rFonts w:ascii="宋体" w:hAnsi="宋体" w:cs="宋体" w:eastAsia="宋体"/>
                      <w:sz w:val="18"/>
                    </w:rPr>
                    <w:t>●不少于14 点集成 24 V 直流数字量输入（漏电流/源电流（IEC 1 型漏电流）；</w:t>
                  </w:r>
                </w:p>
                <w:p>
                  <w:pPr>
                    <w:pStyle w:val="null3"/>
                  </w:pPr>
                  <w:r>
                    <w:rPr>
                      <w:rFonts w:ascii="宋体" w:hAnsi="宋体" w:cs="宋体" w:eastAsia="宋体"/>
                      <w:sz w:val="18"/>
                    </w:rPr>
                    <w:t>●不少于10 点集成数字量输出，24 V 直流或继电器；</w:t>
                  </w:r>
                </w:p>
                <w:p>
                  <w:pPr>
                    <w:pStyle w:val="null3"/>
                  </w:pPr>
                  <w:r>
                    <w:rPr>
                      <w:rFonts w:ascii="宋体" w:hAnsi="宋体" w:cs="宋体" w:eastAsia="宋体"/>
                      <w:sz w:val="18"/>
                    </w:rPr>
                    <w:t>●不少于2 点集成模拟量输入 0 ~ 10 V；</w:t>
                  </w:r>
                </w:p>
                <w:p>
                  <w:pPr>
                    <w:pStyle w:val="null3"/>
                  </w:pPr>
                  <w:r>
                    <w:rPr>
                      <w:rFonts w:ascii="宋体" w:hAnsi="宋体" w:cs="宋体" w:eastAsia="宋体"/>
                      <w:sz w:val="18"/>
                    </w:rPr>
                    <w:t>●不少于4 路脉冲输出 (PTO)，频率最高 100 kHz；</w:t>
                  </w:r>
                </w:p>
                <w:p>
                  <w:pPr>
                    <w:pStyle w:val="null3"/>
                  </w:pPr>
                  <w:r>
                    <w:rPr>
                      <w:rFonts w:ascii="宋体" w:hAnsi="宋体" w:cs="宋体" w:eastAsia="宋体"/>
                      <w:sz w:val="18"/>
                    </w:rPr>
                    <w:t>●脉冲宽度调制输出 (PWM)，频率最高 100 kHz；</w:t>
                  </w:r>
                </w:p>
                <w:p>
                  <w:pPr>
                    <w:pStyle w:val="null3"/>
                  </w:pPr>
                  <w:r>
                    <w:rPr>
                      <w:rFonts w:ascii="宋体" w:hAnsi="宋体" w:cs="宋体" w:eastAsia="宋体"/>
                      <w:sz w:val="18"/>
                    </w:rPr>
                    <w:t>●不少于2个集成以太网接口（TCP/IP native、ISO-on-TCP）；</w:t>
                  </w:r>
                </w:p>
                <w:p>
                  <w:pPr>
                    <w:pStyle w:val="null3"/>
                  </w:pPr>
                  <w:r>
                    <w:rPr>
                      <w:rFonts w:ascii="宋体" w:hAnsi="宋体" w:cs="宋体" w:eastAsia="宋体"/>
                      <w:sz w:val="18"/>
                    </w:rPr>
                    <w:t>●不少于6个快速计数器（3个最大频率为 100 kHz；3个最大频率为 30 kHz），带有可参数化的使能和复位输入，可以同时用作带有 2 点单独输入的加减计数器，或用于连接增量型编码器；</w:t>
                  </w:r>
                </w:p>
                <w:p>
                  <w:pPr>
                    <w:pStyle w:val="null3"/>
                  </w:pPr>
                  <w:r>
                    <w:rPr>
                      <w:rFonts w:ascii="宋体" w:hAnsi="宋体" w:cs="宋体" w:eastAsia="宋体"/>
                      <w:sz w:val="18"/>
                    </w:rPr>
                    <w:t>● 通过附加通信接口扩展，例如，RS485 或 RS232；</w:t>
                  </w:r>
                </w:p>
                <w:p>
                  <w:pPr>
                    <w:pStyle w:val="null3"/>
                  </w:pPr>
                  <w:r>
                    <w:rPr>
                      <w:rFonts w:ascii="宋体" w:hAnsi="宋体" w:cs="宋体" w:eastAsia="宋体"/>
                      <w:sz w:val="18"/>
                    </w:rPr>
                    <w:t>通过信号板使用模拟或数字信号直接在</w:t>
                  </w:r>
                  <w:r>
                    <w:rPr>
                      <w:rFonts w:ascii="宋体" w:hAnsi="宋体" w:cs="宋体" w:eastAsia="宋体"/>
                      <w:sz w:val="18"/>
                    </w:rPr>
                    <w:t>CPU 上扩展（保持 CPU 安装尺寸）；</w:t>
                  </w:r>
                </w:p>
                <w:p>
                  <w:pPr>
                    <w:pStyle w:val="null3"/>
                  </w:pPr>
                  <w:r>
                    <w:rPr>
                      <w:rFonts w:ascii="宋体" w:hAnsi="宋体" w:cs="宋体" w:eastAsia="宋体"/>
                      <w:sz w:val="18"/>
                    </w:rPr>
                    <w:t>● 通过信号模块使用各种模拟量和数字量输入和输出信号扩展；可选存储器扩展（SIMATIC 存储卡）；</w:t>
                  </w:r>
                </w:p>
                <w:p>
                  <w:pPr>
                    <w:pStyle w:val="null3"/>
                  </w:pPr>
                  <w:r>
                    <w:rPr>
                      <w:rFonts w:ascii="宋体" w:hAnsi="宋体" w:cs="宋体" w:eastAsia="宋体"/>
                      <w:sz w:val="18"/>
                    </w:rPr>
                    <w:t>●PID 控制器，具有自动调谐功能；集成实时时钟</w:t>
                  </w:r>
                </w:p>
                <w:p>
                  <w:pPr>
                    <w:pStyle w:val="null3"/>
                  </w:pPr>
                  <w:r>
                    <w:rPr>
                      <w:rFonts w:ascii="宋体" w:hAnsi="宋体" w:cs="宋体" w:eastAsia="宋体"/>
                      <w:sz w:val="18"/>
                    </w:rPr>
                    <w:t>●扩展模块：外形尺寸不小于45mm*100mm*75mm,功耗：不小于2.5W，不少于16点输入16点输出，允许连续最大电压30V/DC，浪涌电压35VDC，持续0.5秒，输出电流最大0.5A,信号灯负载。</w:t>
                  </w:r>
                </w:p>
                <w:p>
                  <w:pPr>
                    <w:pStyle w:val="null3"/>
                    <w:jc w:val="both"/>
                  </w:pPr>
                  <w:r>
                    <w:rPr>
                      <w:rFonts w:ascii="宋体" w:hAnsi="宋体" w:cs="宋体" w:eastAsia="宋体"/>
                      <w:sz w:val="18"/>
                    </w:rPr>
                    <w:t>10）主机控制器：≥CPU:I5-1204P，≥12核，内存≥16G,硬盘≥512G固态，集成显卡,USB接口不少于4个，不少于1个HDMI接口，显示器尺寸：≥23.8英寸，外形尺寸：不小于540mm*421mm*189mm(长*宽*高），不少于1个VGA，不少于1个HDMI接口，支持壁挂，支持100Hz刷新率。</w:t>
                  </w:r>
                </w:p>
                <w:p>
                  <w:pPr>
                    <w:pStyle w:val="null3"/>
                    <w:jc w:val="left"/>
                  </w:pPr>
                  <w:r>
                    <w:rPr>
                      <w:rFonts w:ascii="宋体" w:hAnsi="宋体" w:cs="宋体" w:eastAsia="宋体"/>
                      <w:sz w:val="18"/>
                    </w:rPr>
                    <w:t>11）接入交换机：不少于8个千兆RJ45接口，9.6V~60VDC三冗电源输入，支持正负极反接保护，反接亦可正常工作，短路保护、浪涌保护，符合IEC/EN 61000-4工业级防护，标准的DIN导轨安装。</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台</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智能制造仿真产线成品下线工作台</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包括但不限于立体仓库单元、工业交换机、输送带单元、故障设置系统、电源模组、触摸屏系统、工装定位机构、开盖机构等组成。采用伺服驱动系统精确定位配套机械手及气缸，通过真空吸附电芯，机械手将电芯从载具内取出、搬运并放置到仓储区。可进行伺服系统机械组装与调试、伺服系统控制</w:t>
                  </w:r>
                  <w:r>
                    <w:rPr>
                      <w:rFonts w:ascii="宋体" w:hAnsi="宋体" w:cs="宋体" w:eastAsia="宋体"/>
                      <w:sz w:val="18"/>
                    </w:rPr>
                    <w:t>PLC编程。</w:t>
                  </w:r>
                </w:p>
                <w:p>
                  <w:pPr>
                    <w:pStyle w:val="null3"/>
                    <w:jc w:val="both"/>
                  </w:pPr>
                  <w:r>
                    <w:rPr>
                      <w:rFonts w:ascii="宋体" w:hAnsi="宋体" w:cs="宋体" w:eastAsia="宋体"/>
                      <w:sz w:val="18"/>
                    </w:rPr>
                    <w:t>生产流程：工作站接收到订单指令下发后，由皮带输送线把工件物料输送到开盖机构装置定位处，开盖机构装置旋转</w:t>
                  </w:r>
                  <w:r>
                    <w:rPr>
                      <w:rFonts w:ascii="宋体" w:hAnsi="宋体" w:cs="宋体" w:eastAsia="宋体"/>
                      <w:sz w:val="18"/>
                    </w:rPr>
                    <w:t>90度，打开锂电池包工装的盖子，通过上一站视觉检测系统检测判断结果，然后通过X轴及Z轴伺服精确定位系统抓取锂电池包到不合格品仓和合格品仓储中。</w:t>
                  </w:r>
                </w:p>
                <w:p>
                  <w:pPr>
                    <w:pStyle w:val="null3"/>
                    <w:jc w:val="both"/>
                  </w:pPr>
                  <w:r>
                    <w:rPr>
                      <w:rFonts w:ascii="宋体" w:hAnsi="宋体" w:cs="宋体" w:eastAsia="宋体"/>
                      <w:sz w:val="18"/>
                    </w:rPr>
                    <w:t>1）立体仓库单元：外形尺寸不小于210mm*130mm*320mm,仓库分位上下两层，上面一层由黑色塑料件组成，放置合格的电池包，下面一层由红色塑料件组成，放置不合格的电池包。</w:t>
                  </w:r>
                </w:p>
                <w:p>
                  <w:pPr>
                    <w:pStyle w:val="null3"/>
                    <w:numPr>
                      <w:ilvl w:val="0"/>
                      <w:numId w:val="1"/>
                    </w:numPr>
                  </w:pPr>
                  <w:r>
                    <w:rPr>
                      <w:rFonts w:ascii="宋体" w:hAnsi="宋体" w:cs="宋体" w:eastAsia="宋体"/>
                      <w:sz w:val="18"/>
                    </w:rPr>
                    <w:t>接入交换机：不少于</w:t>
                  </w:r>
                  <w:r>
                    <w:rPr>
                      <w:rFonts w:ascii="宋体" w:hAnsi="宋体" w:cs="宋体" w:eastAsia="宋体"/>
                      <w:sz w:val="18"/>
                    </w:rPr>
                    <w:t>8个百兆RJ45接口，9.6V~60VDC三冗电源输入，支持正负极反接保护，反接亦可正常工作，短路保护、浪涌保护，符合IEC/EN 61000-4工业级防护，标准的DIN导轨安装。</w:t>
                  </w:r>
                </w:p>
                <w:p>
                  <w:pPr>
                    <w:pStyle w:val="null3"/>
                    <w:jc w:val="both"/>
                  </w:pPr>
                  <w:r>
                    <w:rPr>
                      <w:rFonts w:ascii="宋体" w:hAnsi="宋体" w:cs="宋体" w:eastAsia="宋体"/>
                      <w:sz w:val="18"/>
                    </w:rPr>
                    <w:t>3）输送带单元：外形尺寸不小于600mm*70mm*170mm，输送带的驱动由步进电机和同步轮组成。输送带两侧由两个不锈钢方条作为物料移动的导向，输送带带动物料前进。</w:t>
                  </w:r>
                </w:p>
                <w:p>
                  <w:pPr>
                    <w:pStyle w:val="null3"/>
                    <w:jc w:val="both"/>
                  </w:pPr>
                  <w:r>
                    <w:rPr>
                      <w:rFonts w:ascii="宋体" w:hAnsi="宋体" w:cs="宋体" w:eastAsia="宋体"/>
                      <w:sz w:val="18"/>
                    </w:rPr>
                    <w:t>4）直线模组单元：直线模组尺寸不小于240mm*500mm*450mm，伺服直线模组由两个直线模组组装而成，可以进行上下前后移动，直线模组由伺服电机驱动，导程为10。当开盖的工装载具运送到下料工位，吸盘过来提取出电池包，接着转动90°，把电池包按视觉检测的结果运送到合格区或者不合格区。</w:t>
                  </w:r>
                </w:p>
                <w:p>
                  <w:pPr>
                    <w:pStyle w:val="null3"/>
                    <w:jc w:val="both"/>
                  </w:pPr>
                  <w:r>
                    <w:rPr>
                      <w:rFonts w:ascii="宋体" w:hAnsi="宋体" w:cs="宋体" w:eastAsia="宋体"/>
                      <w:sz w:val="18"/>
                    </w:rPr>
                    <w:t>5）工装定位机构：工装定位装置由一个气缸把阻挡块顶升上来，把工装载具截停在输送带上，接着由定位气缸推动定位块插入工装载具中。</w:t>
                  </w:r>
                </w:p>
                <w:p>
                  <w:pPr>
                    <w:pStyle w:val="null3"/>
                    <w:jc w:val="both"/>
                  </w:pPr>
                  <w:r>
                    <w:rPr>
                      <w:rFonts w:ascii="宋体" w:hAnsi="宋体" w:cs="宋体" w:eastAsia="宋体"/>
                      <w:sz w:val="18"/>
                    </w:rPr>
                    <w:t>6）开盖机构：外形尺寸不少于150mm*220mm*300mm，翻盖机构由步进电机驱动，当闭合工装移动到翻盖工位时，步进电机转动，把翻盖爪转动90°，导轨气缸收回，把小爪子扣入工装载具上盖中，接着步进电机向上转动90°，把工装上盖打开，导轨气缸上升，把小爪子从工装上盖中脱离出来。</w:t>
                  </w:r>
                </w:p>
                <w:p>
                  <w:pPr>
                    <w:pStyle w:val="null3"/>
                    <w:jc w:val="both"/>
                  </w:pPr>
                  <w:r>
                    <w:rPr>
                      <w:rFonts w:ascii="宋体" w:hAnsi="宋体" w:cs="宋体" w:eastAsia="宋体"/>
                      <w:sz w:val="18"/>
                    </w:rPr>
                    <w:t>7）伺服驱动系统：额定功率不小于0.2KW,电源设备容量：1.4KVA,AC220V电源输入，额定输出电流1.6A，控制方式IGBT PWM控制，正弦波电流驱动方式，23位多圈绝对值编码器，速度指令输入：CVS/PV模式，转矩指令输入：CST/PT模式，一键式参数调整、自适应参数调整、速度观测器、模型跟踪，支持Ether Cat协议，支持状态显示、用户参数设定、监视显示、警报跟踪显示、JOG运行与自动调谐操作、速度、转矩指令信号等测绘功能；通讯与运动控制指令给定。伺服驱动电机:额定功率100W,额定转速3000rpm,23位多圈绝对值编码器，外壳防护等级：IP67。</w:t>
                  </w:r>
                </w:p>
                <w:p>
                  <w:pPr>
                    <w:pStyle w:val="null3"/>
                    <w:jc w:val="both"/>
                  </w:pPr>
                  <w:r>
                    <w:rPr>
                      <w:rFonts w:ascii="宋体" w:hAnsi="宋体" w:cs="宋体" w:eastAsia="宋体"/>
                      <w:sz w:val="18"/>
                    </w:rPr>
                    <w:t>8) 触摸屏系统：不小于7寸，供电电源：DC24V,支持串口，USB口，以太网口10/100M自适应，TFT液晶显示屏（分辨率≥800*480），显示颜色：≥262k，显示亮度：≥252cd/㎡,电阻式触摸屏，处理器：≥Cortex-A7多核800MHZ，内存：≥128M,系统存储：≥128M，触摸屏人机界面产品的设计符合工业环境,符合CE/FCC认证标准。</w:t>
                  </w:r>
                </w:p>
                <w:p>
                  <w:pPr>
                    <w:pStyle w:val="null3"/>
                    <w:jc w:val="both"/>
                  </w:pPr>
                  <w:r>
                    <w:rPr>
                      <w:rFonts w:ascii="宋体" w:hAnsi="宋体" w:cs="宋体" w:eastAsia="宋体"/>
                      <w:sz w:val="18"/>
                    </w:rPr>
                    <w:t>9）PLC控制系统：控制器采用模块化、紧凑型设计、可扩展性强,具有标准工业通信接口以及丰富的集成功能，具有实现简单逻辑控制、高级逻辑控制、网络通信与控制应用， 以及过程控制系统等高级应用功能，技术参数如下：</w:t>
                  </w:r>
                </w:p>
                <w:p>
                  <w:pPr>
                    <w:pStyle w:val="null3"/>
                    <w:jc w:val="both"/>
                  </w:pPr>
                  <w:r>
                    <w:rPr>
                      <w:rFonts w:ascii="宋体" w:hAnsi="宋体" w:cs="宋体" w:eastAsia="宋体"/>
                      <w:sz w:val="18"/>
                    </w:rPr>
                    <w:t>●不少于14 点集成 24 V 直流数字量输入（漏电流/源电流（IEC 1 型漏电流）；</w:t>
                  </w:r>
                </w:p>
                <w:p>
                  <w:pPr>
                    <w:pStyle w:val="null3"/>
                    <w:jc w:val="both"/>
                  </w:pPr>
                  <w:r>
                    <w:rPr>
                      <w:rFonts w:ascii="宋体" w:hAnsi="宋体" w:cs="宋体" w:eastAsia="宋体"/>
                      <w:sz w:val="18"/>
                    </w:rPr>
                    <w:t>●不少于10 点集成数字量输出，24 V 直流或继电器；</w:t>
                  </w:r>
                </w:p>
                <w:p>
                  <w:pPr>
                    <w:pStyle w:val="null3"/>
                    <w:jc w:val="both"/>
                  </w:pPr>
                  <w:r>
                    <w:rPr>
                      <w:rFonts w:ascii="宋体" w:hAnsi="宋体" w:cs="宋体" w:eastAsia="宋体"/>
                      <w:sz w:val="18"/>
                    </w:rPr>
                    <w:t>●不少于2 点集成模拟量输入 0 ~ 10 V；</w:t>
                  </w:r>
                </w:p>
                <w:p>
                  <w:pPr>
                    <w:pStyle w:val="null3"/>
                    <w:jc w:val="both"/>
                  </w:pPr>
                  <w:r>
                    <w:rPr>
                      <w:rFonts w:ascii="宋体" w:hAnsi="宋体" w:cs="宋体" w:eastAsia="宋体"/>
                      <w:sz w:val="18"/>
                    </w:rPr>
                    <w:t>●不少于4 路脉冲输出 (PTO)，频率最高 100 kHz；</w:t>
                  </w:r>
                </w:p>
                <w:p>
                  <w:pPr>
                    <w:pStyle w:val="null3"/>
                    <w:jc w:val="both"/>
                  </w:pPr>
                  <w:r>
                    <w:rPr>
                      <w:rFonts w:ascii="宋体" w:hAnsi="宋体" w:cs="宋体" w:eastAsia="宋体"/>
                      <w:sz w:val="18"/>
                    </w:rPr>
                    <w:t>● 脉冲宽度调制输出 (PWM)，频率最高 100 kHz；</w:t>
                  </w:r>
                </w:p>
                <w:p>
                  <w:pPr>
                    <w:pStyle w:val="null3"/>
                    <w:jc w:val="both"/>
                  </w:pPr>
                  <w:r>
                    <w:rPr>
                      <w:rFonts w:ascii="宋体" w:hAnsi="宋体" w:cs="宋体" w:eastAsia="宋体"/>
                      <w:sz w:val="18"/>
                    </w:rPr>
                    <w:t>●不少于2个集成以太网接口（TCP/IP native、ISO-on-TCP）；</w:t>
                  </w:r>
                </w:p>
                <w:p>
                  <w:pPr>
                    <w:pStyle w:val="null3"/>
                    <w:jc w:val="both"/>
                  </w:pPr>
                  <w:r>
                    <w:rPr>
                      <w:rFonts w:ascii="宋体" w:hAnsi="宋体" w:cs="宋体" w:eastAsia="宋体"/>
                      <w:sz w:val="18"/>
                    </w:rPr>
                    <w:t>●不少于6个快速计数器（3个最大频率为 100 kHz；3个最大频率为 30 kHz），带有可参数化的使能和复位输入，可以同时用作带有 2 点单独输入的加减计数器，或用于连接增量型编码器；</w:t>
                  </w:r>
                </w:p>
                <w:p>
                  <w:pPr>
                    <w:pStyle w:val="null3"/>
                    <w:jc w:val="both"/>
                  </w:pPr>
                  <w:r>
                    <w:rPr>
                      <w:rFonts w:ascii="宋体" w:hAnsi="宋体" w:cs="宋体" w:eastAsia="宋体"/>
                      <w:sz w:val="18"/>
                    </w:rPr>
                    <w:t>● 通过附加通信接口扩展，例如，RS485 或 RS232；</w:t>
                  </w:r>
                </w:p>
                <w:p>
                  <w:pPr>
                    <w:pStyle w:val="null3"/>
                    <w:jc w:val="both"/>
                  </w:pPr>
                  <w:r>
                    <w:rPr>
                      <w:rFonts w:ascii="宋体" w:hAnsi="宋体" w:cs="宋体" w:eastAsia="宋体"/>
                      <w:sz w:val="18"/>
                    </w:rPr>
                    <w:t>通过信号板使用模拟或数字信号直接在</w:t>
                  </w:r>
                  <w:r>
                    <w:rPr>
                      <w:rFonts w:ascii="宋体" w:hAnsi="宋体" w:cs="宋体" w:eastAsia="宋体"/>
                      <w:sz w:val="18"/>
                    </w:rPr>
                    <w:t>CPU 上扩展（保持 CPU 安装尺寸）；</w:t>
                  </w:r>
                </w:p>
                <w:p>
                  <w:pPr>
                    <w:pStyle w:val="null3"/>
                    <w:jc w:val="both"/>
                  </w:pPr>
                  <w:r>
                    <w:rPr>
                      <w:rFonts w:ascii="宋体" w:hAnsi="宋体" w:cs="宋体" w:eastAsia="宋体"/>
                      <w:sz w:val="18"/>
                    </w:rPr>
                    <w:t>●通过信号模块使用各种模拟量和数字量输入和输出信号扩展；可选存储器扩展（SIMATIC 存储卡）；</w:t>
                  </w:r>
                </w:p>
                <w:p>
                  <w:pPr>
                    <w:pStyle w:val="null3"/>
                    <w:jc w:val="both"/>
                  </w:pPr>
                  <w:r>
                    <w:rPr>
                      <w:rFonts w:ascii="宋体" w:hAnsi="宋体" w:cs="宋体" w:eastAsia="宋体"/>
                      <w:sz w:val="18"/>
                    </w:rPr>
                    <w:t>●PID 控制器，具有自动调谐功能；集成实时时钟</w:t>
                  </w:r>
                </w:p>
                <w:p>
                  <w:pPr>
                    <w:pStyle w:val="null3"/>
                    <w:jc w:val="both"/>
                  </w:pPr>
                  <w:r>
                    <w:rPr>
                      <w:rFonts w:ascii="宋体" w:hAnsi="宋体" w:cs="宋体" w:eastAsia="宋体"/>
                      <w:sz w:val="18"/>
                    </w:rPr>
                    <w:t>●扩展模块：外形尺寸不小于45mm*100mm*75mm,功耗：2.5W，不少于16点输入16点输出，允许连续最大电压30V/DC，浪涌电压35VDC，持续0.5秒，输出电流最大0.5A,信号灯负载。</w:t>
                  </w:r>
                </w:p>
                <w:p>
                  <w:pPr>
                    <w:pStyle w:val="null3"/>
                    <w:jc w:val="left"/>
                  </w:pPr>
                  <w:r>
                    <w:rPr>
                      <w:rFonts w:ascii="宋体" w:hAnsi="宋体" w:cs="宋体" w:eastAsia="宋体"/>
                      <w:sz w:val="18"/>
                    </w:rPr>
                    <w:t>10）真空发生器：压力范围≥0.1-0.6Mpa，额定压力0.5Mpa,真空流量63 l/min,空气消耗量不小于100 l/min。</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台</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智能制造仿真产线实训载具模块</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8"/>
                    </w:rPr>
                    <w:t>外形尺寸不小于</w:t>
                  </w:r>
                  <w:r>
                    <w:rPr>
                      <w:rFonts w:ascii="宋体" w:hAnsi="宋体" w:cs="宋体" w:eastAsia="宋体"/>
                      <w:sz w:val="18"/>
                    </w:rPr>
                    <w:t>105mm*105mm*45mm(长*宽*高），电芯载具用黑色塑料块加工组装而成。载具打开时用上盖推动小芯轴顶开夹紧块，上盖上装由强力磁铁，可以固定成90°开盖状态。当上盖闭合时，弹簧推动夹紧块把电池包固定在载具中，上盖上装由强力磁铁，可以固定成180°闭合状态。电芯载具模块采用载具进行产品的移动物流，每个载具有独立的二维码，扫码器对载具和电芯的二维码同时进行扫描，并将扫描结果上传到上位机软件，使电芯和载具进行唯一生产信息绑定，可进行产品生产信息的实时显示、查询、追溯，实现产线的信息化运行。</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套</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智能制造仿真产线</w:t>
                  </w:r>
                  <w:r>
                    <w:rPr>
                      <w:rFonts w:ascii="宋体" w:hAnsi="宋体" w:cs="宋体" w:eastAsia="宋体"/>
                      <w:sz w:val="18"/>
                      <w:color w:val="000000"/>
                    </w:rPr>
                    <w:t>SCADA实训系统</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8"/>
                    </w:rPr>
                    <w:t>软件具有丰富的协议驱动接口，能支持但不限于各种品牌</w:t>
                  </w:r>
                  <w:r>
                    <w:rPr>
                      <w:rFonts w:ascii="宋体" w:hAnsi="宋体" w:cs="宋体" w:eastAsia="宋体"/>
                      <w:sz w:val="18"/>
                    </w:rPr>
                    <w:t>DCS、PLC和RTU产品。也支持OPC DAUA、MQTT、Modbus、数据库等多种协议，与第三方系统实现数据对接，产线SCADA实训系统包括但不限于由组态软件、IO驱动、实时/历史数据库、监控软件、Web发布软件等扩展组件组成，软件支持不限于新建工程、工程配置、网络配置、数据库组态、驱动组态、位号组态、报警组态、画面组态、权限分配、VBS二次开发、组态发布及运行监控。支持但不限于报警限设置、报警优先级、报警分组、可报警分区。支持不限于定义图形对象动态，属性包含颜色、动作、可视、水平移动、垂直移动、缩放、填充、线条、转动、闪烁，属性关联“位号”实时值，实现实时动态效果，模拟工业现场设备运转状态，支持不限于趋势控件、实时报警、历史报警、历史事件、日志控件，支持不限于操作小组权限设置、数据分组权限设置、监控操作权限设置、可定义报警分区、实现权限报警处理权限分配。支持不限于局域网内通过客户端软件进行访问操作，通过安装WEB发布组件，实现WEB发布和局域网外网通过浏览器进行访问。</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套</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智能制造仿真产线网关模块</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8"/>
                    </w:rPr>
                    <w:t>实训网关模块用于但不限于连接工业</w:t>
                  </w:r>
                  <w:r>
                    <w:rPr>
                      <w:rFonts w:ascii="宋体" w:hAnsi="宋体" w:cs="宋体" w:eastAsia="宋体"/>
                      <w:sz w:val="18"/>
                    </w:rPr>
                    <w:t>PLC、HMI以及仪器仪表等设备，并采集设备数据传送到工业互联网平台，实现从计算机、平板电脑、手机端对设备进行远程监控。内置主流PLC、HMI等设备的通讯协议、支持以太网、WIFI连接平台。</w:t>
                  </w:r>
                </w:p>
                <w:p>
                  <w:pPr>
                    <w:pStyle w:val="null3"/>
                    <w:jc w:val="left"/>
                  </w:pPr>
                  <w:r>
                    <w:rPr>
                      <w:rFonts w:ascii="宋体" w:hAnsi="宋体" w:cs="宋体" w:eastAsia="宋体"/>
                      <w:sz w:val="18"/>
                    </w:rPr>
                    <w:t>实训网关模块采用</w:t>
                  </w:r>
                  <w:r>
                    <w:rPr>
                      <w:rFonts w:ascii="宋体" w:hAnsi="宋体" w:cs="宋体" w:eastAsia="宋体"/>
                      <w:sz w:val="18"/>
                    </w:rPr>
                    <w:t>ARM9嵌入式低功率CPU，主频不少于300MHz，内存：≥64M DDR2+128M FLash，至少2路10M/100M自适应口，至少支持SD卡，至少1路RS485口，至少1路RS232接口，双重看门狗管理，额定电压：DC24V，额定功率：≥5W，具备雷击浪涌保护，标准DN35导轨式安装，支持交换机功能，数据采集，防拆机功能，最大支持点数：512点。</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套</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智能制造仿真产线后台系统</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8"/>
                    </w:rPr>
                    <w:t>实训后台系统提供基于工业互联云平台技术的智云物联数据中间件平台，支持但不限于海量工业数据的接入、分类存储、数据决策、数据分析及数据挖掘；</w:t>
                  </w:r>
                </w:p>
                <w:p>
                  <w:pPr>
                    <w:pStyle w:val="null3"/>
                  </w:pPr>
                  <w:r>
                    <w:rPr>
                      <w:rFonts w:ascii="宋体" w:hAnsi="宋体" w:cs="宋体" w:eastAsia="宋体"/>
                      <w:sz w:val="18"/>
                    </w:rPr>
                    <w:t>软件功能模块包括但不限于：运营管理主页功能、运行监控中心、报警管理、模板管理、应用中心、客户管理、企业管理、日志管理、运营管理、数据分析、运维中心等功能模块。</w:t>
                  </w:r>
                </w:p>
                <w:p>
                  <w:pPr>
                    <w:pStyle w:val="null3"/>
                  </w:pPr>
                  <w:r>
                    <w:rPr>
                      <w:rFonts w:ascii="宋体" w:hAnsi="宋体" w:cs="宋体" w:eastAsia="宋体"/>
                      <w:sz w:val="18"/>
                    </w:rPr>
                    <w:t>1.运营管理主页功能：</w:t>
                  </w:r>
                </w:p>
                <w:p>
                  <w:pPr>
                    <w:pStyle w:val="null3"/>
                  </w:pPr>
                  <w:r>
                    <w:rPr>
                      <w:rFonts w:ascii="宋体" w:hAnsi="宋体" w:cs="宋体" w:eastAsia="宋体"/>
                      <w:sz w:val="18"/>
                    </w:rPr>
                    <w:t>1)企业大屏功能：包括但不限于可根据企业需求编辑综合的企业设备数据展示信息，具备关键的数据统计和分析功能，例如设备在线率、现场设备运行状态、能耗处理、水质处理、达标率等等参数，可按照区域公司、不同地域、不同设备、不同工况进行运行效率统计对比、运维数据统计对比，数据的同比环比等等数据分析；</w:t>
                  </w:r>
                </w:p>
                <w:p>
                  <w:pPr>
                    <w:pStyle w:val="null3"/>
                  </w:pPr>
                  <w:r>
                    <w:rPr>
                      <w:rFonts w:ascii="宋体" w:hAnsi="宋体" w:cs="宋体" w:eastAsia="宋体"/>
                      <w:sz w:val="18"/>
                    </w:rPr>
                    <w:t>2)地图监控功能：包括但不限于添加项目的时候在地图上进行手动或者自动标识，支持漫游和缩放，便于快速浏览所需地图；可在地图上直接选择运行的项目，通过弹窗方式显示项目的关键状态信息和主要报警信息；</w:t>
                  </w:r>
                </w:p>
                <w:p>
                  <w:pPr>
                    <w:pStyle w:val="null3"/>
                  </w:pPr>
                  <w:r>
                    <w:rPr>
                      <w:rFonts w:ascii="宋体" w:hAnsi="宋体" w:cs="宋体" w:eastAsia="宋体"/>
                      <w:sz w:val="18"/>
                    </w:rPr>
                    <w:t>3)集中监控功能：支持但不限于在统一的界面上浏览所有项目的综合监控和统计信息，不同项目的页面模块独立可设置，能够显示实时数据和组态动态画面，且具备真实交互能力。</w:t>
                  </w:r>
                </w:p>
                <w:p>
                  <w:pPr>
                    <w:pStyle w:val="null3"/>
                  </w:pPr>
                  <w:r>
                    <w:rPr>
                      <w:rFonts w:ascii="宋体" w:hAnsi="宋体" w:cs="宋体" w:eastAsia="宋体"/>
                      <w:sz w:val="18"/>
                    </w:rPr>
                    <w:t>2.运行监控中心</w:t>
                  </w:r>
                </w:p>
                <w:p>
                  <w:pPr>
                    <w:pStyle w:val="null3"/>
                  </w:pPr>
                  <w:r>
                    <w:rPr>
                      <w:rFonts w:ascii="宋体" w:hAnsi="宋体" w:cs="宋体" w:eastAsia="宋体"/>
                      <w:sz w:val="18"/>
                    </w:rPr>
                    <w:t>1)设备监控功能：包括但不限于可根据整体项目工艺要求对组态画面进行编辑并制定展示，支持以平面图、3D图形、动画、曲线、图文、数据并貌地表现方式展示机组设施的运行情况，在画面上显示机组设施的关键参数、生产实时数据、设备状态参数等；</w:t>
                  </w:r>
                </w:p>
                <w:p>
                  <w:pPr>
                    <w:pStyle w:val="null3"/>
                  </w:pPr>
                  <w:r>
                    <w:rPr>
                      <w:rFonts w:ascii="宋体" w:hAnsi="宋体" w:cs="宋体" w:eastAsia="宋体"/>
                      <w:sz w:val="18"/>
                    </w:rPr>
                    <w:t>2)数据监控功能：包括但不限于通过智能网关或传感器采集的数据进行列表展示和控制，支持的对象包括不限于水泵、水质、流量计、远传表、动力环境传感器如水浸、烟感、温感、温湿度、红外入侵、液位、水泵状态、风机等，数据完全自定义；</w:t>
                  </w:r>
                </w:p>
                <w:p>
                  <w:pPr>
                    <w:pStyle w:val="null3"/>
                  </w:pPr>
                  <w:r>
                    <w:rPr>
                      <w:rFonts w:ascii="宋体" w:hAnsi="宋体" w:cs="宋体" w:eastAsia="宋体"/>
                      <w:sz w:val="18"/>
                    </w:rPr>
                    <w:t>3)报警监控功能：支持但不限于报警自定义配置，支持如超限、快速变化、激烈波动等预警机制，可通过设定的参数进行报警展示和统计，故障和报警信息，一旦有故障和报警信息会在软件上发出明确报警提示，并且会通过短信、邮件、App等方式推送给相关人员；支持一屏多放；</w:t>
                  </w:r>
                </w:p>
                <w:p>
                  <w:pPr>
                    <w:pStyle w:val="null3"/>
                  </w:pPr>
                  <w:r>
                    <w:rPr>
                      <w:rFonts w:ascii="宋体" w:hAnsi="宋体" w:cs="宋体" w:eastAsia="宋体"/>
                      <w:sz w:val="18"/>
                    </w:rPr>
                    <w:t>4)视频监控信息：支持但不限于海康威视等国内主流厂商的视频设备接入，单设备支持至多8路摄像头接入可，进行权限控制，支持多级部门视频管理需求；</w:t>
                  </w:r>
                </w:p>
                <w:p>
                  <w:pPr>
                    <w:pStyle w:val="null3"/>
                  </w:pPr>
                  <w:r>
                    <w:rPr>
                      <w:rFonts w:ascii="宋体" w:hAnsi="宋体" w:cs="宋体" w:eastAsia="宋体"/>
                      <w:sz w:val="18"/>
                    </w:rPr>
                    <w:t>5)报表管理功能：支持但不限于针对单个项目报表的自定义编辑，支持针对实时和历史数据进行曲线对比，能够进行自定义编辑，提供几种参数的对比；</w:t>
                  </w:r>
                </w:p>
                <w:p>
                  <w:pPr>
                    <w:pStyle w:val="null3"/>
                  </w:pPr>
                  <w:r>
                    <w:rPr>
                      <w:rFonts w:ascii="宋体" w:hAnsi="宋体" w:cs="宋体" w:eastAsia="宋体"/>
                      <w:sz w:val="18"/>
                    </w:rPr>
                    <w:t>6)项目信息管理功能：包括但不限于用于管理项目或者设备的基础信息，如出厂日期、维保日期等等，包括设备名称的二次修改和定义；</w:t>
                  </w:r>
                </w:p>
                <w:p>
                  <w:pPr>
                    <w:pStyle w:val="null3"/>
                  </w:pPr>
                  <w:r>
                    <w:rPr>
                      <w:rFonts w:ascii="宋体" w:hAnsi="宋体" w:cs="宋体" w:eastAsia="宋体"/>
                      <w:sz w:val="18"/>
                    </w:rPr>
                    <w:t>7)设备日志功能：支持但不限于针对单个设备或者项目的操作日志查询和统计，便于后期出现问题进行追溯。</w:t>
                  </w:r>
                </w:p>
                <w:p>
                  <w:pPr>
                    <w:pStyle w:val="null3"/>
                  </w:pPr>
                  <w:r>
                    <w:rPr>
                      <w:rFonts w:ascii="宋体" w:hAnsi="宋体" w:cs="宋体" w:eastAsia="宋体"/>
                      <w:sz w:val="18"/>
                    </w:rPr>
                    <w:t>3.报警管理</w:t>
                  </w:r>
                </w:p>
                <w:p>
                  <w:pPr>
                    <w:pStyle w:val="null3"/>
                    <w:ind w:firstLine="180"/>
                  </w:pPr>
                  <w:r>
                    <w:rPr>
                      <w:rFonts w:ascii="宋体" w:hAnsi="宋体" w:cs="宋体" w:eastAsia="宋体"/>
                      <w:sz w:val="18"/>
                    </w:rPr>
                    <w:t>包括但不限于对工艺数据和设备运行数据的过程监控中，针对涉及安全、质量等部分重要指标提供报警提醒功能，这些指标支持分级报警定义，按不同的报警等级，以短信、微信等方式提醒操作人员以及管理人员。支持查询统计当前活跃报警，支持查询统计全部历史报警；支持对报警按照日期、时间段、设备、报警类型的筛选能力，基本针对关键词的搜索功能，并能够导出形成报表文件，导出的文件支撑</w:t>
                  </w:r>
                  <w:r>
                    <w:rPr>
                      <w:rFonts w:ascii="宋体" w:hAnsi="宋体" w:cs="宋体" w:eastAsia="宋体"/>
                      <w:sz w:val="18"/>
                    </w:rPr>
                    <w:t>excel打开；支持对报警的单个确认和批量确认功能；支持对报警功能发送短信报警的配置。</w:t>
                  </w:r>
                </w:p>
                <w:p>
                  <w:pPr>
                    <w:pStyle w:val="null3"/>
                  </w:pPr>
                  <w:r>
                    <w:rPr>
                      <w:rFonts w:ascii="宋体" w:hAnsi="宋体" w:cs="宋体" w:eastAsia="宋体"/>
                      <w:sz w:val="18"/>
                    </w:rPr>
                    <w:t>4.模板管理</w:t>
                  </w:r>
                </w:p>
                <w:p>
                  <w:pPr>
                    <w:pStyle w:val="null3"/>
                    <w:ind w:firstLine="180"/>
                  </w:pPr>
                  <w:r>
                    <w:rPr>
                      <w:rFonts w:ascii="宋体" w:hAnsi="宋体" w:cs="宋体" w:eastAsia="宋体"/>
                      <w:sz w:val="18"/>
                    </w:rPr>
                    <w:t>包括但不限于针对站点监测的参数、流程、报警等等信息一样的情况，可以做好一个，设置为模板，其他站点引用该模块即可，不需要每个的站点单独制作。</w:t>
                  </w:r>
                </w:p>
                <w:p>
                  <w:pPr>
                    <w:pStyle w:val="null3"/>
                  </w:pPr>
                  <w:r>
                    <w:rPr>
                      <w:rFonts w:ascii="宋体" w:hAnsi="宋体" w:cs="宋体" w:eastAsia="宋体"/>
                      <w:sz w:val="18"/>
                    </w:rPr>
                    <w:t>1)组态预览功能：包括但不限于针对在线组态监控界面模板的管理，包括自定义新增组态模板，删除、修改和复制组态模板；</w:t>
                  </w:r>
                </w:p>
                <w:p>
                  <w:pPr>
                    <w:pStyle w:val="null3"/>
                  </w:pPr>
                  <w:r>
                    <w:rPr>
                      <w:rFonts w:ascii="宋体" w:hAnsi="宋体" w:cs="宋体" w:eastAsia="宋体"/>
                      <w:sz w:val="18"/>
                    </w:rPr>
                    <w:t>2)变量预览功能：支持但不限于从下位设备采集的数据在组态模板中进行预览；</w:t>
                  </w:r>
                </w:p>
                <w:p>
                  <w:pPr>
                    <w:pStyle w:val="null3"/>
                  </w:pPr>
                  <w:r>
                    <w:rPr>
                      <w:rFonts w:ascii="宋体" w:hAnsi="宋体" w:cs="宋体" w:eastAsia="宋体"/>
                      <w:sz w:val="18"/>
                    </w:rPr>
                    <w:t>3)报表管理功能：支持但不限于单个项目报表模板管理，包括自定义新增报表模板，删除或修改报表模板。</w:t>
                  </w:r>
                </w:p>
                <w:p>
                  <w:pPr>
                    <w:pStyle w:val="null3"/>
                  </w:pPr>
                  <w:r>
                    <w:rPr>
                      <w:rFonts w:ascii="宋体" w:hAnsi="宋体" w:cs="宋体" w:eastAsia="宋体"/>
                      <w:sz w:val="18"/>
                    </w:rPr>
                    <w:t>5.应用中心：包括但不限于具备针对不同水务项目的设备信息数据互传功能：支持设备间信息互传，实现设备间数据联动。例如通过山上的水位控制山下水泵，实现数据的远距离传输。</w:t>
                  </w:r>
                </w:p>
                <w:p>
                  <w:pPr>
                    <w:pStyle w:val="null3"/>
                  </w:pPr>
                  <w:r>
                    <w:rPr>
                      <w:rFonts w:ascii="宋体" w:hAnsi="宋体" w:cs="宋体" w:eastAsia="宋体"/>
                      <w:sz w:val="18"/>
                    </w:rPr>
                    <w:t>6.客户管理：包括但不限于具备外部企业客户管理功能：支持分配单个项目给外部企业用户；具备外部个人客户管理功能。</w:t>
                  </w:r>
                </w:p>
                <w:p>
                  <w:pPr>
                    <w:pStyle w:val="null3"/>
                  </w:pPr>
                  <w:r>
                    <w:rPr>
                      <w:rFonts w:ascii="宋体" w:hAnsi="宋体" w:cs="宋体" w:eastAsia="宋体"/>
                      <w:sz w:val="18"/>
                    </w:rPr>
                    <w:t>7.企业管理</w:t>
                  </w:r>
                </w:p>
                <w:p>
                  <w:pPr>
                    <w:pStyle w:val="null3"/>
                    <w:ind w:firstLine="180"/>
                  </w:pPr>
                  <w:r>
                    <w:rPr>
                      <w:rFonts w:ascii="宋体" w:hAnsi="宋体" w:cs="宋体" w:eastAsia="宋体"/>
                      <w:sz w:val="18"/>
                    </w:rPr>
                    <w:t>1)企业信息功能：系统支持但不限于针对内部租户如企业logo等相关信息的编辑；</w:t>
                  </w:r>
                </w:p>
                <w:p>
                  <w:pPr>
                    <w:pStyle w:val="null3"/>
                    <w:ind w:firstLine="180"/>
                  </w:pPr>
                  <w:r>
                    <w:rPr>
                      <w:rFonts w:ascii="宋体" w:hAnsi="宋体" w:cs="宋体" w:eastAsia="宋体"/>
                      <w:sz w:val="18"/>
                    </w:rPr>
                    <w:t>2)用户管理功能系统支持但不限于增加用户并为其分配权限。权限包括：组织权限、功能权限、操作权限和数据权限，即一个用户可以被限定于只能查看某些区域的设施，使用某些软件功能，或某些功能的部分操作，甚至是限制其查看某些敏感数据；</w:t>
                  </w:r>
                </w:p>
                <w:p>
                  <w:pPr>
                    <w:pStyle w:val="null3"/>
                  </w:pPr>
                  <w:r>
                    <w:rPr>
                      <w:rFonts w:ascii="宋体" w:hAnsi="宋体" w:cs="宋体" w:eastAsia="宋体"/>
                      <w:sz w:val="18"/>
                    </w:rPr>
                    <w:t>3)角色管理功能：用户权限至少可以分为3级，专家级/工程师级/操作级，不同的人对应不通的角色，可以看到不同的菜单、不同的功能。</w:t>
                  </w:r>
                </w:p>
                <w:p>
                  <w:pPr>
                    <w:pStyle w:val="null3"/>
                  </w:pPr>
                  <w:r>
                    <w:rPr>
                      <w:rFonts w:ascii="宋体" w:hAnsi="宋体" w:cs="宋体" w:eastAsia="宋体"/>
                      <w:sz w:val="18"/>
                    </w:rPr>
                    <w:t>8.日志管理</w:t>
                  </w:r>
                </w:p>
                <w:p>
                  <w:pPr>
                    <w:pStyle w:val="null3"/>
                    <w:ind w:firstLine="180"/>
                  </w:pPr>
                  <w:r>
                    <w:rPr>
                      <w:rFonts w:ascii="宋体" w:hAnsi="宋体" w:cs="宋体" w:eastAsia="宋体"/>
                      <w:sz w:val="18"/>
                    </w:rPr>
                    <w:t>系统支持但不限于对每个用户的行为都有记录，保障系统不受非法用户攻击或合法用户的人为有意（无意）破坏。仅限系统管理员查看日志，日志内容包括：登录日志、操作日志、系统配置日志。</w:t>
                  </w:r>
                </w:p>
                <w:p>
                  <w:pPr>
                    <w:pStyle w:val="null3"/>
                  </w:pPr>
                  <w:r>
                    <w:rPr>
                      <w:rFonts w:ascii="宋体" w:hAnsi="宋体" w:cs="宋体" w:eastAsia="宋体"/>
                      <w:sz w:val="18"/>
                    </w:rPr>
                    <w:t>9.运营管理</w:t>
                  </w:r>
                </w:p>
                <w:p>
                  <w:pPr>
                    <w:pStyle w:val="null3"/>
                  </w:pPr>
                  <w:r>
                    <w:rPr>
                      <w:rFonts w:ascii="宋体" w:hAnsi="宋体" w:cs="宋体" w:eastAsia="宋体"/>
                      <w:sz w:val="18"/>
                    </w:rPr>
                    <w:t>1)物联网卡管理功能：支持但不限于项目对应的智能网关内的4G物联网卡的管理应用，包括卡号、流量、到期时间、状态等信息；</w:t>
                  </w:r>
                </w:p>
                <w:p>
                  <w:pPr>
                    <w:pStyle w:val="null3"/>
                  </w:pPr>
                  <w:r>
                    <w:rPr>
                      <w:rFonts w:ascii="宋体" w:hAnsi="宋体" w:cs="宋体" w:eastAsia="宋体"/>
                      <w:sz w:val="18"/>
                    </w:rPr>
                    <w:t>2)空间管理功能：支持但不限于每个项目在系统平台对应的存储空间的统计展示。</w:t>
                  </w:r>
                </w:p>
                <w:p>
                  <w:pPr>
                    <w:pStyle w:val="null3"/>
                  </w:pPr>
                  <w:r>
                    <w:rPr>
                      <w:rFonts w:ascii="宋体" w:hAnsi="宋体" w:cs="宋体" w:eastAsia="宋体"/>
                      <w:sz w:val="18"/>
                    </w:rPr>
                    <w:t>10.数据分析</w:t>
                  </w:r>
                </w:p>
                <w:p>
                  <w:pPr>
                    <w:pStyle w:val="null3"/>
                    <w:ind w:firstLine="180"/>
                  </w:pPr>
                  <w:r>
                    <w:rPr>
                      <w:rFonts w:ascii="宋体" w:hAnsi="宋体" w:cs="宋体" w:eastAsia="宋体"/>
                      <w:sz w:val="18"/>
                    </w:rPr>
                    <w:t>支持但不限于用户自定义报表设计、可通过简单拖拉拽的方式进行任意组合。所有数据需要灵活支持筛选、切割、排序、汇总、同比环比、二次运算等等；支持针对不同维度的数据进行分析，例如：项目维度、时间维度、区域维度、自定义维度。</w:t>
                  </w:r>
                </w:p>
                <w:p>
                  <w:pPr>
                    <w:pStyle w:val="null3"/>
                  </w:pPr>
                  <w:r>
                    <w:rPr>
                      <w:rFonts w:ascii="宋体" w:hAnsi="宋体" w:cs="宋体" w:eastAsia="宋体"/>
                      <w:sz w:val="18"/>
                    </w:rPr>
                    <w:t>数据可通过但不限于不同的图表进行呈现，例如：交叉表、柱状图、饼图、环形图、玫瑰图、水晶球等等</w:t>
                  </w:r>
                  <w:r>
                    <w:rPr>
                      <w:rFonts w:ascii="宋体" w:hAnsi="宋体" w:cs="宋体" w:eastAsia="宋体"/>
                      <w:sz w:val="18"/>
                    </w:rPr>
                    <w:t>30余种图表；对不同看板以列表的形式进行展示；</w:t>
                  </w:r>
                </w:p>
                <w:p>
                  <w:pPr>
                    <w:pStyle w:val="null3"/>
                  </w:pPr>
                  <w:r>
                    <w:rPr>
                      <w:rFonts w:ascii="宋体" w:hAnsi="宋体" w:cs="宋体" w:eastAsia="宋体"/>
                      <w:sz w:val="18"/>
                    </w:rPr>
                    <w:t>变量标签功能：支持但不限于对智能网关以及现场设备采集数据进行标准化定义，从而实现数据多维度分析和对比；同时对数据进行多种分类分析；例如：针对水流量、电量使用差值计算，从而得出每天、每周、每月的能耗统计；针对电能或者水质参数则可以使用最大值进行分析，从而得出最极端的情况分布；</w:t>
                  </w:r>
                </w:p>
                <w:p>
                  <w:pPr>
                    <w:pStyle w:val="null3"/>
                  </w:pPr>
                  <w:r>
                    <w:rPr>
                      <w:rFonts w:ascii="宋体" w:hAnsi="宋体" w:cs="宋体" w:eastAsia="宋体"/>
                      <w:sz w:val="18"/>
                    </w:rPr>
                    <w:t>图表设计功能：支持但不限于对不同数据以图表的方式进行多样化设计展示；</w:t>
                  </w:r>
                </w:p>
                <w:p>
                  <w:pPr>
                    <w:pStyle w:val="null3"/>
                  </w:pPr>
                  <w:r>
                    <w:rPr>
                      <w:rFonts w:ascii="宋体" w:hAnsi="宋体" w:cs="宋体" w:eastAsia="宋体"/>
                      <w:sz w:val="18"/>
                    </w:rPr>
                    <w:t>看板设计功能：支持但不限于对不同图表进行综合设计展示。</w:t>
                  </w:r>
                </w:p>
                <w:p>
                  <w:pPr>
                    <w:pStyle w:val="null3"/>
                  </w:pPr>
                  <w:r>
                    <w:rPr>
                      <w:rFonts w:ascii="宋体" w:hAnsi="宋体" w:cs="宋体" w:eastAsia="宋体"/>
                      <w:sz w:val="18"/>
                    </w:rPr>
                    <w:t>11.运维中心</w:t>
                  </w:r>
                </w:p>
                <w:p>
                  <w:pPr>
                    <w:pStyle w:val="null3"/>
                    <w:ind w:firstLine="180"/>
                  </w:pPr>
                  <w:r>
                    <w:rPr>
                      <w:rFonts w:ascii="宋体" w:hAnsi="宋体" w:cs="宋体" w:eastAsia="宋体"/>
                      <w:sz w:val="18"/>
                    </w:rPr>
                    <w:t>可以但不限于针对项目或者设备进行计划性的维护，维护的维度支持</w:t>
                  </w:r>
                  <w:r>
                    <w:rPr>
                      <w:rFonts w:ascii="宋体" w:hAnsi="宋体" w:cs="宋体" w:eastAsia="宋体"/>
                      <w:sz w:val="18"/>
                    </w:rPr>
                    <w:t>3种：</w:t>
                  </w:r>
                </w:p>
                <w:p>
                  <w:pPr>
                    <w:pStyle w:val="null3"/>
                  </w:pPr>
                  <w:r>
                    <w:rPr>
                      <w:rFonts w:ascii="宋体" w:hAnsi="宋体" w:cs="宋体" w:eastAsia="宋体"/>
                      <w:sz w:val="18"/>
                    </w:rPr>
                    <w:t>1）根据设备数据进行维护：例如运行次数、运行时长、运行寿命进行精准维保；</w:t>
                  </w:r>
                </w:p>
                <w:p>
                  <w:pPr>
                    <w:pStyle w:val="null3"/>
                  </w:pPr>
                  <w:r>
                    <w:rPr>
                      <w:rFonts w:ascii="宋体" w:hAnsi="宋体" w:cs="宋体" w:eastAsia="宋体"/>
                      <w:sz w:val="18"/>
                    </w:rPr>
                    <w:t>2）根据时间维护：通过定时定期检查维护保养；</w:t>
                  </w:r>
                </w:p>
                <w:p>
                  <w:pPr>
                    <w:pStyle w:val="null3"/>
                  </w:pPr>
                  <w:r>
                    <w:rPr>
                      <w:rFonts w:ascii="宋体" w:hAnsi="宋体" w:cs="宋体" w:eastAsia="宋体"/>
                      <w:sz w:val="18"/>
                    </w:rPr>
                    <w:t>3）根据异常数据维护：当现场设备出现极端故障情况之后，启用维护保养；当出现异常或者到达计划规则，进行手动或者自动派单，出现问题后，用户可将现场情况上报，并创建工单进行处理。</w:t>
                  </w:r>
                </w:p>
                <w:p>
                  <w:pPr>
                    <w:pStyle w:val="null3"/>
                  </w:pPr>
                  <w:r>
                    <w:rPr>
                      <w:rFonts w:ascii="宋体" w:hAnsi="宋体" w:cs="宋体" w:eastAsia="宋体"/>
                      <w:sz w:val="18"/>
                    </w:rPr>
                    <w:t>12.移动端APP（Android）</w:t>
                  </w:r>
                </w:p>
                <w:p>
                  <w:pPr>
                    <w:pStyle w:val="null3"/>
                    <w:jc w:val="left"/>
                  </w:pPr>
                  <w:r>
                    <w:rPr>
                      <w:rFonts w:ascii="宋体" w:hAnsi="宋体" w:cs="宋体" w:eastAsia="宋体"/>
                      <w:sz w:val="18"/>
                    </w:rPr>
                    <w:t>移动端以小程序为基础，主要功能为：设备监控、实时数据、趋势曲线、报警管理、设备管理等功能。</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套</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项目实施要求</w:t>
                  </w:r>
                </w:p>
                <w:p>
                  <w:pPr>
                    <w:pStyle w:val="null3"/>
                    <w:jc w:val="center"/>
                  </w:pP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8"/>
                    </w:rPr>
                    <w:t>1、因本项目为产业学院设备升级，需与前期产业学院文化氛围、风格、色调保持一致。</w:t>
                  </w:r>
                </w:p>
                <w:p>
                  <w:pPr>
                    <w:pStyle w:val="null3"/>
                  </w:pPr>
                  <w:r>
                    <w:rPr>
                      <w:rFonts w:ascii="宋体" w:hAnsi="宋体" w:cs="宋体" w:eastAsia="宋体"/>
                      <w:sz w:val="18"/>
                    </w:rPr>
                    <w:t>2、项目包含众多设备的安装，实施复杂，供应商应完成主线线路布置及教室线路布置 (材料按照施工现场实际需求达到合格使用标准)。</w:t>
                  </w:r>
                </w:p>
                <w:p>
                  <w:pPr>
                    <w:pStyle w:val="null3"/>
                  </w:pPr>
                  <w:r>
                    <w:rPr>
                      <w:rFonts w:ascii="宋体" w:hAnsi="宋体" w:cs="宋体" w:eastAsia="宋体"/>
                      <w:sz w:val="18"/>
                    </w:rPr>
                    <w:t>3、本项目实训室需满足≥50人教学需求(含部分拆除、处理、安装)。</w:t>
                  </w:r>
                </w:p>
                <w:p>
                  <w:pPr>
                    <w:pStyle w:val="null3"/>
                  </w:pPr>
                  <w:r>
                    <w:rPr>
                      <w:rFonts w:ascii="宋体" w:hAnsi="宋体" w:cs="宋体" w:eastAsia="宋体"/>
                      <w:sz w:val="18"/>
                    </w:rPr>
                    <w:t>4、本项目为交钥匙工程，项目完成后，需保证环境、设备能满足正常教学。</w:t>
                  </w:r>
                </w:p>
                <w:p>
                  <w:pPr>
                    <w:pStyle w:val="null3"/>
                  </w:pPr>
                  <w:r>
                    <w:rPr>
                      <w:rFonts w:ascii="宋体" w:hAnsi="宋体" w:cs="宋体" w:eastAsia="宋体"/>
                      <w:sz w:val="18"/>
                    </w:rPr>
                    <w:t>5、中标人在项目实施过程中须符合国家安全生产等标准，确保安全，不得损坏学校其他设施，不得影响学校正常教学生活秩序;必须保证项目完成后的使用安全。</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项</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质保期</w:t>
                  </w:r>
                </w:p>
              </w:tc>
              <w:tc>
                <w:tcPr>
                  <w:tcW w:type="dxa" w:w="20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硬件部分质保</w:t>
                  </w:r>
                  <w:r>
                    <w:rPr>
                      <w:rFonts w:ascii="宋体" w:hAnsi="宋体" w:cs="宋体" w:eastAsia="宋体"/>
                      <w:sz w:val="18"/>
                    </w:rPr>
                    <w:t>3年，软件部分（本地部署质保5年并免费更新，云部署部分质保5年并免费更新）。</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核心产品</w:t>
                  </w:r>
                </w:p>
              </w:tc>
              <w:tc>
                <w:tcPr>
                  <w:tcW w:type="dxa" w:w="20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18"/>
                    </w:rPr>
                    <w:t>大数据实验实训平台</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769"/>
          </w:tcPr>
          <w:p/>
        </w:tc>
        <w:tc>
          <w:tcPr>
            <w:tcW w:type="dxa" w:w="2769"/>
          </w:tcPr>
          <w:p>
            <w:pPr>
              <w:pStyle w:val="null3"/>
            </w:pPr>
            <w:r>
              <w:rPr/>
              <w:t>2</w:t>
            </w:r>
          </w:p>
        </w:tc>
        <w:tc>
          <w:tcPr>
            <w:tcW w:type="dxa" w:w="2769"/>
          </w:tcPr>
          <w:p>
            <w:pPr>
              <w:pStyle w:val="null3"/>
            </w:pPr>
            <w:r>
              <w:rPr/>
              <w:t>交货时间：在签订合同后220天内完成现场安装调试。</w:t>
            </w:r>
          </w:p>
        </w:tc>
      </w:tr>
      <w:tr>
        <w:tc>
          <w:tcPr>
            <w:tcW w:type="dxa" w:w="2769"/>
          </w:tcPr>
          <w:p>
            <w:pPr>
              <w:pStyle w:val="null3"/>
            </w:pPr>
            <w:r>
              <w:rPr/>
              <w:t>★</w:t>
            </w:r>
          </w:p>
        </w:tc>
        <w:tc>
          <w:tcPr>
            <w:tcW w:type="dxa" w:w="2769"/>
          </w:tcPr>
          <w:p>
            <w:pPr>
              <w:pStyle w:val="null3"/>
            </w:pPr>
            <w:r>
              <w:rPr/>
              <w:t>3</w:t>
            </w:r>
          </w:p>
        </w:tc>
        <w:tc>
          <w:tcPr>
            <w:tcW w:type="dxa" w:w="2769"/>
          </w:tcPr>
          <w:p>
            <w:pPr>
              <w:pStyle w:val="null3"/>
            </w:pPr>
            <w:r>
              <w:rPr>
                <w:rFonts w:ascii="&quot;宋体&quot;" w:hAnsi="&quot;宋体&quot;" w:cs="&quot;宋体&quot;" w:eastAsia="&quot;宋体&quot;"/>
                <w:sz w:val="18"/>
                <w:color w:val="000000"/>
              </w:rPr>
              <w:t>合同款支付全部通过银行转账至双方约定开设的项目专用账户，乙方应及时与甲方沟通专用账户开通事宜并在中标</w:t>
            </w:r>
            <w:r>
              <w:rPr>
                <w:rFonts w:ascii="&quot;dejavusans&quot;" w:hAnsi="&quot;dejavusans&quot;" w:cs="&quot;dejavusans&quot;" w:eastAsia="&quot;dejavusans&quot;"/>
                <w:sz w:val="18"/>
                <w:color w:val="000000"/>
              </w:rPr>
              <w:t>/</w:t>
            </w:r>
          </w:p>
          <w:p>
            <w:pPr>
              <w:pStyle w:val="null3"/>
            </w:pPr>
            <w:r>
              <w:rPr>
                <w:rFonts w:ascii="&quot;宋体&quot;" w:hAnsi="&quot;宋体&quot;" w:cs="&quot;宋体&quot;" w:eastAsia="&quot;宋体&quot;"/>
                <w:sz w:val="18"/>
                <w:color w:val="000000"/>
              </w:rPr>
              <w:t xml:space="preserve">成交通知书发出之日起 </w:t>
            </w:r>
            <w:r>
              <w:rPr>
                <w:rFonts w:ascii="&quot;dejavusans&quot;" w:hAnsi="&quot;dejavusans&quot;" w:cs="&quot;dejavusans&quot;" w:eastAsia="&quot;dejavusans&quot;"/>
                <w:sz w:val="18"/>
                <w:color w:val="000000"/>
              </w:rPr>
              <w:t xml:space="preserve">2 </w:t>
            </w:r>
            <w:r>
              <w:rPr>
                <w:rFonts w:ascii="&quot;宋体&quot;" w:hAnsi="&quot;宋体&quot;" w:cs="&quot;宋体&quot;" w:eastAsia="&quot;宋体&quot;"/>
                <w:sz w:val="18"/>
                <w:color w:val="000000"/>
              </w:rPr>
              <w:t>个工作日内开通专用账户</w:t>
            </w:r>
            <w:r>
              <w:rPr>
                <w:rFonts w:ascii="&quot;dejavusans&quot;" w:hAnsi="&quot;dejavusans&quot;" w:cs="&quot;dejavusans&quot;" w:eastAsia="&quot;dejavusans&quot;"/>
                <w:sz w:val="18"/>
                <w:color w:val="000000"/>
              </w:rPr>
              <w:t>,</w:t>
            </w:r>
            <w:r>
              <w:rPr>
                <w:rFonts w:ascii="&quot;宋体&quot;" w:hAnsi="&quot;宋体&quot;" w:cs="&quot;宋体&quot;" w:eastAsia="&quot;宋体&quot;"/>
                <w:sz w:val="18"/>
                <w:color w:val="000000"/>
              </w:rPr>
              <w:t>确保项目资金专款专用。乙方确认其所提供的账户符合甲方要求</w:t>
            </w:r>
          </w:p>
          <w:p>
            <w:pPr>
              <w:pStyle w:val="null3"/>
            </w:pPr>
            <w:r>
              <w:rPr>
                <w:rFonts w:ascii="&quot;宋体&quot;" w:hAnsi="&quot;宋体&quot;" w:cs="&quot;宋体&quot;" w:eastAsia="&quot;宋体&quot;"/>
                <w:sz w:val="18"/>
                <w:color w:val="000000"/>
              </w:rPr>
              <w:t>且正确无误，因乙方账户错误或者其他任何原因导致乙方无法收取款项的，责任由乙方自行承担。甲方支付款项到</w:t>
            </w:r>
          </w:p>
          <w:p>
            <w:pPr>
              <w:pStyle w:val="null3"/>
            </w:pPr>
            <w:r>
              <w:rPr>
                <w:rFonts w:ascii="&quot;宋体&quot;" w:hAnsi="&quot;宋体&quot;" w:cs="&quot;宋体&quot;" w:eastAsia="&quot;宋体&quot;"/>
                <w:sz w:val="18"/>
                <w:color w:val="000000"/>
              </w:rPr>
              <w:t>达乙方提供账户之日即视为甲方已按照本协议约定妥善履行付款义务。</w:t>
            </w:r>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在签订合同后220天内完成现场安装调试。</w:t>
      </w:r>
    </w:p>
    <w:p>
      <w:pPr>
        <w:pStyle w:val="null3"/>
        <w:outlineLvl w:val="3"/>
      </w:pPr>
      <w:r>
        <w:rPr>
          <w:sz w:val="24"/>
          <w:b/>
        </w:rPr>
        <w:t>3.4.2交货地点和方式</w:t>
      </w:r>
    </w:p>
    <w:p>
      <w:pPr>
        <w:pStyle w:val="null3"/>
      </w:pPr>
      <w:r>
        <w:rPr/>
        <w:t>采购包1：</w:t>
      </w:r>
    </w:p>
    <w:p>
      <w:pPr>
        <w:pStyle w:val="null3"/>
      </w:pPr>
      <w:r>
        <w:rPr/>
        <w:t>陕西工业职业技术学院</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合同签订后10日内，乙方提供收款收据</w:t>
      </w:r>
      <w:r>
        <w:rPr/>
        <w:t xml:space="preserve"> ，达到付款条件起 </w:t>
      </w:r>
      <w:r>
        <w:rPr/>
        <w:t>10</w:t>
      </w:r>
      <w:r>
        <w:rPr/>
        <w:t xml:space="preserve"> 日内，支付合同总金额的 </w:t>
      </w:r>
      <w:r>
        <w:rPr/>
        <w:t>50.00</w:t>
      </w:r>
      <w:r>
        <w:rPr/>
        <w:t>%。</w:t>
      </w:r>
    </w:p>
    <w:p>
      <w:pPr>
        <w:pStyle w:val="null3"/>
      </w:pPr>
      <w:r>
        <w:rPr/>
        <w:t>采购包1：</w:t>
      </w:r>
      <w:r>
        <w:rPr/>
        <w:t xml:space="preserve"> 付款条件说明： </w:t>
      </w:r>
      <w:r>
        <w:rPr/>
        <w:t>乙方将所本合同项下所有货物运送到甲方指定地点后，甲方进行到货开箱验收，书面验收合 格后，乙方开具合法且符合甲方要求的合同款项全额增值税专用发票，甲方收到乙方全额发票后</w:t>
      </w:r>
      <w:r>
        <w:rPr/>
        <w:t xml:space="preserve"> ，达到付款条件起 </w:t>
      </w:r>
      <w:r>
        <w:rPr/>
        <w:t>30</w:t>
      </w:r>
      <w:r>
        <w:rPr/>
        <w:t xml:space="preserve"> 日内，支付合同总金额的 </w:t>
      </w:r>
      <w:r>
        <w:rPr/>
        <w:t>10.00</w:t>
      </w:r>
      <w:r>
        <w:rPr/>
        <w:t>%。</w:t>
      </w:r>
    </w:p>
    <w:p>
      <w:pPr>
        <w:pStyle w:val="null3"/>
      </w:pPr>
      <w:r>
        <w:rPr/>
        <w:t>采购包1：</w:t>
      </w:r>
      <w:r>
        <w:rPr/>
        <w:t xml:space="preserve"> 付款条件说明： </w:t>
      </w:r>
      <w:r>
        <w:rPr/>
        <w:t>乙方负责完成货物安装调试，试运行 10 日，且达到平稳运行条件后向甲方申请验收，在30 日内甲方进行最终验收，书面验收合格且无索赔争议后</w:t>
      </w:r>
      <w:r>
        <w:rPr/>
        <w:t xml:space="preserve"> ，达到付款条件起 </w:t>
      </w:r>
      <w:r>
        <w:rPr/>
        <w:t>30</w:t>
      </w:r>
      <w:r>
        <w:rPr/>
        <w:t xml:space="preserve"> 日内，支付合同总金额的 </w:t>
      </w:r>
      <w:r>
        <w:rPr/>
        <w:t>40.00</w:t>
      </w:r>
      <w:r>
        <w:rPr/>
        <w:t>%。</w:t>
      </w:r>
    </w:p>
    <w:p>
      <w:pPr>
        <w:pStyle w:val="null3"/>
        <w:outlineLvl w:val="3"/>
      </w:pPr>
      <w:r>
        <w:rPr>
          <w:sz w:val="24"/>
          <w:b/>
        </w:rPr>
        <w:t>3.4.5验收标准和方法</w:t>
      </w:r>
    </w:p>
    <w:p>
      <w:pPr>
        <w:pStyle w:val="null3"/>
      </w:pPr>
      <w:r>
        <w:rPr/>
        <w:t>采购包1：</w:t>
      </w:r>
    </w:p>
    <w:p>
      <w:pPr>
        <w:pStyle w:val="null3"/>
      </w:pPr>
      <w:r>
        <w:rPr/>
        <w:t>验收分到货开箱验收和甲方最终验收两个阶段，以最终验收为准。 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硬件部分质保3年，软件部分（本地部署质保5年并免费更新，云部署部分质保5年并免费更新）。</w:t>
      </w:r>
    </w:p>
    <w:p>
      <w:pPr>
        <w:pStyle w:val="null3"/>
        <w:outlineLvl w:val="3"/>
      </w:pPr>
      <w:r>
        <w:rPr>
          <w:sz w:val="24"/>
          <w:b/>
        </w:rPr>
        <w:t>3.4.8违约责任与解决争议的方法</w:t>
      </w:r>
    </w:p>
    <w:p>
      <w:pPr>
        <w:pStyle w:val="null3"/>
      </w:pPr>
      <w:r>
        <w:rPr/>
        <w:t>采购包1：</w:t>
      </w:r>
    </w:p>
    <w:p>
      <w:pPr>
        <w:pStyle w:val="null3"/>
      </w:pPr>
      <w:r>
        <w:rPr/>
        <w:t>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 2.如乙方产品质量不符合国家标准或未达到本企业内控标准，甲方有权退货，并且乙方应承担甲方合同总价款的10％的违约金并赔偿其他损失。 3.在合同规定的供货期内乙方未如数交货，除应如数补齐外，还应承担合同总款的10％违约金。 4.质量保证期内因产品质量问题，乙方未按合同规定及时进行维修、更换，甲方可自行组织人员进行维修、更换，因此造成的相关责任、费用由乙方承担，同时质量保证期重新起算。 5.乙方对材料不按招标文件要求，擅自更换，除恢复原招标产品外，应承担更换部分价款10%的违约金。 6.乙方如对材料以次充好，除全部按要求恢复外，应承担此部分价款10%的违约金。 7.如由于产品质量原因，不能通过验收，乙方除按规定无偿更换外，应承担所涉及产品总价款的10％违约金。 8.乙方供应产品存在知识产权瑕疵或所有权瑕疵，导致第三方向甲方索赔的，因此产生的赔偿款、行政罚款、处理纠纷发生的律师费、诉讼费、保全费等各项费用由乙方承担。 9.本合同签订后，乙方不得将本合同项下义务转交或委托任何第三方完成，一经发现，甲方有权解除合同。乙方应当按照合同总价款两倍向甲方支付违约金。 10.如因天气原因或甲方安排等原因需要调整供货时间、地点的，乙方应当无条件配合甲方，合同期限相应顺延且甲方不承担任何责任。</w:t>
      </w:r>
    </w:p>
    <w:p>
      <w:pPr>
        <w:pStyle w:val="null3"/>
        <w:jc w:val="left"/>
        <w:outlineLvl w:val="2"/>
      </w:pPr>
      <w:r>
        <w:rPr>
          <w:sz w:val="28"/>
          <w:b/>
        </w:rPr>
        <w:t>3.5其他要求</w:t>
      </w:r>
    </w:p>
    <w:p>
      <w:pPr>
        <w:pStyle w:val="null3"/>
      </w:pPr>
      <w:r>
        <w:rPr/>
        <w:t>1、采购标的对应的中小企业划分标准所属行业为工业。工业的划型标准为：从业人员1000人以下或营业收入40000万 元以下的为中小微型企业。其中，从业人员300人及以上，且营业收入2000万元及以上的为中型企业；从业人员20人及以 上，且营业收入300万元及以上的为小型企业；从业人员20人以下或营业收入300万元以下的为微型企业。2、为顺利推进政府采购电子化交易平台试点应用工作，供应商需要在线提交所有通过电子化交易平台实施的政府采购项目的磋商响应文件，同时，线下提交纸质磋商响应文件正本一份、副本一份，电子版本一份（以U盘形式提供，文件格式包含.doc/.docx格式及正本盖章后扫的.pdf格式），递交截止时间同在线递交电子磋商响应文件截止时间一致。若电子磋商响应文件与纸质磋商响应文件不一致的，以纸质磋商响应文件为准；若正本和副本不符，以正本为准。磋商响应文件正、副本分别各自装订成册密封，在封口处加盖供应商公章。3、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发展改革委生态环境部 市场监管总局关于调整优化节能产品、环境标志产品政府采购执行机制的通知》（财库〔2019〕9号）；5）《关于运用政府采购政策支持乡村产业振兴的通知》（财〔2021〕19号）；6）《政府采购促进中小企业发展管理办法》（财库〔2020〕46号）；7）陕西省财政厅关于印发《陕西省中小企业政府采购信用融资办法》（陕财办采〔2018〕23 号）；8）《关于进一步加大政府采购支持中小企业力度的通知》（财库〔2022〕19号）；9）《关于扩大政府采购支持绿色 建材促进建筑品质提升政策实施范围的通知》（财库〔2022〕35号）。</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供应商需在项目电子化交易系统中按要求填写《投标函》完成承诺并进行电子签章。1.财 务状况报告：提供具有财务审计资质单位出具的2023年度财务报告（成立时间至开标时间 不足一年的可提供成立后任意时段的资产负债表）或开标前六个月内其基本账户银行出具 的资信证明或政府采购信用担保机构出具的担保函；2.税收缴纳证明：提供截止至开标时 间前六个月内任意一个月的缴纳凭据；（依法免税的供应商应提供相关文件证明）； 3.社 会保障资金缴纳证明：提供截止至开标时间前六个月内任意一个月的社保缴纳凭据或社保 机构开具的社会保险参保缴纳情况证明；（依法不需要缴纳社会保障资金的供应商应提供 相关证明） 4.提供具有履行本合同所必需的设备和专业技术能力的承诺函（加盖供应商公 章）； 5.提供参加政府采购活动前三年内在经营活动中没有重大违法记录的书面声明（加 盖供应商公章）。注：供应商需在项目电子化交易系统中按要求上传相应证明文件并进行 电子签章。</w:t>
            </w:r>
          </w:p>
        </w:tc>
        <w:tc>
          <w:tcPr>
            <w:tcW w:type="dxa" w:w="1661"/>
          </w:tcPr>
          <w:p>
            <w:pPr>
              <w:pStyle w:val="null3"/>
            </w:pPr>
            <w:r>
              <w:rPr/>
              <w:t>响应文件封面 中小企业声明函 响应函 法定代表人（或负责人）授权书</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提供具有财务审计资质单位出具的2023年度财务报告（成立时间至开标时间不足一年的可 提供成立后任意时段的资产负债表）或开标前六个月内其基本账户银行出具的资信证明或 政府采购信用担保机构出具的担保函； 注：供应商需在项目电子化交易系统中按要求上传 相应证明文件并进行电子签章。</w:t>
            </w:r>
          </w:p>
        </w:tc>
        <w:tc>
          <w:tcPr>
            <w:tcW w:type="dxa" w:w="1661"/>
          </w:tcPr>
          <w:p>
            <w:pPr>
              <w:pStyle w:val="null3"/>
            </w:pPr>
            <w:r>
              <w:rPr/>
              <w:t>响应文件封面 资格审查证明文件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响应文件封面 资格审查证明文件 承诺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法人或者其他组织的营业执照等证明文件，自然人的身份证明。</w:t>
            </w:r>
          </w:p>
        </w:tc>
        <w:tc>
          <w:tcPr>
            <w:tcW w:type="dxa" w:w="3322"/>
          </w:tcPr>
          <w:p>
            <w:pPr>
              <w:pStyle w:val="null3"/>
            </w:pPr>
            <w:r>
              <w:rPr/>
              <w:t>供应商应是独立承担民事责任能力的法人、其他组织或自然人，法人、其他组织须提供合法有效的营业执照（或事业单位法人证书）等证明资料， 自然人须提供身份证明。注：供应商需在项目电子化交易系统中按要求上传相应证明文件并进行电子签章。</w:t>
            </w:r>
          </w:p>
        </w:tc>
        <w:tc>
          <w:tcPr>
            <w:tcW w:type="dxa" w:w="1661"/>
          </w:tcPr>
          <w:p>
            <w:pPr>
              <w:pStyle w:val="null3"/>
            </w:pPr>
            <w:r>
              <w:rPr/>
              <w:t>响应文件封面 资格审查证明文件 响应函</w:t>
            </w:r>
          </w:p>
        </w:tc>
      </w:tr>
      <w:tr>
        <w:tc>
          <w:tcPr>
            <w:tcW w:type="dxa" w:w="831"/>
          </w:tcPr>
          <w:p>
            <w:pPr>
              <w:pStyle w:val="null3"/>
            </w:pPr>
            <w:r>
              <w:rPr/>
              <w:t>2</w:t>
            </w:r>
          </w:p>
        </w:tc>
        <w:tc>
          <w:tcPr>
            <w:tcW w:type="dxa" w:w="2492"/>
          </w:tcPr>
          <w:p>
            <w:pPr>
              <w:pStyle w:val="null3"/>
            </w:pPr>
            <w:r>
              <w:rPr/>
              <w:t>企业信用</w:t>
            </w:r>
          </w:p>
        </w:tc>
        <w:tc>
          <w:tcPr>
            <w:tcW w:type="dxa" w:w="3322"/>
          </w:tcPr>
          <w:p>
            <w:pPr>
              <w:pStyle w:val="null3"/>
            </w:pPr>
            <w:r>
              <w:rPr/>
              <w:t>供应商不得为列入“信用中国”(www.creditchina.gov.cn)记录失信被执行人、重大税收违法失信主体、中国政府采购网(www.ccgp.gov.cn)的政府采购严重违法失信行为记录名单，如相关失信记录已失效，需提供相关证明资料。采购代理机构于投标截止日当天在网站的查询结果为准（截图留存），注：供应商需在项目电子化交易系统中按要求上传相应证明文件并进行电子签章。</w:t>
            </w:r>
          </w:p>
        </w:tc>
        <w:tc>
          <w:tcPr>
            <w:tcW w:type="dxa" w:w="1661"/>
          </w:tcPr>
          <w:p>
            <w:pPr>
              <w:pStyle w:val="null3"/>
            </w:pPr>
            <w:r>
              <w:rPr/>
              <w:t>响应文件封面 资格审查证明文件 响应函</w:t>
            </w:r>
          </w:p>
        </w:tc>
      </w:tr>
      <w:tr>
        <w:tc>
          <w:tcPr>
            <w:tcW w:type="dxa" w:w="831"/>
          </w:tcPr>
          <w:p>
            <w:pPr>
              <w:pStyle w:val="null3"/>
            </w:pPr>
            <w:r>
              <w:rPr/>
              <w:t>3</w:t>
            </w:r>
          </w:p>
        </w:tc>
        <w:tc>
          <w:tcPr>
            <w:tcW w:type="dxa" w:w="2492"/>
          </w:tcPr>
          <w:p>
            <w:pPr>
              <w:pStyle w:val="null3"/>
            </w:pPr>
            <w:r>
              <w:rPr/>
              <w:t>控股关系</w:t>
            </w:r>
          </w:p>
        </w:tc>
        <w:tc>
          <w:tcPr>
            <w:tcW w:type="dxa" w:w="3322"/>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t>响应文件封面 资格审查证明文件 承诺 响应函</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 xml:space="preserve"> 二、评审工作由代理机构组织，具体评审事务由依法组建的磋商小组负责。</w:t>
      </w:r>
    </w:p>
    <w:p>
      <w:pPr>
        <w:pStyle w:val="null3"/>
        <w:ind w:firstLine="480"/>
      </w:pPr>
      <w:r>
        <w:rPr/>
        <w:t xml:space="preserve"> 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 xml:space="preserve"> 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（三）根据需要要求供应商对响应文件中含义不明确、同类问题表述不一致或者有明显文字和计算错误的内容等作出必要的澄清、说明或者更正；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 xml:space="preserve"> （六）向采购人、代理机构、财政部门或者其他监督部门报告非法干预评审工作的行为；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6.3.1审查磋商文件和停止评审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 xml:space="preserve"> （二）磋商文件明显以不合理条件对供应商实行差别待遇或者歧视待遇的；</w:t>
      </w:r>
    </w:p>
    <w:p>
      <w:pPr>
        <w:pStyle w:val="null3"/>
        <w:ind w:firstLine="480"/>
      </w:pPr>
      <w:r>
        <w:rPr/>
        <w:t xml:space="preserve"> （三）采购项目属于国家规定的优先、强制采购范围，但是磋商文件未依法体现优先、强制采购相关规定的；</w:t>
      </w:r>
    </w:p>
    <w:p>
      <w:pPr>
        <w:pStyle w:val="null3"/>
        <w:ind w:firstLine="480"/>
      </w:pPr>
      <w:r>
        <w:rPr/>
        <w:t xml:space="preserve"> （四）采购项目属于政府采购促进中小企业发展的范围，但是磋商文件未依法体现促进中小企业发展相关规定的；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通过符合性审查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 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选配件报价表（如果有） 技术响应 中小企业声明函 报价表 法定代表人（或负责人）授权书 法定代表人（或负责人）身份证明 响应文件封面 残疾人福利性单位声明函 报价明细表 资格审查证明文件 备品备件清单（如果有） 承诺 近年业绩及相关证明材料 标的清单 商务响应及相关证明 响应函 监狱企业的证明文件</w:t>
            </w:r>
          </w:p>
        </w:tc>
      </w:tr>
      <w:tr>
        <w:tc>
          <w:tcPr>
            <w:tcW w:type="dxa" w:w="831"/>
          </w:tcPr>
          <w:p>
            <w:pPr>
              <w:pStyle w:val="null3"/>
            </w:pPr>
            <w:r>
              <w:rPr/>
              <w:t>2</w:t>
            </w:r>
          </w:p>
        </w:tc>
        <w:tc>
          <w:tcPr>
            <w:tcW w:type="dxa" w:w="2492"/>
          </w:tcPr>
          <w:p>
            <w:pPr>
              <w:pStyle w:val="null3"/>
            </w:pPr>
            <w:r>
              <w:rPr/>
              <w:t>响应文件签字、盖章</w:t>
            </w:r>
          </w:p>
        </w:tc>
        <w:tc>
          <w:tcPr>
            <w:tcW w:type="dxa" w:w="3322"/>
          </w:tcPr>
          <w:p>
            <w:pPr>
              <w:pStyle w:val="null3"/>
            </w:pPr>
            <w:r>
              <w:rPr/>
              <w:t>响应文件签署、盖章均按磋商文件要求签字、盖章。</w:t>
            </w:r>
          </w:p>
        </w:tc>
        <w:tc>
          <w:tcPr>
            <w:tcW w:type="dxa" w:w="1661"/>
          </w:tcPr>
          <w:p>
            <w:pPr>
              <w:pStyle w:val="null3"/>
            </w:pPr>
            <w:r>
              <w:rPr/>
              <w:t>选配件报价表（如果有） 技术响应 中小企业声明函 报价表 法定代表人（或负责人）授权书 法定代表人（或负责人）身份证明 响应文件封面 残疾人福利性单位声明函 报价明细表 资格审查证明文件 备品备件清单（如果有） 承诺 近年业绩及相关证明材料 标的清单 商务响应及相关证明 响应函 监狱企业的证明文件</w:t>
            </w:r>
          </w:p>
        </w:tc>
      </w:tr>
      <w:tr>
        <w:tc>
          <w:tcPr>
            <w:tcW w:type="dxa" w:w="831"/>
          </w:tcPr>
          <w:p>
            <w:pPr>
              <w:pStyle w:val="null3"/>
            </w:pPr>
            <w:r>
              <w:rPr/>
              <w:t>3</w:t>
            </w:r>
          </w:p>
        </w:tc>
        <w:tc>
          <w:tcPr>
            <w:tcW w:type="dxa" w:w="2492"/>
          </w:tcPr>
          <w:p>
            <w:pPr>
              <w:pStyle w:val="null3"/>
            </w:pPr>
            <w:r>
              <w:rPr/>
              <w:t>磋商报价</w:t>
            </w:r>
          </w:p>
        </w:tc>
        <w:tc>
          <w:tcPr>
            <w:tcW w:type="dxa" w:w="3322"/>
          </w:tcPr>
          <w:p>
            <w:pPr>
              <w:pStyle w:val="null3"/>
            </w:pPr>
            <w:r>
              <w:rPr/>
              <w:t>唯一报价，并未超出采购预算。</w:t>
            </w:r>
          </w:p>
        </w:tc>
        <w:tc>
          <w:tcPr>
            <w:tcW w:type="dxa" w:w="1661"/>
          </w:tcPr>
          <w:p>
            <w:pPr>
              <w:pStyle w:val="null3"/>
            </w:pPr>
            <w:r>
              <w:rPr/>
              <w:t>响应文件封面 报价表 响应函</w:t>
            </w:r>
          </w:p>
        </w:tc>
      </w:tr>
      <w:tr>
        <w:tc>
          <w:tcPr>
            <w:tcW w:type="dxa" w:w="831"/>
          </w:tcPr>
          <w:p>
            <w:pPr>
              <w:pStyle w:val="null3"/>
            </w:pPr>
            <w:r>
              <w:rPr/>
              <w:t>4</w:t>
            </w:r>
          </w:p>
        </w:tc>
        <w:tc>
          <w:tcPr>
            <w:tcW w:type="dxa" w:w="2492"/>
          </w:tcPr>
          <w:p>
            <w:pPr>
              <w:pStyle w:val="null3"/>
            </w:pPr>
            <w:r>
              <w:rPr/>
              <w:t>磋商文件有效期</w:t>
            </w:r>
          </w:p>
        </w:tc>
        <w:tc>
          <w:tcPr>
            <w:tcW w:type="dxa" w:w="3322"/>
          </w:tcPr>
          <w:p>
            <w:pPr>
              <w:pStyle w:val="null3"/>
            </w:pPr>
            <w:r>
              <w:rPr/>
              <w:t>符合磋商文件要求。</w:t>
            </w:r>
          </w:p>
        </w:tc>
        <w:tc>
          <w:tcPr>
            <w:tcW w:type="dxa" w:w="1661"/>
          </w:tcPr>
          <w:p>
            <w:pPr>
              <w:pStyle w:val="null3"/>
            </w:pPr>
            <w:r>
              <w:rPr/>
              <w:t>响应文件封面 响应函</w:t>
            </w:r>
          </w:p>
        </w:tc>
      </w:tr>
      <w:tr>
        <w:tc>
          <w:tcPr>
            <w:tcW w:type="dxa" w:w="831"/>
          </w:tcPr>
          <w:p>
            <w:pPr>
              <w:pStyle w:val="null3"/>
            </w:pPr>
            <w:r>
              <w:rPr/>
              <w:t>5</w:t>
            </w:r>
          </w:p>
        </w:tc>
        <w:tc>
          <w:tcPr>
            <w:tcW w:type="dxa" w:w="2492"/>
          </w:tcPr>
          <w:p>
            <w:pPr>
              <w:pStyle w:val="null3"/>
            </w:pPr>
            <w:r>
              <w:rPr/>
              <w:t>对合同权利和义务的响应</w:t>
            </w:r>
          </w:p>
        </w:tc>
        <w:tc>
          <w:tcPr>
            <w:tcW w:type="dxa" w:w="3322"/>
          </w:tcPr>
          <w:p>
            <w:pPr>
              <w:pStyle w:val="null3"/>
            </w:pPr>
            <w:r>
              <w:rPr/>
              <w:t>响应服务期限及合同中规定的双方的权利和义务。</w:t>
            </w:r>
          </w:p>
        </w:tc>
        <w:tc>
          <w:tcPr>
            <w:tcW w:type="dxa" w:w="1661"/>
          </w:tcPr>
          <w:p>
            <w:pPr>
              <w:pStyle w:val="null3"/>
            </w:pPr>
            <w:r>
              <w:rPr/>
              <w:t>响应文件封面 商务响应及相关证明 报价表</w:t>
            </w:r>
          </w:p>
        </w:tc>
      </w:tr>
      <w:tr>
        <w:tc>
          <w:tcPr>
            <w:tcW w:type="dxa" w:w="831"/>
          </w:tcPr>
          <w:p>
            <w:pPr>
              <w:pStyle w:val="null3"/>
            </w:pPr>
            <w:r>
              <w:rPr/>
              <w:t>6</w:t>
            </w:r>
          </w:p>
        </w:tc>
        <w:tc>
          <w:tcPr>
            <w:tcW w:type="dxa" w:w="2492"/>
          </w:tcPr>
          <w:p>
            <w:pPr>
              <w:pStyle w:val="null3"/>
            </w:pPr>
            <w:r>
              <w:rPr/>
              <w:t>授权委托书</w:t>
            </w:r>
          </w:p>
        </w:tc>
        <w:tc>
          <w:tcPr>
            <w:tcW w:type="dxa" w:w="3322"/>
          </w:tcPr>
          <w:p>
            <w:pPr>
              <w:pStyle w:val="null3"/>
            </w:pPr>
            <w:r>
              <w:rPr/>
              <w:t>提供有效的授权委托书及被授权人身份证（法定代表人、单位负责人或自然人直接投标的只须提交其身份证）。</w:t>
            </w:r>
          </w:p>
        </w:tc>
        <w:tc>
          <w:tcPr>
            <w:tcW w:type="dxa" w:w="1661"/>
          </w:tcPr>
          <w:p>
            <w:pPr>
              <w:pStyle w:val="null3"/>
            </w:pPr>
            <w:r>
              <w:rPr/>
              <w:t>响应文件封面 法定代表人（或负责人）授权书 法定代表人（或负责人）身份证明</w:t>
            </w:r>
          </w:p>
        </w:tc>
      </w:tr>
    </w:tbl>
    <w:p>
      <w:pPr>
        <w:pStyle w:val="null3"/>
        <w:outlineLvl w:val="3"/>
      </w:pPr>
      <w:r>
        <w:rPr>
          <w:sz w:val="24"/>
          <w:b/>
        </w:rPr>
        <w:t>6.3.3磋商</w:t>
      </w:r>
    </w:p>
    <w:p>
      <w:pPr>
        <w:pStyle w:val="null3"/>
        <w:ind w:firstLine="480"/>
      </w:pPr>
      <w:r>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 xml:space="preserve"> 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 xml:space="preserve"> 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 xml:space="preserve"> 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 xml:space="preserve"> （一）供应商响应文件中不响应磋商文件规定的技术参数指标和商务应答；</w:t>
      </w:r>
    </w:p>
    <w:p>
      <w:pPr>
        <w:pStyle w:val="null3"/>
        <w:ind w:firstLine="480"/>
      </w:pPr>
      <w:r>
        <w:rPr/>
        <w:t xml:space="preserve"> （二）供应商响应文件中未提供的证明其是否符合磋商文件资格、符合性规定要求的相关材料。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 xml:space="preserve"> 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 xml:space="preserve"> 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 xml:space="preserve"> （四）评审情况记录和说明，包括对供应商响应文件审查情况、磋商情况、报价情况等；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w:t>
            </w:r>
          </w:p>
        </w:tc>
        <w:tc>
          <w:tcPr>
            <w:tcW w:type="dxa" w:w="2492"/>
          </w:tcPr>
          <w:p>
            <w:pPr>
              <w:pStyle w:val="null3"/>
            </w:pPr>
            <w:r>
              <w:rPr/>
              <w:t>投标产品技术指标完全满足磋商文件要求，满足或正偏离得17分，有1项负偏离扣1分，扣完为止。说明：供应商须提供相关技术指标证明材料予以佐证。证明材料不限于产品的检测报告、试验报告、彩页、厂家出具的技术证明文件、实物照片、官网和功能截图等。供应商自行承担因材料提供不全导致的技术参数评审风险。</w:t>
            </w:r>
          </w:p>
        </w:tc>
        <w:tc>
          <w:tcPr>
            <w:tcW w:type="dxa" w:w="831"/>
          </w:tcPr>
          <w:p>
            <w:pPr>
              <w:pStyle w:val="null3"/>
              <w:jc w:val="right"/>
            </w:pPr>
            <w:r>
              <w:rPr/>
              <w:t>17.0000</w:t>
            </w:r>
          </w:p>
        </w:tc>
        <w:tc>
          <w:tcPr>
            <w:tcW w:type="dxa" w:w="831"/>
          </w:tcPr>
          <w:p>
            <w:pPr>
              <w:pStyle w:val="null3"/>
            </w:pPr>
            <w:r>
              <w:rPr/>
              <w:t>客观</w:t>
            </w:r>
          </w:p>
        </w:tc>
        <w:tc>
          <w:tcPr>
            <w:tcW w:type="dxa" w:w="1661"/>
          </w:tcPr>
          <w:p>
            <w:pPr>
              <w:pStyle w:val="null3"/>
            </w:pPr>
            <w:r>
              <w:rPr/>
              <w:t>响应函</w:t>
            </w:r>
          </w:p>
          <w:p>
            <w:pPr>
              <w:pStyle w:val="null3"/>
            </w:pPr>
            <w:r>
              <w:rPr/>
              <w:t>标的清单</w:t>
            </w:r>
          </w:p>
          <w:p>
            <w:pPr>
              <w:pStyle w:val="null3"/>
            </w:pPr>
            <w:r>
              <w:rPr/>
              <w:t>报价明细表</w:t>
            </w:r>
          </w:p>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产品功能</w:t>
            </w:r>
          </w:p>
        </w:tc>
        <w:tc>
          <w:tcPr>
            <w:tcW w:type="dxa" w:w="2492"/>
          </w:tcPr>
          <w:p>
            <w:pPr>
              <w:pStyle w:val="null3"/>
            </w:pPr>
            <w:r>
              <w:rPr/>
              <w:t>一、评审内容①产品配置；②技术规格;③技术工艺。二、评审标准：1、完整性：内容全面，对评审内容中的各项要求有详细描述；2、可行性：切合本项目实际情况，提出步骤清晰的方案； 3、针对性：紧扣项目实际情况需求，内容切实合理。三、赋分标准：①产品配置：每完全满足一个评审标准得1分，满分3分；②技术规格：每完全满足一个评审标准得1分，满分3分；③技术工艺：每完全满足一个评审标准得1分，满分3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响应文件封面</w:t>
            </w:r>
          </w:p>
          <w:p>
            <w:pPr>
              <w:pStyle w:val="null3"/>
            </w:pPr>
            <w:r>
              <w:rPr/>
              <w:t>响应函</w:t>
            </w:r>
          </w:p>
          <w:p>
            <w:pPr>
              <w:pStyle w:val="null3"/>
            </w:pPr>
            <w:r>
              <w:rPr/>
              <w:t>标的清单</w:t>
            </w:r>
          </w:p>
          <w:p>
            <w:pPr>
              <w:pStyle w:val="null3"/>
            </w:pPr>
            <w:r>
              <w:rPr/>
              <w:t>报价明细表</w:t>
            </w:r>
          </w:p>
          <w:p>
            <w:pPr>
              <w:pStyle w:val="null3"/>
            </w:pPr>
            <w:r>
              <w:rPr/>
              <w:t>技术响应</w:t>
            </w:r>
          </w:p>
          <w:p>
            <w:pPr>
              <w:pStyle w:val="null3"/>
            </w:pPr>
            <w:r>
              <w:rPr/>
              <w:t>商务响应及相关证明</w:t>
            </w:r>
          </w:p>
          <w:p>
            <w:pPr>
              <w:pStyle w:val="null3"/>
            </w:pPr>
            <w:r>
              <w:rPr/>
              <w:t>近年业绩及相关证明材料</w:t>
            </w:r>
          </w:p>
          <w:p>
            <w:pPr>
              <w:pStyle w:val="null3"/>
            </w:pPr>
            <w:r>
              <w:rPr/>
              <w:t>承诺</w:t>
            </w:r>
          </w:p>
        </w:tc>
      </w:tr>
      <w:tr>
        <w:tc>
          <w:tcPr>
            <w:tcW w:type="dxa" w:w="831"/>
            <w:vMerge/>
          </w:tcPr>
          <w:p/>
        </w:tc>
        <w:tc>
          <w:tcPr>
            <w:tcW w:type="dxa" w:w="1661"/>
          </w:tcPr>
          <w:p>
            <w:pPr>
              <w:pStyle w:val="null3"/>
            </w:pPr>
            <w:r>
              <w:rPr/>
              <w:t>产品可靠性</w:t>
            </w:r>
          </w:p>
        </w:tc>
        <w:tc>
          <w:tcPr>
            <w:tcW w:type="dxa" w:w="2492"/>
          </w:tcPr>
          <w:p>
            <w:pPr>
              <w:pStyle w:val="null3"/>
            </w:pPr>
            <w:r>
              <w:rPr/>
              <w:t>提供投标产品货源渠道合法的证明文件（包括但不限于销售协议、代理协议、原厂授权等），产品符合国家、行业标准及有关规定，确保产品性能稳定，无产权纠纷，得4分。其他得0分。</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响应文件封面</w:t>
            </w:r>
          </w:p>
          <w:p>
            <w:pPr>
              <w:pStyle w:val="null3"/>
            </w:pPr>
            <w:r>
              <w:rPr/>
              <w:t>响应函</w:t>
            </w:r>
          </w:p>
          <w:p>
            <w:pPr>
              <w:pStyle w:val="null3"/>
            </w:pPr>
            <w:r>
              <w:rPr/>
              <w:t>标的清单</w:t>
            </w:r>
          </w:p>
          <w:p>
            <w:pPr>
              <w:pStyle w:val="null3"/>
            </w:pPr>
            <w:r>
              <w:rPr/>
              <w:t>报价明细表</w:t>
            </w:r>
          </w:p>
          <w:p>
            <w:pPr>
              <w:pStyle w:val="null3"/>
            </w:pPr>
            <w:r>
              <w:rPr/>
              <w:t>技术响应</w:t>
            </w:r>
          </w:p>
          <w:p>
            <w:pPr>
              <w:pStyle w:val="null3"/>
            </w:pPr>
            <w:r>
              <w:rPr/>
              <w:t>商务响应及相关证明</w:t>
            </w:r>
          </w:p>
          <w:p>
            <w:pPr>
              <w:pStyle w:val="null3"/>
            </w:pPr>
            <w:r>
              <w:rPr/>
              <w:t>近年业绩及相关证明材料</w:t>
            </w:r>
          </w:p>
          <w:p>
            <w:pPr>
              <w:pStyle w:val="null3"/>
            </w:pPr>
            <w:r>
              <w:rPr/>
              <w:t>承诺</w:t>
            </w:r>
          </w:p>
        </w:tc>
      </w:tr>
      <w:tr>
        <w:tc>
          <w:tcPr>
            <w:tcW w:type="dxa" w:w="831"/>
            <w:vMerge/>
          </w:tcPr>
          <w:p/>
        </w:tc>
        <w:tc>
          <w:tcPr>
            <w:tcW w:type="dxa" w:w="1661"/>
          </w:tcPr>
          <w:p>
            <w:pPr>
              <w:pStyle w:val="null3"/>
            </w:pPr>
            <w:r>
              <w:rPr/>
              <w:t>供货方案</w:t>
            </w:r>
          </w:p>
        </w:tc>
        <w:tc>
          <w:tcPr>
            <w:tcW w:type="dxa" w:w="2492"/>
          </w:tcPr>
          <w:p>
            <w:pPr>
              <w:pStyle w:val="null3"/>
            </w:pPr>
            <w:r>
              <w:rPr/>
              <w:t>供货方案，包含但不限于产品备货、配送、安装调试、补（换）货等内容。方案详细、具体，内容齐全，针对性强，可行性强，满足项目需求，得3分；方案内容较齐全，较有针对性，较有可行性，得2分；方案内容基本齐全，基本可行，得1分。 未提供得0分。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响应文件封面</w:t>
            </w:r>
          </w:p>
          <w:p>
            <w:pPr>
              <w:pStyle w:val="null3"/>
            </w:pPr>
            <w:r>
              <w:rPr/>
              <w:t>响应函</w:t>
            </w:r>
          </w:p>
          <w:p>
            <w:pPr>
              <w:pStyle w:val="null3"/>
            </w:pPr>
            <w:r>
              <w:rPr/>
              <w:t>标的清单</w:t>
            </w:r>
          </w:p>
          <w:p>
            <w:pPr>
              <w:pStyle w:val="null3"/>
            </w:pPr>
            <w:r>
              <w:rPr/>
              <w:t>报价明细表</w:t>
            </w:r>
          </w:p>
          <w:p>
            <w:pPr>
              <w:pStyle w:val="null3"/>
            </w:pPr>
            <w:r>
              <w:rPr/>
              <w:t>技术响应</w:t>
            </w:r>
          </w:p>
          <w:p>
            <w:pPr>
              <w:pStyle w:val="null3"/>
            </w:pPr>
            <w:r>
              <w:rPr/>
              <w:t>商务响应及相关证明</w:t>
            </w:r>
          </w:p>
          <w:p>
            <w:pPr>
              <w:pStyle w:val="null3"/>
            </w:pPr>
            <w:r>
              <w:rPr/>
              <w:t>近年业绩及相关证明材料</w:t>
            </w:r>
          </w:p>
          <w:p>
            <w:pPr>
              <w:pStyle w:val="null3"/>
            </w:pPr>
            <w:r>
              <w:rPr/>
              <w:t>承诺</w:t>
            </w:r>
          </w:p>
        </w:tc>
      </w:tr>
      <w:tr>
        <w:tc>
          <w:tcPr>
            <w:tcW w:type="dxa" w:w="831"/>
            <w:vMerge/>
          </w:tcPr>
          <w:p/>
        </w:tc>
        <w:tc>
          <w:tcPr>
            <w:tcW w:type="dxa" w:w="1661"/>
          </w:tcPr>
          <w:p>
            <w:pPr>
              <w:pStyle w:val="null3"/>
            </w:pPr>
            <w:r>
              <w:rPr/>
              <w:t>售后服务</w:t>
            </w:r>
          </w:p>
        </w:tc>
        <w:tc>
          <w:tcPr>
            <w:tcW w:type="dxa" w:w="2492"/>
          </w:tcPr>
          <w:p>
            <w:pPr>
              <w:pStyle w:val="null3"/>
            </w:pPr>
            <w:r>
              <w:rPr/>
              <w:t>一、评审内容①售后服务措施；②售后服务承诺。二、评审标准：1、完整性：内容全面，对评审内容中的各项要求有详细描述；2、可行性：切合本项目实际情况，提出步骤清晰的方案；3、针对性：紧扣项目实际情况需求，内容切实合理。三、赋分标准：①售后服务措施：每完全满足一个评审标准得1分，满分3分；②售后服务承诺：每完全满足一个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响应文件封面</w:t>
            </w:r>
          </w:p>
          <w:p>
            <w:pPr>
              <w:pStyle w:val="null3"/>
            </w:pPr>
            <w:r>
              <w:rPr/>
              <w:t>响应函</w:t>
            </w:r>
          </w:p>
          <w:p>
            <w:pPr>
              <w:pStyle w:val="null3"/>
            </w:pPr>
            <w:r>
              <w:rPr/>
              <w:t>标的清单</w:t>
            </w:r>
          </w:p>
          <w:p>
            <w:pPr>
              <w:pStyle w:val="null3"/>
            </w:pPr>
            <w:r>
              <w:rPr/>
              <w:t>报价明细表</w:t>
            </w:r>
          </w:p>
          <w:p>
            <w:pPr>
              <w:pStyle w:val="null3"/>
            </w:pPr>
            <w:r>
              <w:rPr/>
              <w:t>技术响应</w:t>
            </w:r>
          </w:p>
          <w:p>
            <w:pPr>
              <w:pStyle w:val="null3"/>
            </w:pPr>
            <w:r>
              <w:rPr/>
              <w:t>商务响应及相关证明</w:t>
            </w:r>
          </w:p>
          <w:p>
            <w:pPr>
              <w:pStyle w:val="null3"/>
            </w:pPr>
            <w:r>
              <w:rPr/>
              <w:t>近年业绩及相关证明材料</w:t>
            </w:r>
          </w:p>
          <w:p>
            <w:pPr>
              <w:pStyle w:val="null3"/>
            </w:pPr>
            <w:r>
              <w:rPr/>
              <w:t>承诺</w:t>
            </w:r>
          </w:p>
        </w:tc>
      </w:tr>
      <w:tr>
        <w:tc>
          <w:tcPr>
            <w:tcW w:type="dxa" w:w="831"/>
            <w:vMerge/>
          </w:tcPr>
          <w:p/>
        </w:tc>
        <w:tc>
          <w:tcPr>
            <w:tcW w:type="dxa" w:w="1661"/>
          </w:tcPr>
          <w:p>
            <w:pPr>
              <w:pStyle w:val="null3"/>
            </w:pPr>
            <w:r>
              <w:rPr/>
              <w:t>培训计划</w:t>
            </w:r>
          </w:p>
        </w:tc>
        <w:tc>
          <w:tcPr>
            <w:tcW w:type="dxa" w:w="2492"/>
          </w:tcPr>
          <w:p>
            <w:pPr>
              <w:pStyle w:val="null3"/>
            </w:pPr>
            <w:r>
              <w:rPr/>
              <w:t>一、评审内容①培训时间；②培训内容及培训方式。二、评审标准：1、完整性：内容全面，对评审内容中的各项要求有详细描述；2、可行性：切合本项目实际情况，提出步骤清晰的方案； 3、针对性：紧扣项目实际情况需求，内容切实合理。三、赋分标准：①培训时间：每完全满足一个评审标准得1分，满分3分；②培训内容及培训方式：每完全满足一个评审标准得1分，满分3分。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响应文件封面</w:t>
            </w:r>
          </w:p>
          <w:p>
            <w:pPr>
              <w:pStyle w:val="null3"/>
            </w:pPr>
            <w:r>
              <w:rPr/>
              <w:t>响应函</w:t>
            </w:r>
          </w:p>
          <w:p>
            <w:pPr>
              <w:pStyle w:val="null3"/>
            </w:pPr>
            <w:r>
              <w:rPr/>
              <w:t>标的清单</w:t>
            </w:r>
          </w:p>
          <w:p>
            <w:pPr>
              <w:pStyle w:val="null3"/>
            </w:pPr>
            <w:r>
              <w:rPr/>
              <w:t>报价明细表</w:t>
            </w:r>
          </w:p>
          <w:p>
            <w:pPr>
              <w:pStyle w:val="null3"/>
            </w:pPr>
            <w:r>
              <w:rPr/>
              <w:t>技术响应</w:t>
            </w:r>
          </w:p>
          <w:p>
            <w:pPr>
              <w:pStyle w:val="null3"/>
            </w:pPr>
            <w:r>
              <w:rPr/>
              <w:t>商务响应及相关证明</w:t>
            </w:r>
          </w:p>
          <w:p>
            <w:pPr>
              <w:pStyle w:val="null3"/>
            </w:pPr>
            <w:r>
              <w:rPr/>
              <w:t>近年业绩及相关证明材料</w:t>
            </w:r>
          </w:p>
          <w:p>
            <w:pPr>
              <w:pStyle w:val="null3"/>
            </w:pPr>
            <w:r>
              <w:rPr/>
              <w:t>承诺</w:t>
            </w:r>
          </w:p>
        </w:tc>
      </w:tr>
      <w:tr>
        <w:tc>
          <w:tcPr>
            <w:tcW w:type="dxa" w:w="831"/>
            <w:vMerge/>
          </w:tcPr>
          <w:p/>
        </w:tc>
        <w:tc>
          <w:tcPr>
            <w:tcW w:type="dxa" w:w="1661"/>
          </w:tcPr>
          <w:p>
            <w:pPr>
              <w:pStyle w:val="null3"/>
            </w:pPr>
            <w:r>
              <w:rPr/>
              <w:t>服务方案</w:t>
            </w:r>
          </w:p>
        </w:tc>
        <w:tc>
          <w:tcPr>
            <w:tcW w:type="dxa" w:w="2492"/>
          </w:tcPr>
          <w:p>
            <w:pPr>
              <w:pStyle w:val="null3"/>
            </w:pPr>
            <w:r>
              <w:rPr/>
              <w:t>一、评审内容①实施计划；②人员安排;③进度安排；④质量保证措施；⑤验收配合措施。二、评审标准：1、完整性：内容全面，对评审内容中的各项要求有详细描述；2、可行性：切合本项目实际情况，提出步骤清晰的方案； 3、针对性：紧扣项目实际情况需求，内容切实合理。三、赋分标准：①实施计划：每完全满足一个评审标准得1分，满分3分；②人员安排：每完全满足一个评审标准得1分，满分3分；③进度安排：每完全满足一个评审标准得1分，满分3分；④质量保证措施：每完全满足一个评审标准得1分，满分3分；⑤验收配合措施：每完全满足一个评审标准得1分，满分3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响应文件封面</w:t>
            </w:r>
          </w:p>
          <w:p>
            <w:pPr>
              <w:pStyle w:val="null3"/>
            </w:pPr>
            <w:r>
              <w:rPr/>
              <w:t>响应函</w:t>
            </w:r>
          </w:p>
          <w:p>
            <w:pPr>
              <w:pStyle w:val="null3"/>
            </w:pPr>
            <w:r>
              <w:rPr/>
              <w:t>标的清单</w:t>
            </w:r>
          </w:p>
          <w:p>
            <w:pPr>
              <w:pStyle w:val="null3"/>
            </w:pPr>
            <w:r>
              <w:rPr/>
              <w:t>报价明细表</w:t>
            </w:r>
          </w:p>
          <w:p>
            <w:pPr>
              <w:pStyle w:val="null3"/>
            </w:pPr>
            <w:r>
              <w:rPr/>
              <w:t>技术响应</w:t>
            </w:r>
          </w:p>
          <w:p>
            <w:pPr>
              <w:pStyle w:val="null3"/>
            </w:pPr>
            <w:r>
              <w:rPr/>
              <w:t>商务响应及相关证明</w:t>
            </w:r>
          </w:p>
          <w:p>
            <w:pPr>
              <w:pStyle w:val="null3"/>
            </w:pPr>
            <w:r>
              <w:rPr/>
              <w:t>近年业绩及相关证明材料</w:t>
            </w:r>
          </w:p>
          <w:p>
            <w:pPr>
              <w:pStyle w:val="null3"/>
            </w:pPr>
            <w:r>
              <w:rPr/>
              <w:t>承诺</w:t>
            </w:r>
          </w:p>
        </w:tc>
      </w:tr>
      <w:tr>
        <w:tc>
          <w:tcPr>
            <w:tcW w:type="dxa" w:w="831"/>
            <w:vMerge/>
          </w:tcPr>
          <w:p/>
        </w:tc>
        <w:tc>
          <w:tcPr>
            <w:tcW w:type="dxa" w:w="1661"/>
          </w:tcPr>
          <w:p>
            <w:pPr>
              <w:pStyle w:val="null3"/>
            </w:pPr>
            <w:r>
              <w:rPr/>
              <w:t>交货期</w:t>
            </w:r>
          </w:p>
        </w:tc>
        <w:tc>
          <w:tcPr>
            <w:tcW w:type="dxa" w:w="2492"/>
          </w:tcPr>
          <w:p>
            <w:pPr>
              <w:pStyle w:val="null3"/>
            </w:pPr>
            <w:r>
              <w:rPr/>
              <w:t>优于磋商文件交货期要求的，每提前1个月交付得1分，此项最高得3分。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响应文件封面</w:t>
            </w:r>
          </w:p>
          <w:p>
            <w:pPr>
              <w:pStyle w:val="null3"/>
            </w:pPr>
            <w:r>
              <w:rPr/>
              <w:t>响应函</w:t>
            </w:r>
          </w:p>
          <w:p>
            <w:pPr>
              <w:pStyle w:val="null3"/>
            </w:pPr>
            <w:r>
              <w:rPr/>
              <w:t>标的清单</w:t>
            </w:r>
          </w:p>
          <w:p>
            <w:pPr>
              <w:pStyle w:val="null3"/>
            </w:pPr>
            <w:r>
              <w:rPr/>
              <w:t>报价明细表</w:t>
            </w:r>
          </w:p>
          <w:p>
            <w:pPr>
              <w:pStyle w:val="null3"/>
            </w:pPr>
            <w:r>
              <w:rPr/>
              <w:t>技术响应</w:t>
            </w:r>
          </w:p>
          <w:p>
            <w:pPr>
              <w:pStyle w:val="null3"/>
            </w:pPr>
            <w:r>
              <w:rPr/>
              <w:t>商务响应及相关证明</w:t>
            </w:r>
          </w:p>
          <w:p>
            <w:pPr>
              <w:pStyle w:val="null3"/>
            </w:pPr>
            <w:r>
              <w:rPr/>
              <w:t>近年业绩及相关证明材料</w:t>
            </w:r>
          </w:p>
          <w:p>
            <w:pPr>
              <w:pStyle w:val="null3"/>
            </w:pPr>
            <w:r>
              <w:rPr/>
              <w:t>承诺</w:t>
            </w:r>
          </w:p>
        </w:tc>
      </w:tr>
      <w:tr>
        <w:tc>
          <w:tcPr>
            <w:tcW w:type="dxa" w:w="831"/>
            <w:vMerge/>
          </w:tcPr>
          <w:p/>
        </w:tc>
        <w:tc>
          <w:tcPr>
            <w:tcW w:type="dxa" w:w="1661"/>
          </w:tcPr>
          <w:p>
            <w:pPr>
              <w:pStyle w:val="null3"/>
            </w:pPr>
            <w:r>
              <w:rPr/>
              <w:t>质保期</w:t>
            </w:r>
          </w:p>
        </w:tc>
        <w:tc>
          <w:tcPr>
            <w:tcW w:type="dxa" w:w="2492"/>
          </w:tcPr>
          <w:p>
            <w:pPr>
              <w:pStyle w:val="null3"/>
            </w:pPr>
            <w:r>
              <w:rPr/>
              <w:t>质保期必须满足招标要求，在此基础上每增加1年质保得1分，最多得2分。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响应文件封面</w:t>
            </w:r>
          </w:p>
          <w:p>
            <w:pPr>
              <w:pStyle w:val="null3"/>
            </w:pPr>
            <w:r>
              <w:rPr/>
              <w:t>响应函</w:t>
            </w:r>
          </w:p>
          <w:p>
            <w:pPr>
              <w:pStyle w:val="null3"/>
            </w:pPr>
            <w:r>
              <w:rPr/>
              <w:t>标的清单</w:t>
            </w:r>
          </w:p>
          <w:p>
            <w:pPr>
              <w:pStyle w:val="null3"/>
            </w:pPr>
            <w:r>
              <w:rPr/>
              <w:t>报价明细表</w:t>
            </w:r>
          </w:p>
          <w:p>
            <w:pPr>
              <w:pStyle w:val="null3"/>
            </w:pPr>
            <w:r>
              <w:rPr/>
              <w:t>技术响应</w:t>
            </w:r>
          </w:p>
          <w:p>
            <w:pPr>
              <w:pStyle w:val="null3"/>
            </w:pPr>
            <w:r>
              <w:rPr/>
              <w:t>商务响应及相关证明</w:t>
            </w:r>
          </w:p>
          <w:p>
            <w:pPr>
              <w:pStyle w:val="null3"/>
            </w:pPr>
            <w:r>
              <w:rPr/>
              <w:t>近年业绩及相关证明材料</w:t>
            </w:r>
          </w:p>
          <w:p>
            <w:pPr>
              <w:pStyle w:val="null3"/>
            </w:pPr>
            <w:r>
              <w:rPr/>
              <w:t>承诺</w:t>
            </w:r>
          </w:p>
        </w:tc>
      </w:tr>
      <w:tr>
        <w:tc>
          <w:tcPr>
            <w:tcW w:type="dxa" w:w="831"/>
            <w:vMerge/>
          </w:tcPr>
          <w:p/>
        </w:tc>
        <w:tc>
          <w:tcPr>
            <w:tcW w:type="dxa" w:w="1661"/>
          </w:tcPr>
          <w:p>
            <w:pPr>
              <w:pStyle w:val="null3"/>
            </w:pPr>
            <w:r>
              <w:rPr/>
              <w:t>业绩</w:t>
            </w:r>
          </w:p>
        </w:tc>
        <w:tc>
          <w:tcPr>
            <w:tcW w:type="dxa" w:w="2492"/>
          </w:tcPr>
          <w:p>
            <w:pPr>
              <w:pStyle w:val="null3"/>
            </w:pPr>
            <w:r>
              <w:rPr/>
              <w:t>提供投标供应商自2021年1月1日起至投标截止日止实施过的类似项目业绩，提供合同的复印件并加盖单位公章，以合同的签订日期为准。每提供1份得1分，最多得5分，未提供或提供的合同内容模糊无法辨认得0分。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响应文件封面</w:t>
            </w:r>
          </w:p>
          <w:p>
            <w:pPr>
              <w:pStyle w:val="null3"/>
            </w:pPr>
            <w:r>
              <w:rPr/>
              <w:t>响应函</w:t>
            </w:r>
          </w:p>
          <w:p>
            <w:pPr>
              <w:pStyle w:val="null3"/>
            </w:pPr>
            <w:r>
              <w:rPr/>
              <w:t>标的清单</w:t>
            </w:r>
          </w:p>
          <w:p>
            <w:pPr>
              <w:pStyle w:val="null3"/>
            </w:pPr>
            <w:r>
              <w:rPr/>
              <w:t>报价明细表</w:t>
            </w:r>
          </w:p>
          <w:p>
            <w:pPr>
              <w:pStyle w:val="null3"/>
            </w:pPr>
            <w:r>
              <w:rPr/>
              <w:t>技术响应</w:t>
            </w:r>
          </w:p>
          <w:p>
            <w:pPr>
              <w:pStyle w:val="null3"/>
            </w:pPr>
            <w:r>
              <w:rPr/>
              <w:t>商务响应及相关证明</w:t>
            </w:r>
          </w:p>
          <w:p>
            <w:pPr>
              <w:pStyle w:val="null3"/>
            </w:pPr>
            <w:r>
              <w:rPr/>
              <w:t>近年业绩及相关证明材料</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价格分统一采用低价优先法计算，即满足磋商文件要求且最后报价最低的供应商的价 格为磋商基准价，其价格分为满分。每各有效供应商的价格评分统一按照下列公式计 算： 价格评分＝（基准价/评审价）×30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标的清单 报价表 监狱企业的证明文件</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 xml:space="preserve"> 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详见附件：报价表</w:t>
      </w:r>
    </w:p>
    <w:p>
      <w:pPr>
        <w:pStyle w:val="null3"/>
        <w:ind w:firstLine="960"/>
      </w:pPr>
      <w:r>
        <w:rPr/>
        <w:t>详见附件：报价明细表</w:t>
      </w:r>
    </w:p>
    <w:p>
      <w:pPr>
        <w:pStyle w:val="null3"/>
        <w:ind w:firstLine="960"/>
      </w:pPr>
      <w:r>
        <w:rPr/>
        <w:t>详见附件：法定代表人（或负责人）身份证明</w:t>
      </w:r>
    </w:p>
    <w:p>
      <w:pPr>
        <w:pStyle w:val="null3"/>
        <w:ind w:firstLine="960"/>
      </w:pPr>
      <w:r>
        <w:rPr/>
        <w:t>详见附件：法定代表人（或负责人）授权书</w:t>
      </w:r>
    </w:p>
    <w:p>
      <w:pPr>
        <w:pStyle w:val="null3"/>
        <w:ind w:firstLine="960"/>
      </w:pPr>
      <w:r>
        <w:rPr/>
        <w:t>详见附件：资格审查证明文件</w:t>
      </w:r>
    </w:p>
    <w:p>
      <w:pPr>
        <w:pStyle w:val="null3"/>
        <w:ind w:firstLine="960"/>
      </w:pPr>
      <w:r>
        <w:rPr/>
        <w:t>详见附件：技术响应</w:t>
      </w:r>
    </w:p>
    <w:p>
      <w:pPr>
        <w:pStyle w:val="null3"/>
        <w:ind w:firstLine="960"/>
      </w:pPr>
      <w:r>
        <w:rPr/>
        <w:t>详见附件：商务响应及相关证明</w:t>
      </w:r>
    </w:p>
    <w:p>
      <w:pPr>
        <w:pStyle w:val="null3"/>
        <w:ind w:firstLine="960"/>
      </w:pPr>
      <w:r>
        <w:rPr/>
        <w:t>详见附件：近年业绩及相关证明材料</w:t>
      </w:r>
    </w:p>
    <w:p>
      <w:pPr>
        <w:pStyle w:val="null3"/>
        <w:ind w:firstLine="960"/>
      </w:pPr>
      <w:r>
        <w:rPr/>
        <w:t>详见附件：承诺</w:t>
      </w:r>
    </w:p>
    <w:p>
      <w:pPr>
        <w:pStyle w:val="null3"/>
        <w:ind w:firstLine="960"/>
      </w:pPr>
      <w:r>
        <w:rPr/>
        <w:t>详见附件：备品备件清单（如果有）</w:t>
      </w:r>
    </w:p>
    <w:p>
      <w:pPr>
        <w:pStyle w:val="null3"/>
        <w:ind w:firstLine="960"/>
      </w:pPr>
      <w:r>
        <w:rPr/>
        <w:t>详见附件：选配件报价表（如果有）</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详见附件：模板-货物采购类合同-设备更新12.11（上传版）.docx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