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81626B">
      <w:pPr>
        <w:spacing w:line="360" w:lineRule="auto"/>
        <w:jc w:val="center"/>
        <w:rPr>
          <w:rFonts w:hint="eastAsia" w:ascii="宋体" w:hAnsi="宋体" w:eastAsia="宋体" w:cs="宋体"/>
          <w:color w:val="auto"/>
          <w:sz w:val="32"/>
        </w:rPr>
      </w:pPr>
      <w:bookmarkStart w:id="0" w:name="_GoBack"/>
      <w:r>
        <w:rPr>
          <w:rFonts w:hint="eastAsia" w:ascii="宋体" w:hAnsi="宋体" w:eastAsia="宋体" w:cs="宋体"/>
          <w:color w:val="auto"/>
          <w:sz w:val="32"/>
          <w:lang w:val="en-US" w:eastAsia="zh-CN"/>
        </w:rPr>
        <w:t>西北大学</w:t>
      </w:r>
      <w:r>
        <w:rPr>
          <w:rFonts w:hint="eastAsia" w:ascii="宋体" w:hAnsi="宋体" w:eastAsia="宋体" w:cs="宋体"/>
          <w:color w:val="auto"/>
          <w:sz w:val="32"/>
        </w:rPr>
        <w:t>购货合同</w:t>
      </w:r>
    </w:p>
    <w:p w14:paraId="647DD01E">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(国产合同模板)</w:t>
      </w:r>
    </w:p>
    <w:p w14:paraId="0FE503F7">
      <w:pPr>
        <w:spacing w:line="360" w:lineRule="auto"/>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特别说明：以下内容只作为合同基本条款，在签订具体项目购货合同时，请根据项目实际情况再签订技术协议作为合同的附件。</w:t>
      </w:r>
    </w:p>
    <w:p w14:paraId="49626EA8">
      <w:pPr>
        <w:bidi w:val="0"/>
        <w:rPr>
          <w:rFonts w:hint="eastAsia"/>
          <w:color w:val="auto"/>
          <w:sz w:val="24"/>
          <w:szCs w:val="24"/>
        </w:rPr>
      </w:pPr>
    </w:p>
    <w:p w14:paraId="24033E75">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根据《中华人民共和国政府采购法》、《中华人民共和国</w:t>
      </w:r>
      <w:r>
        <w:rPr>
          <w:rFonts w:hint="eastAsia" w:ascii="宋体" w:hAnsi="宋体" w:eastAsia="宋体" w:cs="宋体"/>
          <w:color w:val="auto"/>
          <w:sz w:val="24"/>
          <w:szCs w:val="24"/>
          <w:lang w:val="en-US" w:eastAsia="zh-CN"/>
        </w:rPr>
        <w:t>民法典</w:t>
      </w:r>
      <w:r>
        <w:rPr>
          <w:rFonts w:hint="eastAsia" w:ascii="宋体" w:hAnsi="宋体" w:eastAsia="宋体" w:cs="宋体"/>
          <w:color w:val="auto"/>
          <w:sz w:val="24"/>
          <w:szCs w:val="24"/>
        </w:rPr>
        <w:t>》及有关法律规定，遵循平等、自愿、公平和诚实信用的原则，西北大学（甲方）与××××公司（乙方）就西北大学××××学院（系）购置的××××等</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（招标编号：</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）经双方协商达成如下合同条款：</w:t>
      </w:r>
    </w:p>
    <w:p w14:paraId="5787C9B6">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一、合同内容</w:t>
      </w:r>
    </w:p>
    <w:p w14:paraId="61C85DC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乙方按本合同中确定的</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名称、型号与规格、产地、数量及配套内容进行供货；乙方按时将货物运送到甲方指定的地点，负责到货</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的安装与调试，达到正常使用；乙方负责为甲方培训操作、维护人员，质保期内负责指导</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的操作使用和保养维修，做好售后服务工作。甲方在乙方完成合同明确规定的责任和义务后，按合同要求付给乙方相应的货款。</w:t>
      </w:r>
    </w:p>
    <w:p w14:paraId="599768D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1、购置清单</w:t>
      </w:r>
    </w:p>
    <w:tbl>
      <w:tblPr>
        <w:tblStyle w:val="4"/>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06"/>
        <w:gridCol w:w="1715"/>
        <w:gridCol w:w="1847"/>
        <w:gridCol w:w="910"/>
        <w:gridCol w:w="786"/>
        <w:gridCol w:w="1236"/>
        <w:gridCol w:w="1236"/>
      </w:tblGrid>
      <w:tr w14:paraId="572E449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63" w:hRule="atLeast"/>
          <w:jc w:val="center"/>
        </w:trPr>
        <w:tc>
          <w:tcPr>
            <w:tcW w:w="1706" w:type="dxa"/>
            <w:tcBorders>
              <w:top w:val="single" w:color="auto" w:sz="4" w:space="0"/>
              <w:left w:val="single" w:color="auto" w:sz="4" w:space="0"/>
              <w:bottom w:val="single" w:color="auto" w:sz="4" w:space="0"/>
              <w:right w:val="single" w:color="auto" w:sz="4" w:space="0"/>
            </w:tcBorders>
            <w:noWrap w:val="0"/>
            <w:vAlign w:val="center"/>
          </w:tcPr>
          <w:p w14:paraId="6816F78C">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名称</w:t>
            </w:r>
          </w:p>
        </w:tc>
        <w:tc>
          <w:tcPr>
            <w:tcW w:w="1715" w:type="dxa"/>
            <w:tcBorders>
              <w:top w:val="single" w:color="auto" w:sz="4" w:space="0"/>
              <w:left w:val="single" w:color="auto" w:sz="4" w:space="0"/>
              <w:bottom w:val="single" w:color="auto" w:sz="4" w:space="0"/>
              <w:right w:val="single" w:color="auto" w:sz="4" w:space="0"/>
            </w:tcBorders>
            <w:noWrap w:val="0"/>
            <w:vAlign w:val="center"/>
          </w:tcPr>
          <w:p w14:paraId="37DE1E8B">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型号与规格</w:t>
            </w:r>
          </w:p>
        </w:tc>
        <w:tc>
          <w:tcPr>
            <w:tcW w:w="1847" w:type="dxa"/>
            <w:tcBorders>
              <w:top w:val="single" w:color="auto" w:sz="4" w:space="0"/>
              <w:left w:val="single" w:color="auto" w:sz="4" w:space="0"/>
              <w:bottom w:val="single" w:color="auto" w:sz="4" w:space="0"/>
              <w:right w:val="single" w:color="auto" w:sz="4" w:space="0"/>
            </w:tcBorders>
            <w:noWrap w:val="0"/>
            <w:vAlign w:val="center"/>
          </w:tcPr>
          <w:p w14:paraId="0B432E19">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生产商、产地</w:t>
            </w:r>
          </w:p>
        </w:tc>
        <w:tc>
          <w:tcPr>
            <w:tcW w:w="910" w:type="dxa"/>
            <w:tcBorders>
              <w:top w:val="single" w:color="auto" w:sz="4" w:space="0"/>
              <w:left w:val="single" w:color="auto" w:sz="4" w:space="0"/>
              <w:bottom w:val="single" w:color="auto" w:sz="4" w:space="0"/>
              <w:right w:val="single" w:color="auto" w:sz="4" w:space="0"/>
            </w:tcBorders>
            <w:noWrap w:val="0"/>
            <w:vAlign w:val="center"/>
          </w:tcPr>
          <w:p w14:paraId="7196FE55">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数量</w:t>
            </w:r>
          </w:p>
        </w:tc>
        <w:tc>
          <w:tcPr>
            <w:tcW w:w="786" w:type="dxa"/>
            <w:tcBorders>
              <w:top w:val="single" w:color="auto" w:sz="4" w:space="0"/>
              <w:left w:val="single" w:color="auto" w:sz="4" w:space="0"/>
              <w:bottom w:val="single" w:color="auto" w:sz="4" w:space="0"/>
              <w:right w:val="single" w:color="auto" w:sz="4" w:space="0"/>
            </w:tcBorders>
            <w:noWrap w:val="0"/>
            <w:vAlign w:val="center"/>
          </w:tcPr>
          <w:p w14:paraId="0DCBD845">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单位</w:t>
            </w:r>
          </w:p>
        </w:tc>
        <w:tc>
          <w:tcPr>
            <w:tcW w:w="1236" w:type="dxa"/>
            <w:tcBorders>
              <w:top w:val="single" w:color="auto" w:sz="4" w:space="0"/>
              <w:left w:val="single" w:color="auto" w:sz="4" w:space="0"/>
              <w:bottom w:val="single" w:color="auto" w:sz="4" w:space="0"/>
              <w:right w:val="single" w:color="auto" w:sz="4" w:space="0"/>
            </w:tcBorders>
            <w:noWrap w:val="0"/>
            <w:vAlign w:val="center"/>
          </w:tcPr>
          <w:p w14:paraId="2497235C">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单价</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lang w:eastAsia="zh-CN"/>
              </w:rPr>
              <w:t>）</w:t>
            </w:r>
          </w:p>
        </w:tc>
        <w:tc>
          <w:tcPr>
            <w:tcW w:w="1236" w:type="dxa"/>
            <w:tcBorders>
              <w:top w:val="single" w:color="auto" w:sz="4" w:space="0"/>
              <w:left w:val="single" w:color="auto" w:sz="4" w:space="0"/>
              <w:bottom w:val="single" w:color="auto" w:sz="4" w:space="0"/>
              <w:right w:val="single" w:color="auto" w:sz="4" w:space="0"/>
            </w:tcBorders>
            <w:noWrap w:val="0"/>
            <w:vAlign w:val="center"/>
          </w:tcPr>
          <w:p w14:paraId="6E8502DC">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总价</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lang w:eastAsia="zh-CN"/>
              </w:rPr>
              <w:t>）</w:t>
            </w:r>
          </w:p>
        </w:tc>
      </w:tr>
      <w:tr w14:paraId="4473DFE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1706" w:type="dxa"/>
            <w:tcBorders>
              <w:top w:val="single" w:color="auto" w:sz="4" w:space="0"/>
              <w:left w:val="single" w:color="auto" w:sz="4" w:space="0"/>
              <w:bottom w:val="single" w:color="auto" w:sz="4" w:space="0"/>
              <w:right w:val="single" w:color="auto" w:sz="4" w:space="0"/>
            </w:tcBorders>
            <w:noWrap w:val="0"/>
            <w:vAlign w:val="top"/>
          </w:tcPr>
          <w:p w14:paraId="67082202">
            <w:pPr>
              <w:spacing w:line="360" w:lineRule="auto"/>
              <w:rPr>
                <w:rFonts w:hint="eastAsia" w:ascii="宋体" w:hAnsi="宋体" w:eastAsia="宋体" w:cs="宋体"/>
                <w:color w:val="auto"/>
                <w:sz w:val="24"/>
                <w:szCs w:val="24"/>
              </w:rPr>
            </w:pPr>
          </w:p>
        </w:tc>
        <w:tc>
          <w:tcPr>
            <w:tcW w:w="1715" w:type="dxa"/>
            <w:tcBorders>
              <w:top w:val="single" w:color="auto" w:sz="4" w:space="0"/>
              <w:left w:val="single" w:color="auto" w:sz="4" w:space="0"/>
              <w:bottom w:val="single" w:color="auto" w:sz="4" w:space="0"/>
              <w:right w:val="single" w:color="auto" w:sz="4" w:space="0"/>
            </w:tcBorders>
            <w:noWrap w:val="0"/>
            <w:vAlign w:val="top"/>
          </w:tcPr>
          <w:p w14:paraId="0EC20637">
            <w:pPr>
              <w:spacing w:line="360" w:lineRule="auto"/>
              <w:rPr>
                <w:rFonts w:hint="eastAsia" w:ascii="宋体" w:hAnsi="宋体" w:eastAsia="宋体" w:cs="宋体"/>
                <w:color w:val="auto"/>
                <w:sz w:val="24"/>
                <w:szCs w:val="24"/>
              </w:rPr>
            </w:pPr>
          </w:p>
        </w:tc>
        <w:tc>
          <w:tcPr>
            <w:tcW w:w="1847" w:type="dxa"/>
            <w:tcBorders>
              <w:top w:val="single" w:color="auto" w:sz="4" w:space="0"/>
              <w:left w:val="single" w:color="auto" w:sz="4" w:space="0"/>
              <w:bottom w:val="single" w:color="auto" w:sz="4" w:space="0"/>
              <w:right w:val="single" w:color="auto" w:sz="4" w:space="0"/>
            </w:tcBorders>
            <w:noWrap w:val="0"/>
            <w:vAlign w:val="top"/>
          </w:tcPr>
          <w:p w14:paraId="24EE6893">
            <w:pPr>
              <w:spacing w:line="360" w:lineRule="auto"/>
              <w:rPr>
                <w:rFonts w:hint="eastAsia" w:ascii="宋体" w:hAnsi="宋体" w:eastAsia="宋体" w:cs="宋体"/>
                <w:color w:val="auto"/>
                <w:sz w:val="24"/>
                <w:szCs w:val="24"/>
              </w:rPr>
            </w:pPr>
          </w:p>
        </w:tc>
        <w:tc>
          <w:tcPr>
            <w:tcW w:w="910" w:type="dxa"/>
            <w:tcBorders>
              <w:top w:val="single" w:color="auto" w:sz="4" w:space="0"/>
              <w:left w:val="single" w:color="auto" w:sz="4" w:space="0"/>
              <w:bottom w:val="single" w:color="auto" w:sz="4" w:space="0"/>
              <w:right w:val="single" w:color="auto" w:sz="4" w:space="0"/>
            </w:tcBorders>
            <w:noWrap w:val="0"/>
            <w:vAlign w:val="top"/>
          </w:tcPr>
          <w:p w14:paraId="6EACE98A">
            <w:pPr>
              <w:spacing w:line="360" w:lineRule="auto"/>
              <w:rPr>
                <w:rFonts w:hint="eastAsia" w:ascii="宋体" w:hAnsi="宋体" w:eastAsia="宋体" w:cs="宋体"/>
                <w:color w:val="auto"/>
                <w:sz w:val="24"/>
                <w:szCs w:val="24"/>
              </w:rPr>
            </w:pPr>
          </w:p>
        </w:tc>
        <w:tc>
          <w:tcPr>
            <w:tcW w:w="786" w:type="dxa"/>
            <w:tcBorders>
              <w:top w:val="single" w:color="auto" w:sz="4" w:space="0"/>
              <w:left w:val="single" w:color="auto" w:sz="4" w:space="0"/>
              <w:bottom w:val="single" w:color="auto" w:sz="4" w:space="0"/>
              <w:right w:val="single" w:color="auto" w:sz="4" w:space="0"/>
            </w:tcBorders>
            <w:noWrap w:val="0"/>
            <w:vAlign w:val="top"/>
          </w:tcPr>
          <w:p w14:paraId="3EA6D4FC">
            <w:pPr>
              <w:spacing w:line="360" w:lineRule="auto"/>
              <w:rPr>
                <w:rFonts w:hint="eastAsia" w:ascii="宋体" w:hAnsi="宋体" w:eastAsia="宋体" w:cs="宋体"/>
                <w:color w:val="auto"/>
                <w:sz w:val="24"/>
                <w:szCs w:val="24"/>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51F95128">
            <w:pPr>
              <w:spacing w:line="360" w:lineRule="auto"/>
              <w:rPr>
                <w:rFonts w:hint="eastAsia" w:ascii="宋体" w:hAnsi="宋体" w:eastAsia="宋体" w:cs="宋体"/>
                <w:color w:val="auto"/>
                <w:sz w:val="24"/>
                <w:szCs w:val="24"/>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187E51F7">
            <w:pPr>
              <w:spacing w:line="360" w:lineRule="auto"/>
              <w:rPr>
                <w:rFonts w:hint="eastAsia" w:ascii="宋体" w:hAnsi="宋体" w:eastAsia="宋体" w:cs="宋体"/>
                <w:color w:val="auto"/>
                <w:sz w:val="24"/>
                <w:szCs w:val="24"/>
              </w:rPr>
            </w:pPr>
          </w:p>
        </w:tc>
      </w:tr>
      <w:tr w14:paraId="4B6ACD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1706" w:type="dxa"/>
            <w:tcBorders>
              <w:top w:val="single" w:color="auto" w:sz="4" w:space="0"/>
              <w:left w:val="single" w:color="auto" w:sz="4" w:space="0"/>
              <w:bottom w:val="single" w:color="auto" w:sz="4" w:space="0"/>
              <w:right w:val="single" w:color="auto" w:sz="4" w:space="0"/>
            </w:tcBorders>
            <w:noWrap w:val="0"/>
            <w:vAlign w:val="center"/>
          </w:tcPr>
          <w:p w14:paraId="16628391">
            <w:pPr>
              <w:spacing w:line="360" w:lineRule="auto"/>
              <w:rPr>
                <w:rFonts w:hint="eastAsia" w:ascii="宋体" w:hAnsi="宋体" w:eastAsia="宋体" w:cs="宋体"/>
                <w:color w:val="auto"/>
                <w:sz w:val="24"/>
                <w:szCs w:val="24"/>
              </w:rPr>
            </w:pPr>
          </w:p>
        </w:tc>
        <w:tc>
          <w:tcPr>
            <w:tcW w:w="1715" w:type="dxa"/>
            <w:tcBorders>
              <w:top w:val="single" w:color="auto" w:sz="4" w:space="0"/>
              <w:left w:val="single" w:color="auto" w:sz="4" w:space="0"/>
              <w:bottom w:val="single" w:color="auto" w:sz="4" w:space="0"/>
              <w:right w:val="single" w:color="auto" w:sz="4" w:space="0"/>
            </w:tcBorders>
            <w:noWrap w:val="0"/>
            <w:vAlign w:val="center"/>
          </w:tcPr>
          <w:p w14:paraId="12E1C171">
            <w:pPr>
              <w:spacing w:line="360" w:lineRule="auto"/>
              <w:rPr>
                <w:rFonts w:hint="eastAsia" w:ascii="宋体" w:hAnsi="宋体" w:eastAsia="宋体" w:cs="宋体"/>
                <w:color w:val="auto"/>
                <w:sz w:val="24"/>
                <w:szCs w:val="24"/>
              </w:rPr>
            </w:pPr>
          </w:p>
        </w:tc>
        <w:tc>
          <w:tcPr>
            <w:tcW w:w="1847" w:type="dxa"/>
            <w:tcBorders>
              <w:top w:val="single" w:color="auto" w:sz="4" w:space="0"/>
              <w:left w:val="single" w:color="auto" w:sz="4" w:space="0"/>
              <w:bottom w:val="single" w:color="auto" w:sz="4" w:space="0"/>
              <w:right w:val="single" w:color="auto" w:sz="4" w:space="0"/>
            </w:tcBorders>
            <w:noWrap w:val="0"/>
            <w:vAlign w:val="center"/>
          </w:tcPr>
          <w:p w14:paraId="687303C5">
            <w:pPr>
              <w:spacing w:line="360" w:lineRule="auto"/>
              <w:rPr>
                <w:rFonts w:hint="eastAsia" w:ascii="宋体" w:hAnsi="宋体" w:eastAsia="宋体" w:cs="宋体"/>
                <w:color w:val="auto"/>
                <w:sz w:val="24"/>
                <w:szCs w:val="24"/>
              </w:rPr>
            </w:pPr>
          </w:p>
        </w:tc>
        <w:tc>
          <w:tcPr>
            <w:tcW w:w="910" w:type="dxa"/>
            <w:tcBorders>
              <w:top w:val="single" w:color="auto" w:sz="4" w:space="0"/>
              <w:left w:val="single" w:color="auto" w:sz="4" w:space="0"/>
              <w:bottom w:val="single" w:color="auto" w:sz="4" w:space="0"/>
              <w:right w:val="single" w:color="auto" w:sz="4" w:space="0"/>
            </w:tcBorders>
            <w:noWrap w:val="0"/>
            <w:vAlign w:val="center"/>
          </w:tcPr>
          <w:p w14:paraId="4BC885D3">
            <w:pPr>
              <w:spacing w:line="360" w:lineRule="auto"/>
              <w:rPr>
                <w:rFonts w:hint="eastAsia" w:ascii="宋体" w:hAnsi="宋体" w:eastAsia="宋体" w:cs="宋体"/>
                <w:color w:val="auto"/>
                <w:sz w:val="24"/>
                <w:szCs w:val="24"/>
              </w:rPr>
            </w:pPr>
          </w:p>
        </w:tc>
        <w:tc>
          <w:tcPr>
            <w:tcW w:w="786" w:type="dxa"/>
            <w:tcBorders>
              <w:top w:val="single" w:color="auto" w:sz="4" w:space="0"/>
              <w:left w:val="single" w:color="auto" w:sz="4" w:space="0"/>
              <w:bottom w:val="single" w:color="auto" w:sz="4" w:space="0"/>
              <w:right w:val="single" w:color="auto" w:sz="4" w:space="0"/>
            </w:tcBorders>
            <w:noWrap w:val="0"/>
            <w:vAlign w:val="center"/>
          </w:tcPr>
          <w:p w14:paraId="598DFFF4">
            <w:pPr>
              <w:spacing w:line="360" w:lineRule="auto"/>
              <w:rPr>
                <w:rFonts w:hint="eastAsia" w:ascii="宋体" w:hAnsi="宋体" w:eastAsia="宋体" w:cs="宋体"/>
                <w:color w:val="auto"/>
                <w:sz w:val="24"/>
                <w:szCs w:val="24"/>
              </w:rPr>
            </w:pPr>
          </w:p>
        </w:tc>
        <w:tc>
          <w:tcPr>
            <w:tcW w:w="1236" w:type="dxa"/>
            <w:tcBorders>
              <w:top w:val="single" w:color="auto" w:sz="4" w:space="0"/>
              <w:left w:val="single" w:color="auto" w:sz="4" w:space="0"/>
              <w:bottom w:val="single" w:color="auto" w:sz="4" w:space="0"/>
              <w:right w:val="single" w:color="auto" w:sz="4" w:space="0"/>
            </w:tcBorders>
            <w:noWrap w:val="0"/>
            <w:vAlign w:val="center"/>
          </w:tcPr>
          <w:p w14:paraId="78163CF8">
            <w:pPr>
              <w:spacing w:line="360" w:lineRule="auto"/>
              <w:rPr>
                <w:rFonts w:hint="eastAsia" w:ascii="宋体" w:hAnsi="宋体" w:eastAsia="宋体" w:cs="宋体"/>
                <w:color w:val="auto"/>
                <w:sz w:val="24"/>
                <w:szCs w:val="24"/>
              </w:rPr>
            </w:pPr>
          </w:p>
        </w:tc>
        <w:tc>
          <w:tcPr>
            <w:tcW w:w="1236" w:type="dxa"/>
            <w:tcBorders>
              <w:top w:val="single" w:color="auto" w:sz="4" w:space="0"/>
              <w:left w:val="single" w:color="auto" w:sz="4" w:space="0"/>
              <w:bottom w:val="single" w:color="auto" w:sz="4" w:space="0"/>
              <w:right w:val="single" w:color="auto" w:sz="4" w:space="0"/>
            </w:tcBorders>
            <w:noWrap w:val="0"/>
            <w:vAlign w:val="center"/>
          </w:tcPr>
          <w:p w14:paraId="6D2834A9">
            <w:pPr>
              <w:spacing w:line="360" w:lineRule="auto"/>
              <w:rPr>
                <w:rFonts w:hint="eastAsia" w:ascii="宋体" w:hAnsi="宋体" w:eastAsia="宋体" w:cs="宋体"/>
                <w:color w:val="auto"/>
                <w:sz w:val="24"/>
                <w:szCs w:val="24"/>
              </w:rPr>
            </w:pPr>
          </w:p>
        </w:tc>
      </w:tr>
      <w:tr w14:paraId="298F652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6" w:hRule="atLeast"/>
          <w:jc w:val="center"/>
        </w:trPr>
        <w:tc>
          <w:tcPr>
            <w:tcW w:w="6964" w:type="dxa"/>
            <w:gridSpan w:val="5"/>
            <w:tcBorders>
              <w:top w:val="single" w:color="auto" w:sz="4" w:space="0"/>
              <w:left w:val="single" w:color="auto" w:sz="4" w:space="0"/>
              <w:bottom w:val="single" w:color="auto" w:sz="4" w:space="0"/>
              <w:right w:val="single" w:color="auto" w:sz="4" w:space="0"/>
            </w:tcBorders>
            <w:noWrap w:val="0"/>
            <w:vAlign w:val="center"/>
          </w:tcPr>
          <w:p w14:paraId="4CCCC8D1">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合计金额（大写）：</w:t>
            </w:r>
          </w:p>
        </w:tc>
        <w:tc>
          <w:tcPr>
            <w:tcW w:w="1236" w:type="dxa"/>
            <w:tcBorders>
              <w:top w:val="single" w:color="auto" w:sz="4" w:space="0"/>
              <w:left w:val="single" w:color="auto" w:sz="4" w:space="0"/>
              <w:bottom w:val="single" w:color="auto" w:sz="4" w:space="0"/>
              <w:right w:val="single" w:color="auto" w:sz="4" w:space="0"/>
            </w:tcBorders>
            <w:noWrap w:val="0"/>
            <w:vAlign w:val="center"/>
          </w:tcPr>
          <w:p w14:paraId="41DDDBD4">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合计</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lang w:eastAsia="zh-CN"/>
              </w:rPr>
              <w:t>）</w:t>
            </w:r>
          </w:p>
        </w:tc>
        <w:tc>
          <w:tcPr>
            <w:tcW w:w="1236" w:type="dxa"/>
            <w:tcBorders>
              <w:top w:val="single" w:color="auto" w:sz="4" w:space="0"/>
              <w:left w:val="single" w:color="auto" w:sz="4" w:space="0"/>
              <w:bottom w:val="single" w:color="auto" w:sz="4" w:space="0"/>
              <w:right w:val="single" w:color="auto" w:sz="4" w:space="0"/>
            </w:tcBorders>
            <w:noWrap w:val="0"/>
            <w:vAlign w:val="center"/>
          </w:tcPr>
          <w:p w14:paraId="4DA8AC03">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小写</w:t>
            </w:r>
          </w:p>
        </w:tc>
      </w:tr>
    </w:tbl>
    <w:p w14:paraId="55557793">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2、合同总额：</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元，是指</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到达西北大学指定地点、完成验收后的价格，其中已包含</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价格、包装运杂费（含保险）、工程费、安装调试费及相关费用等。</w:t>
      </w:r>
    </w:p>
    <w:p w14:paraId="4D716EB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3、合同总额为一次性包死价格，不受市场价格的变化和影响，在合同不发生变更时作为付款结算的依据。</w:t>
      </w:r>
    </w:p>
    <w:p w14:paraId="5051A005">
      <w:pPr>
        <w:spacing w:line="360" w:lineRule="auto"/>
        <w:rPr>
          <w:rFonts w:hint="eastAsia" w:ascii="宋体" w:hAnsi="宋体" w:eastAsia="宋体" w:cs="宋体"/>
          <w:b/>
          <w:color w:val="auto"/>
          <w:sz w:val="24"/>
          <w:szCs w:val="24"/>
        </w:rPr>
      </w:pPr>
      <w:r>
        <w:rPr>
          <w:rFonts w:hint="eastAsia" w:ascii="宋体" w:hAnsi="宋体" w:eastAsia="宋体" w:cs="宋体"/>
          <w:color w:val="auto"/>
          <w:sz w:val="24"/>
          <w:szCs w:val="24"/>
        </w:rPr>
        <w:t>二、</w:t>
      </w:r>
      <w:r>
        <w:rPr>
          <w:rFonts w:hint="eastAsia" w:ascii="宋体" w:hAnsi="宋体" w:eastAsia="宋体" w:cs="宋体"/>
          <w:b/>
          <w:color w:val="auto"/>
          <w:sz w:val="24"/>
          <w:szCs w:val="24"/>
        </w:rPr>
        <w:t>包装运输要求</w:t>
      </w:r>
    </w:p>
    <w:p w14:paraId="14A988C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的运输方式由乙方自行选择，但包装必须符合国家标准或行业标准，满足航空、铁路或公路运输以及货物装卸要求，保证使用人收到的是无任何损伤的货物。否则，因此造成的损失由乙方自行承担。</w:t>
      </w:r>
    </w:p>
    <w:p w14:paraId="2CB9923E">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三、交货时间及交货地点</w:t>
      </w:r>
    </w:p>
    <w:p w14:paraId="1BD8BEE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交货时间为本合同生效后</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天内到货，货到后</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日内安装调试交付使用。交货地点为西北大学××××学院（系）指定地点。</w:t>
      </w:r>
    </w:p>
    <w:p w14:paraId="3B91F730">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四、产品质量保证</w:t>
      </w:r>
    </w:p>
    <w:p w14:paraId="51C3D54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1、乙方提供的</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及配套产品，必须是合同规定厂家制造的、合格、全新、未曾使用的、且经过国家质检部门检验，并颁发了产品准销证的产品。</w:t>
      </w:r>
    </w:p>
    <w:p w14:paraId="63708C6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2、乙方提供的</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及配套产品必须等同于或优于合同技术指标要求，并能按国家标准或行业标准供应、检测、调试，确保产品技术指标满足使用要求。</w:t>
      </w:r>
    </w:p>
    <w:p w14:paraId="421653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3、产品质量保证期为</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验收合格后</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年。质保期内，乙方对所供</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免费进行质保和服务。</w:t>
      </w:r>
    </w:p>
    <w:p w14:paraId="652A59C1">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五、技术服务承诺</w:t>
      </w:r>
    </w:p>
    <w:p w14:paraId="6A32C4B9">
      <w:pPr>
        <w:pStyle w:val="3"/>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1、乙方负责提供</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相应的技术资料，包括产品合格证、产品保修单、安装使用及维护说明书以及运输装箱清单等。</w:t>
      </w:r>
    </w:p>
    <w:p w14:paraId="5B019E37">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2、人员培训：乙方免费为甲方培训</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使用人员，培训内容包括：</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操作、维护、简单维修等。</w:t>
      </w:r>
    </w:p>
    <w:p w14:paraId="103C544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3、售后服务：质保期内乙方对甲方提出的服务响应不得超出24小时。</w:t>
      </w:r>
    </w:p>
    <w:p w14:paraId="5EF11519">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六、验收方法及标准</w:t>
      </w:r>
    </w:p>
    <w:p w14:paraId="25650164">
      <w:pPr>
        <w:pStyle w:val="3"/>
        <w:spacing w:line="360" w:lineRule="auto"/>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1、验收分初次开箱验收和学校最终验收两个阶段，以最终验收为准。</w:t>
      </w:r>
    </w:p>
    <w:p w14:paraId="4CAF7B63">
      <w:pPr>
        <w:pStyle w:val="3"/>
        <w:spacing w:line="360" w:lineRule="auto"/>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货物到货后，甲、乙双方共同开箱验收。在检查货物原产地、型号、规格、配置符合合同要求后，由乙方负责安装调试、甲方负责技术验收（乙方协助），验收以国内行业标准或合同文本货物供货配置清单中描述的有关技术要求为准。</w:t>
      </w:r>
    </w:p>
    <w:p w14:paraId="550954B3">
      <w:pPr>
        <w:pStyle w:val="3"/>
        <w:spacing w:line="360" w:lineRule="auto"/>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3、学校根据最终使用单位技术验收结果，组织有关专家进行货物的最终验收。</w:t>
      </w:r>
    </w:p>
    <w:p w14:paraId="756BEE90">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七、合同款项支付方式</w:t>
      </w:r>
    </w:p>
    <w:p w14:paraId="243CC7CD">
      <w:pPr>
        <w:pStyle w:val="3"/>
        <w:spacing w:line="360" w:lineRule="auto"/>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合同生效后，中标供应商开具合同金额等额银行保函，采购人收到银行保函正本后预付合同货款，待货物到达指定地点、安装调试验收合格后，采购人退还银行保函正本。</w:t>
      </w:r>
    </w:p>
    <w:p w14:paraId="6724B111">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八、违约责任</w:t>
      </w:r>
    </w:p>
    <w:p w14:paraId="5A2BBEEE">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1、合同生效后，甲乙双方应按合同规定认真履约。合同履约责任只涉及合同甲乙双方，不考虑第三方因素。</w:t>
      </w:r>
    </w:p>
    <w:p w14:paraId="3F9DA6F4">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2、除不可抗力原因外，如遇下列情况之一者，乙方所缴纳的合同履约保证金甲方有权不予退还，作为对甲方的赔偿：（1）合同签订后不能按合同时限要求供货或安装调试；（2）所供</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不合格、与合同不符；（3）不能按合同履约；（4）</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验收不合格。如乙方的合同履约保证金不足以弥补甲方损失时，甲方有权要求乙方继续承担赔偿责任</w:t>
      </w:r>
      <w:r>
        <w:rPr>
          <w:rFonts w:hint="eastAsia" w:ascii="宋体" w:hAnsi="宋体" w:eastAsia="宋体" w:cs="宋体"/>
          <w:color w:val="auto"/>
          <w:sz w:val="24"/>
          <w:szCs w:val="24"/>
          <w:lang w:eastAsia="zh-CN"/>
        </w:rPr>
        <w:t>。</w:t>
      </w:r>
    </w:p>
    <w:p w14:paraId="5C9F70D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3、乙方对所供产品出现的问题推委、拖延，24小时未作出服务响应，应接受甲方的合理处罚。并且，甲方有权拒绝乙方以后参加学校竞标。</w:t>
      </w:r>
    </w:p>
    <w:p w14:paraId="7487D31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4、合同履约过程中，甲方应积极配合乙方进行</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验收以及验收前的外围配套等工作。否则，因此导致</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不能按期验收时，不能追究乙方责任；正常情况下应在</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验收合格后15天内按规定向乙方付款，最长时间不能超过30天。否则，每超过一周应向乙方支付合同应付款3‰的滞纳金。</w:t>
      </w:r>
    </w:p>
    <w:p w14:paraId="332D21E0">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九</w:t>
      </w:r>
      <w:r>
        <w:rPr>
          <w:rFonts w:hint="eastAsia" w:ascii="宋体" w:hAnsi="宋体" w:eastAsia="宋体" w:cs="宋体"/>
          <w:b/>
          <w:color w:val="auto"/>
          <w:sz w:val="24"/>
          <w:szCs w:val="24"/>
        </w:rPr>
        <w:t>、其它事项</w:t>
      </w:r>
    </w:p>
    <w:p w14:paraId="453734B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1、合同经双方签字盖章后生效。本合同一式柒份，甲方执伍份（</w:t>
      </w:r>
      <w:r>
        <w:rPr>
          <w:rFonts w:hint="eastAsia" w:ascii="宋体" w:hAnsi="宋体" w:eastAsia="宋体" w:cs="宋体"/>
          <w:color w:val="auto"/>
          <w:sz w:val="24"/>
          <w:szCs w:val="24"/>
          <w:lang w:val="en-US" w:eastAsia="zh-CN"/>
        </w:rPr>
        <w:t>采招</w:t>
      </w:r>
      <w:r>
        <w:rPr>
          <w:rFonts w:hint="eastAsia" w:ascii="宋体" w:hAnsi="宋体" w:eastAsia="宋体" w:cs="宋体"/>
          <w:color w:val="auto"/>
          <w:sz w:val="24"/>
          <w:szCs w:val="24"/>
        </w:rPr>
        <w:t>办1份，财</w:t>
      </w:r>
      <w:r>
        <w:rPr>
          <w:rFonts w:hint="eastAsia" w:ascii="宋体" w:hAnsi="宋体" w:eastAsia="宋体" w:cs="宋体"/>
          <w:color w:val="auto"/>
          <w:sz w:val="24"/>
          <w:szCs w:val="24"/>
          <w:lang w:val="en-US" w:eastAsia="zh-CN"/>
        </w:rPr>
        <w:t>资部</w:t>
      </w:r>
      <w:r>
        <w:rPr>
          <w:rFonts w:hint="eastAsia" w:ascii="宋体" w:hAnsi="宋体" w:eastAsia="宋体" w:cs="宋体"/>
          <w:color w:val="auto"/>
          <w:sz w:val="24"/>
          <w:szCs w:val="24"/>
        </w:rPr>
        <w:t>2份，使用单位2份），乙方执壹份，招标公司执壹份，执行完毕后自行失效。</w:t>
      </w:r>
    </w:p>
    <w:p w14:paraId="76BA127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2、下述文件为本合同的一部分，并与本合同一起阅读和解释，且具有同等法律效力：</w:t>
      </w:r>
    </w:p>
    <w:p w14:paraId="6ABEC8F1">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①合同附件1：产品功能要求、技术规格及配置详单；</w:t>
      </w:r>
    </w:p>
    <w:p w14:paraId="031C925A">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②合同附件2：补充条款（如果有）；</w:t>
      </w:r>
    </w:p>
    <w:p w14:paraId="57B8D70F">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③合同附件3：澄清函及最终报价和承诺</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如果有）</w:t>
      </w:r>
      <w:r>
        <w:rPr>
          <w:rFonts w:hint="eastAsia" w:ascii="宋体" w:hAnsi="宋体" w:eastAsia="宋体" w:cs="宋体"/>
          <w:color w:val="auto"/>
          <w:sz w:val="24"/>
          <w:szCs w:val="24"/>
        </w:rPr>
        <w:t>；</w:t>
      </w:r>
    </w:p>
    <w:p w14:paraId="30BBB764">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④招标文件；</w:t>
      </w:r>
    </w:p>
    <w:p w14:paraId="6B39A58E">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⑤投标文件；</w:t>
      </w:r>
    </w:p>
    <w:p w14:paraId="0795184F">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⑥中标通知书。</w:t>
      </w:r>
    </w:p>
    <w:p w14:paraId="372A86D3">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3、在本合同执行过程中，甲、乙双方协商签订的补充合同与原合同具有同等法律效力。</w:t>
      </w:r>
    </w:p>
    <w:p w14:paraId="156186EE">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4、未尽事宜，双方协商解决。</w:t>
      </w:r>
    </w:p>
    <w:p w14:paraId="35059AE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5、合同签订地点：西安.西北大学</w:t>
      </w:r>
    </w:p>
    <w:p w14:paraId="42E38EF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6、合同签订时间：</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3129A57B">
      <w:pPr>
        <w:spacing w:line="360" w:lineRule="auto"/>
        <w:ind w:firstLine="555"/>
        <w:rPr>
          <w:rFonts w:hint="eastAsia" w:ascii="宋体" w:hAnsi="宋体" w:eastAsia="宋体" w:cs="宋体"/>
          <w:b/>
          <w:color w:val="auto"/>
          <w:sz w:val="24"/>
          <w:szCs w:val="24"/>
        </w:rPr>
      </w:pPr>
    </w:p>
    <w:p w14:paraId="680A452E">
      <w:pPr>
        <w:spacing w:line="360" w:lineRule="auto"/>
        <w:ind w:firstLine="555"/>
        <w:rPr>
          <w:rFonts w:hint="eastAsia" w:ascii="宋体" w:hAnsi="宋体" w:eastAsia="宋体" w:cs="宋体"/>
          <w:b/>
          <w:color w:val="auto"/>
          <w:sz w:val="24"/>
          <w:szCs w:val="24"/>
        </w:rPr>
      </w:pPr>
      <w:r>
        <w:rPr>
          <w:rFonts w:hint="eastAsia" w:ascii="宋体" w:hAnsi="宋体" w:eastAsia="宋体" w:cs="宋体"/>
          <w:b/>
          <w:color w:val="auto"/>
          <w:sz w:val="24"/>
          <w:szCs w:val="24"/>
        </w:rPr>
        <w:t>甲    方                                      乙    方（全填）</w:t>
      </w:r>
    </w:p>
    <w:p w14:paraId="45B8EE31">
      <w:pPr>
        <w:spacing w:line="360" w:lineRule="auto"/>
        <w:ind w:firstLine="560"/>
        <w:rPr>
          <w:rFonts w:hint="eastAsia" w:ascii="宋体" w:hAnsi="宋体" w:eastAsia="宋体" w:cs="宋体"/>
          <w:b/>
          <w:color w:val="auto"/>
          <w:sz w:val="24"/>
          <w:szCs w:val="24"/>
        </w:rPr>
      </w:pPr>
      <w:r>
        <w:rPr>
          <w:rFonts w:hint="eastAsia" w:ascii="宋体" w:hAnsi="宋体" w:eastAsia="宋体" w:cs="宋体"/>
          <w:color w:val="auto"/>
          <w:sz w:val="24"/>
          <w:szCs w:val="24"/>
        </w:rPr>
        <w:t>单位名称（盖章）：                            单位名称（盖章）：</w:t>
      </w:r>
    </w:p>
    <w:p w14:paraId="1764A48C">
      <w:pPr>
        <w:spacing w:line="360" w:lineRule="auto"/>
        <w:ind w:firstLine="540"/>
        <w:rPr>
          <w:rFonts w:hint="eastAsia" w:ascii="宋体" w:hAnsi="宋体" w:eastAsia="宋体" w:cs="宋体"/>
          <w:color w:val="auto"/>
          <w:sz w:val="24"/>
          <w:szCs w:val="24"/>
        </w:rPr>
      </w:pPr>
      <w:r>
        <w:rPr>
          <w:rFonts w:hint="eastAsia" w:ascii="宋体" w:hAnsi="宋体" w:eastAsia="宋体" w:cs="宋体"/>
          <w:color w:val="auto"/>
          <w:sz w:val="24"/>
          <w:szCs w:val="24"/>
        </w:rPr>
        <w:t>地    址：                                    地    址：</w:t>
      </w:r>
    </w:p>
    <w:p w14:paraId="4669C9E6">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法定代表人：                                  法定代表人：（盖章/签字）</w:t>
      </w:r>
    </w:p>
    <w:p w14:paraId="753052B3">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委托代理人：（签字）                          委托代理人：（签字）</w:t>
      </w:r>
    </w:p>
    <w:p w14:paraId="16624C65">
      <w:pPr>
        <w:spacing w:line="360" w:lineRule="auto"/>
        <w:ind w:firstLine="540"/>
        <w:rPr>
          <w:rFonts w:hint="eastAsia" w:ascii="宋体" w:hAnsi="宋体" w:eastAsia="宋体" w:cs="宋体"/>
          <w:color w:val="auto"/>
          <w:sz w:val="24"/>
          <w:szCs w:val="24"/>
        </w:rPr>
      </w:pPr>
      <w:r>
        <w:rPr>
          <w:rFonts w:hint="eastAsia" w:ascii="宋体" w:hAnsi="宋体" w:eastAsia="宋体" w:cs="宋体"/>
          <w:color w:val="auto"/>
          <w:sz w:val="24"/>
          <w:szCs w:val="24"/>
        </w:rPr>
        <w:t>电话：　　　　　　　　　　　　　　　　　　　　电话：</w:t>
      </w:r>
    </w:p>
    <w:p w14:paraId="7F8F6FE3">
      <w:pPr>
        <w:spacing w:line="360" w:lineRule="auto"/>
        <w:ind w:firstLine="540"/>
        <w:rPr>
          <w:rFonts w:hint="eastAsia" w:ascii="宋体" w:hAnsi="宋体" w:eastAsia="宋体" w:cs="宋体"/>
          <w:color w:val="auto"/>
          <w:sz w:val="24"/>
          <w:szCs w:val="24"/>
        </w:rPr>
      </w:pPr>
      <w:r>
        <w:rPr>
          <w:rFonts w:hint="eastAsia" w:ascii="宋体" w:hAnsi="宋体" w:eastAsia="宋体" w:cs="宋体"/>
          <w:color w:val="auto"/>
          <w:sz w:val="24"/>
          <w:szCs w:val="24"/>
        </w:rPr>
        <w:t>传真：                                    　　传真：</w:t>
      </w:r>
    </w:p>
    <w:p w14:paraId="6F014474">
      <w:pPr>
        <w:spacing w:line="360"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rPr>
        <w:t>邮编：　　　　　　　　　　　　　　　　　　　　邮编：</w:t>
      </w:r>
    </w:p>
    <w:p w14:paraId="27750DE3">
      <w:pPr>
        <w:spacing w:line="360"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rPr>
        <w:t>　　　　　　　　　　　　　　　　　　　　　　　开户银行及账号：</w:t>
      </w:r>
    </w:p>
    <w:p w14:paraId="32006142">
      <w:pPr>
        <w:spacing w:line="360" w:lineRule="auto"/>
        <w:ind w:firstLine="570"/>
        <w:rPr>
          <w:rFonts w:hint="eastAsia" w:ascii="宋体" w:hAnsi="宋体" w:eastAsia="宋体" w:cs="宋体"/>
          <w:color w:val="auto"/>
          <w:sz w:val="24"/>
          <w:szCs w:val="24"/>
        </w:rPr>
      </w:pPr>
    </w:p>
    <w:p w14:paraId="39E266C7">
      <w:pPr>
        <w:spacing w:line="360" w:lineRule="auto"/>
        <w:ind w:firstLine="570"/>
        <w:rPr>
          <w:rFonts w:hint="eastAsia" w:ascii="宋体" w:hAnsi="宋体" w:eastAsia="宋体" w:cs="宋体"/>
          <w:color w:val="auto"/>
          <w:sz w:val="24"/>
          <w:szCs w:val="24"/>
        </w:rPr>
      </w:pPr>
    </w:p>
    <w:p w14:paraId="56BE17BB">
      <w:pPr>
        <w:spacing w:line="360" w:lineRule="auto"/>
        <w:ind w:firstLine="560"/>
        <w:rPr>
          <w:rFonts w:hint="eastAsia" w:ascii="宋体" w:hAnsi="宋体" w:eastAsia="宋体" w:cs="宋体"/>
          <w:b/>
          <w:bCs/>
          <w:color w:val="auto"/>
          <w:sz w:val="24"/>
          <w:szCs w:val="24"/>
        </w:rPr>
      </w:pPr>
      <w:r>
        <w:rPr>
          <w:rFonts w:hint="eastAsia" w:ascii="宋体" w:hAnsi="宋体" w:eastAsia="宋体" w:cs="宋体"/>
          <w:b/>
          <w:bCs/>
          <w:color w:val="auto"/>
          <w:sz w:val="24"/>
          <w:szCs w:val="24"/>
        </w:rPr>
        <w:t>招标代理机构</w:t>
      </w:r>
      <w:r>
        <w:rPr>
          <w:rFonts w:hint="eastAsia" w:ascii="宋体" w:hAnsi="宋体" w:eastAsia="宋体" w:cs="宋体"/>
          <w:b/>
          <w:bCs/>
          <w:color w:val="auto"/>
          <w:sz w:val="24"/>
          <w:szCs w:val="24"/>
          <w:lang w:val="en-US" w:eastAsia="zh-CN"/>
        </w:rPr>
        <w:t>名称</w:t>
      </w:r>
      <w:r>
        <w:rPr>
          <w:rFonts w:hint="eastAsia" w:ascii="宋体" w:hAnsi="宋体" w:eastAsia="宋体" w:cs="宋体"/>
          <w:b/>
          <w:bCs/>
          <w:color w:val="auto"/>
          <w:sz w:val="24"/>
          <w:szCs w:val="24"/>
        </w:rPr>
        <w:t>：</w:t>
      </w:r>
    </w:p>
    <w:p w14:paraId="514795AB">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联系人:</w:t>
      </w:r>
    </w:p>
    <w:p w14:paraId="7E1D07CB">
      <w:pPr>
        <w:spacing w:line="360" w:lineRule="auto"/>
        <w:ind w:firstLine="56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联系电话：</w:t>
      </w:r>
    </w:p>
    <w:p w14:paraId="05A59DE8">
      <w:pP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br w:type="page"/>
      </w:r>
    </w:p>
    <w:p w14:paraId="1D2F4144">
      <w:pPr>
        <w:spacing w:line="360" w:lineRule="auto"/>
        <w:jc w:val="center"/>
        <w:rPr>
          <w:rFonts w:hint="eastAsia" w:ascii="宋体" w:hAnsi="宋体" w:eastAsia="宋体" w:cs="宋体"/>
          <w:color w:val="auto"/>
          <w:sz w:val="32"/>
        </w:rPr>
      </w:pPr>
      <w:r>
        <w:rPr>
          <w:rFonts w:hint="eastAsia" w:ascii="宋体" w:hAnsi="宋体" w:eastAsia="宋体" w:cs="宋体"/>
          <w:color w:val="auto"/>
          <w:sz w:val="32"/>
          <w:lang w:val="en-US" w:eastAsia="zh-CN"/>
        </w:rPr>
        <w:t>西北大学</w:t>
      </w:r>
      <w:r>
        <w:rPr>
          <w:rFonts w:hint="eastAsia" w:ascii="宋体" w:hAnsi="宋体" w:eastAsia="宋体" w:cs="宋体"/>
          <w:color w:val="auto"/>
          <w:sz w:val="32"/>
        </w:rPr>
        <w:t>购货合同</w:t>
      </w:r>
    </w:p>
    <w:p w14:paraId="44C7A7A6">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（进口合同模板）</w:t>
      </w:r>
    </w:p>
    <w:p w14:paraId="245A6DF4">
      <w:pPr>
        <w:spacing w:line="360" w:lineRule="auto"/>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特别说明：以下内容只作为合同基本条款，在签订具体项目购货合同时，请根据项目实际情况再签订技术协议作为合同的附件。</w:t>
      </w:r>
    </w:p>
    <w:p w14:paraId="3A3B9BC8">
      <w:pPr>
        <w:bidi w:val="0"/>
        <w:rPr>
          <w:rFonts w:hint="eastAsia"/>
          <w:color w:val="auto"/>
          <w:sz w:val="24"/>
          <w:szCs w:val="24"/>
        </w:rPr>
      </w:pPr>
    </w:p>
    <w:p w14:paraId="59ED4DF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根据《中华人民共和国政府采购法》、《中华人民共和国民法典》及有关法律规定，遵循平等、自愿、公平和诚实信用的原则，西北大学（甲方）与××××公司（乙方）就西北大学××××学院（系）购置的××××等</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（招标编号：</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）经双方协商达成如下技术合同条款：</w:t>
      </w:r>
    </w:p>
    <w:p w14:paraId="38C15FB2">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一、合同内容</w:t>
      </w:r>
    </w:p>
    <w:p w14:paraId="485D113F">
      <w:pPr>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color w:val="auto"/>
          <w:sz w:val="24"/>
          <w:szCs w:val="24"/>
        </w:rPr>
        <w:t>乙方按本合同中确定的</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名称、型号与规格、产地、数量及配套内容进行供货；乙方按时将</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运送到甲方指定的地点，负责</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的安装与调试，达到正常使用；乙方负责为甲方培训操作、维护人员，质保期内负责指导</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的操作使用和保养维修，做好售后服务工作。甲方在乙方完成合同明确规定的责任和义务后，按合同要求付给乙方相应的货款。</w:t>
      </w:r>
    </w:p>
    <w:p w14:paraId="40C8FE17">
      <w:pPr>
        <w:numPr>
          <w:ilvl w:val="0"/>
          <w:numId w:val="1"/>
        </w:num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购置清单（人民币）</w:t>
      </w:r>
    </w:p>
    <w:tbl>
      <w:tblPr>
        <w:tblStyle w:val="4"/>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62"/>
        <w:gridCol w:w="1606"/>
        <w:gridCol w:w="1496"/>
        <w:gridCol w:w="748"/>
        <w:gridCol w:w="748"/>
        <w:gridCol w:w="1198"/>
        <w:gridCol w:w="1178"/>
      </w:tblGrid>
      <w:tr w14:paraId="2E4857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86" w:hRule="atLeast"/>
        </w:trPr>
        <w:tc>
          <w:tcPr>
            <w:tcW w:w="1762" w:type="dxa"/>
            <w:tcBorders>
              <w:top w:val="single" w:color="auto" w:sz="4" w:space="0"/>
              <w:left w:val="single" w:color="auto" w:sz="4" w:space="0"/>
              <w:bottom w:val="single" w:color="auto" w:sz="4" w:space="0"/>
              <w:right w:val="single" w:color="auto" w:sz="4" w:space="0"/>
            </w:tcBorders>
            <w:noWrap w:val="0"/>
            <w:vAlign w:val="center"/>
          </w:tcPr>
          <w:p w14:paraId="2B93A7BF">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名称</w:t>
            </w:r>
          </w:p>
        </w:tc>
        <w:tc>
          <w:tcPr>
            <w:tcW w:w="1606" w:type="dxa"/>
            <w:tcBorders>
              <w:top w:val="single" w:color="auto" w:sz="4" w:space="0"/>
              <w:left w:val="single" w:color="auto" w:sz="4" w:space="0"/>
              <w:bottom w:val="single" w:color="auto" w:sz="4" w:space="0"/>
              <w:right w:val="single" w:color="auto" w:sz="4" w:space="0"/>
            </w:tcBorders>
            <w:noWrap w:val="0"/>
            <w:vAlign w:val="center"/>
          </w:tcPr>
          <w:p w14:paraId="249C4A15">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型号与规格</w:t>
            </w:r>
          </w:p>
        </w:tc>
        <w:tc>
          <w:tcPr>
            <w:tcW w:w="1496" w:type="dxa"/>
            <w:tcBorders>
              <w:top w:val="single" w:color="auto" w:sz="4" w:space="0"/>
              <w:left w:val="single" w:color="auto" w:sz="4" w:space="0"/>
              <w:bottom w:val="single" w:color="auto" w:sz="4" w:space="0"/>
              <w:right w:val="single" w:color="auto" w:sz="4" w:space="0"/>
            </w:tcBorders>
            <w:noWrap w:val="0"/>
            <w:vAlign w:val="center"/>
          </w:tcPr>
          <w:p w14:paraId="2620B13F">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生产商、产地</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61048549">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数量</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5E3FE6E0">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单位</w:t>
            </w:r>
          </w:p>
        </w:tc>
        <w:tc>
          <w:tcPr>
            <w:tcW w:w="1198" w:type="dxa"/>
            <w:tcBorders>
              <w:top w:val="single" w:color="auto" w:sz="4" w:space="0"/>
              <w:left w:val="single" w:color="auto" w:sz="4" w:space="0"/>
              <w:bottom w:val="single" w:color="auto" w:sz="4" w:space="0"/>
              <w:right w:val="single" w:color="auto" w:sz="4" w:space="0"/>
            </w:tcBorders>
            <w:noWrap w:val="0"/>
            <w:vAlign w:val="center"/>
          </w:tcPr>
          <w:p w14:paraId="087571BC">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单价</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lang w:eastAsia="zh-CN"/>
              </w:rPr>
              <w:t>）</w:t>
            </w:r>
          </w:p>
        </w:tc>
        <w:tc>
          <w:tcPr>
            <w:tcW w:w="1178" w:type="dxa"/>
            <w:tcBorders>
              <w:top w:val="single" w:color="auto" w:sz="4" w:space="0"/>
              <w:left w:val="single" w:color="auto" w:sz="4" w:space="0"/>
              <w:bottom w:val="single" w:color="auto" w:sz="4" w:space="0"/>
              <w:right w:val="single" w:color="auto" w:sz="4" w:space="0"/>
            </w:tcBorders>
            <w:noWrap w:val="0"/>
            <w:vAlign w:val="center"/>
          </w:tcPr>
          <w:p w14:paraId="12E683D9">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总价</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lang w:eastAsia="zh-CN"/>
              </w:rPr>
              <w:t>）</w:t>
            </w:r>
          </w:p>
        </w:tc>
      </w:tr>
      <w:tr w14:paraId="55AE198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762" w:type="dxa"/>
            <w:tcBorders>
              <w:top w:val="single" w:color="auto" w:sz="4" w:space="0"/>
              <w:left w:val="single" w:color="auto" w:sz="4" w:space="0"/>
              <w:bottom w:val="single" w:color="auto" w:sz="4" w:space="0"/>
              <w:right w:val="single" w:color="auto" w:sz="4" w:space="0"/>
            </w:tcBorders>
            <w:noWrap w:val="0"/>
            <w:vAlign w:val="top"/>
          </w:tcPr>
          <w:p w14:paraId="664728CE">
            <w:pPr>
              <w:spacing w:line="360" w:lineRule="auto"/>
              <w:rPr>
                <w:rFonts w:hint="eastAsia" w:ascii="宋体" w:hAnsi="宋体" w:eastAsia="宋体" w:cs="宋体"/>
                <w:color w:val="auto"/>
                <w:sz w:val="24"/>
                <w:szCs w:val="24"/>
              </w:rPr>
            </w:pPr>
          </w:p>
        </w:tc>
        <w:tc>
          <w:tcPr>
            <w:tcW w:w="1606" w:type="dxa"/>
            <w:tcBorders>
              <w:top w:val="single" w:color="auto" w:sz="4" w:space="0"/>
              <w:left w:val="single" w:color="auto" w:sz="4" w:space="0"/>
              <w:bottom w:val="single" w:color="auto" w:sz="4" w:space="0"/>
              <w:right w:val="single" w:color="auto" w:sz="4" w:space="0"/>
            </w:tcBorders>
            <w:noWrap w:val="0"/>
            <w:vAlign w:val="top"/>
          </w:tcPr>
          <w:p w14:paraId="6C892516">
            <w:pPr>
              <w:spacing w:line="360" w:lineRule="auto"/>
              <w:rPr>
                <w:rFonts w:hint="eastAsia" w:ascii="宋体" w:hAnsi="宋体" w:eastAsia="宋体" w:cs="宋体"/>
                <w:color w:val="auto"/>
                <w:sz w:val="24"/>
                <w:szCs w:val="24"/>
              </w:rPr>
            </w:pPr>
          </w:p>
        </w:tc>
        <w:tc>
          <w:tcPr>
            <w:tcW w:w="1496" w:type="dxa"/>
            <w:tcBorders>
              <w:top w:val="single" w:color="auto" w:sz="4" w:space="0"/>
              <w:left w:val="single" w:color="auto" w:sz="4" w:space="0"/>
              <w:bottom w:val="single" w:color="auto" w:sz="4" w:space="0"/>
              <w:right w:val="single" w:color="auto" w:sz="4" w:space="0"/>
            </w:tcBorders>
            <w:noWrap w:val="0"/>
            <w:vAlign w:val="top"/>
          </w:tcPr>
          <w:p w14:paraId="32D30753">
            <w:pPr>
              <w:spacing w:line="360" w:lineRule="auto"/>
              <w:rPr>
                <w:rFonts w:hint="eastAsia" w:ascii="宋体" w:hAnsi="宋体" w:eastAsia="宋体" w:cs="宋体"/>
                <w:color w:val="auto"/>
                <w:sz w:val="24"/>
                <w:szCs w:val="24"/>
              </w:rPr>
            </w:pPr>
          </w:p>
        </w:tc>
        <w:tc>
          <w:tcPr>
            <w:tcW w:w="748" w:type="dxa"/>
            <w:tcBorders>
              <w:top w:val="single" w:color="auto" w:sz="4" w:space="0"/>
              <w:left w:val="single" w:color="auto" w:sz="4" w:space="0"/>
              <w:bottom w:val="single" w:color="auto" w:sz="4" w:space="0"/>
              <w:right w:val="single" w:color="auto" w:sz="4" w:space="0"/>
            </w:tcBorders>
            <w:noWrap w:val="0"/>
            <w:vAlign w:val="top"/>
          </w:tcPr>
          <w:p w14:paraId="117E2214">
            <w:pPr>
              <w:spacing w:line="360" w:lineRule="auto"/>
              <w:rPr>
                <w:rFonts w:hint="eastAsia" w:ascii="宋体" w:hAnsi="宋体" w:eastAsia="宋体" w:cs="宋体"/>
                <w:color w:val="auto"/>
                <w:sz w:val="24"/>
                <w:szCs w:val="24"/>
              </w:rPr>
            </w:pPr>
          </w:p>
        </w:tc>
        <w:tc>
          <w:tcPr>
            <w:tcW w:w="748" w:type="dxa"/>
            <w:tcBorders>
              <w:top w:val="single" w:color="auto" w:sz="4" w:space="0"/>
              <w:left w:val="single" w:color="auto" w:sz="4" w:space="0"/>
              <w:bottom w:val="single" w:color="auto" w:sz="4" w:space="0"/>
              <w:right w:val="single" w:color="auto" w:sz="4" w:space="0"/>
            </w:tcBorders>
            <w:noWrap w:val="0"/>
            <w:vAlign w:val="top"/>
          </w:tcPr>
          <w:p w14:paraId="1A0CBC24">
            <w:pPr>
              <w:spacing w:line="360" w:lineRule="auto"/>
              <w:rPr>
                <w:rFonts w:hint="eastAsia" w:ascii="宋体" w:hAnsi="宋体" w:eastAsia="宋体" w:cs="宋体"/>
                <w:color w:val="auto"/>
                <w:sz w:val="24"/>
                <w:szCs w:val="24"/>
              </w:rPr>
            </w:pPr>
          </w:p>
        </w:tc>
        <w:tc>
          <w:tcPr>
            <w:tcW w:w="1198" w:type="dxa"/>
            <w:tcBorders>
              <w:top w:val="single" w:color="auto" w:sz="4" w:space="0"/>
              <w:left w:val="single" w:color="auto" w:sz="4" w:space="0"/>
              <w:bottom w:val="single" w:color="auto" w:sz="4" w:space="0"/>
              <w:right w:val="single" w:color="auto" w:sz="4" w:space="0"/>
            </w:tcBorders>
            <w:noWrap w:val="0"/>
            <w:vAlign w:val="top"/>
          </w:tcPr>
          <w:p w14:paraId="2F115EE6">
            <w:pPr>
              <w:spacing w:line="360" w:lineRule="auto"/>
              <w:rPr>
                <w:rFonts w:hint="eastAsia" w:ascii="宋体" w:hAnsi="宋体" w:eastAsia="宋体" w:cs="宋体"/>
                <w:color w:val="auto"/>
                <w:sz w:val="24"/>
                <w:szCs w:val="24"/>
              </w:rPr>
            </w:pPr>
          </w:p>
        </w:tc>
        <w:tc>
          <w:tcPr>
            <w:tcW w:w="1178" w:type="dxa"/>
            <w:tcBorders>
              <w:top w:val="single" w:color="auto" w:sz="4" w:space="0"/>
              <w:left w:val="single" w:color="auto" w:sz="4" w:space="0"/>
              <w:bottom w:val="single" w:color="auto" w:sz="4" w:space="0"/>
              <w:right w:val="single" w:color="auto" w:sz="4" w:space="0"/>
            </w:tcBorders>
            <w:noWrap w:val="0"/>
            <w:vAlign w:val="top"/>
          </w:tcPr>
          <w:p w14:paraId="36966856">
            <w:pPr>
              <w:spacing w:line="360" w:lineRule="auto"/>
              <w:rPr>
                <w:rFonts w:hint="eastAsia" w:ascii="宋体" w:hAnsi="宋体" w:eastAsia="宋体" w:cs="宋体"/>
                <w:color w:val="auto"/>
                <w:sz w:val="24"/>
                <w:szCs w:val="24"/>
              </w:rPr>
            </w:pPr>
          </w:p>
        </w:tc>
      </w:tr>
      <w:tr w14:paraId="5319531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762" w:type="dxa"/>
            <w:tcBorders>
              <w:top w:val="single" w:color="auto" w:sz="4" w:space="0"/>
              <w:left w:val="single" w:color="auto" w:sz="4" w:space="0"/>
              <w:bottom w:val="single" w:color="auto" w:sz="4" w:space="0"/>
              <w:right w:val="single" w:color="auto" w:sz="4" w:space="0"/>
            </w:tcBorders>
            <w:noWrap w:val="0"/>
            <w:vAlign w:val="center"/>
          </w:tcPr>
          <w:p w14:paraId="53C0FAC1">
            <w:pPr>
              <w:spacing w:line="360" w:lineRule="auto"/>
              <w:rPr>
                <w:rFonts w:hint="eastAsia" w:ascii="宋体" w:hAnsi="宋体" w:eastAsia="宋体" w:cs="宋体"/>
                <w:color w:val="auto"/>
                <w:sz w:val="24"/>
                <w:szCs w:val="24"/>
              </w:rPr>
            </w:pPr>
          </w:p>
        </w:tc>
        <w:tc>
          <w:tcPr>
            <w:tcW w:w="1606" w:type="dxa"/>
            <w:tcBorders>
              <w:top w:val="single" w:color="auto" w:sz="4" w:space="0"/>
              <w:left w:val="single" w:color="auto" w:sz="4" w:space="0"/>
              <w:bottom w:val="single" w:color="auto" w:sz="4" w:space="0"/>
              <w:right w:val="single" w:color="auto" w:sz="4" w:space="0"/>
            </w:tcBorders>
            <w:noWrap w:val="0"/>
            <w:vAlign w:val="center"/>
          </w:tcPr>
          <w:p w14:paraId="75D5C9F2">
            <w:pPr>
              <w:spacing w:line="360" w:lineRule="auto"/>
              <w:rPr>
                <w:rFonts w:hint="eastAsia" w:ascii="宋体" w:hAnsi="宋体" w:eastAsia="宋体" w:cs="宋体"/>
                <w:color w:val="auto"/>
                <w:sz w:val="24"/>
                <w:szCs w:val="24"/>
              </w:rPr>
            </w:pPr>
          </w:p>
        </w:tc>
        <w:tc>
          <w:tcPr>
            <w:tcW w:w="1496" w:type="dxa"/>
            <w:tcBorders>
              <w:top w:val="single" w:color="auto" w:sz="4" w:space="0"/>
              <w:left w:val="single" w:color="auto" w:sz="4" w:space="0"/>
              <w:bottom w:val="single" w:color="auto" w:sz="4" w:space="0"/>
              <w:right w:val="single" w:color="auto" w:sz="4" w:space="0"/>
            </w:tcBorders>
            <w:noWrap w:val="0"/>
            <w:vAlign w:val="center"/>
          </w:tcPr>
          <w:p w14:paraId="424C0351">
            <w:pPr>
              <w:spacing w:line="360" w:lineRule="auto"/>
              <w:rPr>
                <w:rFonts w:hint="eastAsia" w:ascii="宋体" w:hAnsi="宋体" w:eastAsia="宋体" w:cs="宋体"/>
                <w:color w:val="auto"/>
                <w:sz w:val="24"/>
                <w:szCs w:val="24"/>
              </w:rPr>
            </w:pPr>
          </w:p>
        </w:tc>
        <w:tc>
          <w:tcPr>
            <w:tcW w:w="748" w:type="dxa"/>
            <w:tcBorders>
              <w:top w:val="single" w:color="auto" w:sz="4" w:space="0"/>
              <w:left w:val="single" w:color="auto" w:sz="4" w:space="0"/>
              <w:bottom w:val="single" w:color="auto" w:sz="4" w:space="0"/>
              <w:right w:val="single" w:color="auto" w:sz="4" w:space="0"/>
            </w:tcBorders>
            <w:noWrap w:val="0"/>
            <w:vAlign w:val="center"/>
          </w:tcPr>
          <w:p w14:paraId="7173C2E7">
            <w:pPr>
              <w:spacing w:line="360" w:lineRule="auto"/>
              <w:rPr>
                <w:rFonts w:hint="eastAsia" w:ascii="宋体" w:hAnsi="宋体" w:eastAsia="宋体" w:cs="宋体"/>
                <w:color w:val="auto"/>
                <w:sz w:val="24"/>
                <w:szCs w:val="24"/>
              </w:rPr>
            </w:pPr>
          </w:p>
        </w:tc>
        <w:tc>
          <w:tcPr>
            <w:tcW w:w="748" w:type="dxa"/>
            <w:tcBorders>
              <w:top w:val="single" w:color="auto" w:sz="4" w:space="0"/>
              <w:left w:val="single" w:color="auto" w:sz="4" w:space="0"/>
              <w:bottom w:val="single" w:color="auto" w:sz="4" w:space="0"/>
              <w:right w:val="single" w:color="auto" w:sz="4" w:space="0"/>
            </w:tcBorders>
            <w:noWrap w:val="0"/>
            <w:vAlign w:val="center"/>
          </w:tcPr>
          <w:p w14:paraId="3B088650">
            <w:pPr>
              <w:spacing w:line="360" w:lineRule="auto"/>
              <w:rPr>
                <w:rFonts w:hint="eastAsia" w:ascii="宋体" w:hAnsi="宋体" w:eastAsia="宋体" w:cs="宋体"/>
                <w:color w:val="auto"/>
                <w:sz w:val="24"/>
                <w:szCs w:val="24"/>
              </w:rPr>
            </w:pPr>
          </w:p>
        </w:tc>
        <w:tc>
          <w:tcPr>
            <w:tcW w:w="1198" w:type="dxa"/>
            <w:tcBorders>
              <w:top w:val="single" w:color="auto" w:sz="4" w:space="0"/>
              <w:left w:val="single" w:color="auto" w:sz="4" w:space="0"/>
              <w:bottom w:val="single" w:color="auto" w:sz="4" w:space="0"/>
              <w:right w:val="single" w:color="auto" w:sz="4" w:space="0"/>
            </w:tcBorders>
            <w:noWrap w:val="0"/>
            <w:vAlign w:val="center"/>
          </w:tcPr>
          <w:p w14:paraId="67F23980">
            <w:pPr>
              <w:spacing w:line="360" w:lineRule="auto"/>
              <w:rPr>
                <w:rFonts w:hint="eastAsia" w:ascii="宋体" w:hAnsi="宋体" w:eastAsia="宋体" w:cs="宋体"/>
                <w:color w:val="auto"/>
                <w:sz w:val="24"/>
                <w:szCs w:val="24"/>
              </w:rPr>
            </w:pPr>
          </w:p>
        </w:tc>
        <w:tc>
          <w:tcPr>
            <w:tcW w:w="1178" w:type="dxa"/>
            <w:tcBorders>
              <w:top w:val="single" w:color="auto" w:sz="4" w:space="0"/>
              <w:left w:val="single" w:color="auto" w:sz="4" w:space="0"/>
              <w:bottom w:val="single" w:color="auto" w:sz="4" w:space="0"/>
              <w:right w:val="single" w:color="auto" w:sz="4" w:space="0"/>
            </w:tcBorders>
            <w:noWrap w:val="0"/>
            <w:vAlign w:val="center"/>
          </w:tcPr>
          <w:p w14:paraId="63776D57">
            <w:pPr>
              <w:spacing w:line="360" w:lineRule="auto"/>
              <w:rPr>
                <w:rFonts w:hint="eastAsia" w:ascii="宋体" w:hAnsi="宋体" w:eastAsia="宋体" w:cs="宋体"/>
                <w:color w:val="auto"/>
                <w:sz w:val="24"/>
                <w:szCs w:val="24"/>
              </w:rPr>
            </w:pPr>
          </w:p>
        </w:tc>
      </w:tr>
      <w:tr w14:paraId="45A9133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96" w:hRule="atLeast"/>
        </w:trPr>
        <w:tc>
          <w:tcPr>
            <w:tcW w:w="6360" w:type="dxa"/>
            <w:gridSpan w:val="5"/>
            <w:tcBorders>
              <w:top w:val="single" w:color="auto" w:sz="4" w:space="0"/>
              <w:left w:val="single" w:color="auto" w:sz="4" w:space="0"/>
              <w:bottom w:val="single" w:color="auto" w:sz="4" w:space="0"/>
              <w:right w:val="single" w:color="auto" w:sz="4" w:space="0"/>
            </w:tcBorders>
            <w:noWrap w:val="0"/>
            <w:vAlign w:val="center"/>
          </w:tcPr>
          <w:p w14:paraId="50F1316B">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合计金额（大写）：</w:t>
            </w:r>
          </w:p>
        </w:tc>
        <w:tc>
          <w:tcPr>
            <w:tcW w:w="1198" w:type="dxa"/>
            <w:tcBorders>
              <w:top w:val="single" w:color="auto" w:sz="4" w:space="0"/>
              <w:left w:val="single" w:color="auto" w:sz="4" w:space="0"/>
              <w:bottom w:val="single" w:color="auto" w:sz="4" w:space="0"/>
              <w:right w:val="single" w:color="auto" w:sz="4" w:space="0"/>
            </w:tcBorders>
            <w:noWrap w:val="0"/>
            <w:vAlign w:val="center"/>
          </w:tcPr>
          <w:p w14:paraId="3EAD5370">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小写</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lang w:eastAsia="zh-CN"/>
              </w:rPr>
              <w:t>）</w:t>
            </w:r>
          </w:p>
        </w:tc>
        <w:tc>
          <w:tcPr>
            <w:tcW w:w="1178" w:type="dxa"/>
            <w:tcBorders>
              <w:top w:val="single" w:color="auto" w:sz="4" w:space="0"/>
              <w:left w:val="single" w:color="auto" w:sz="4" w:space="0"/>
              <w:bottom w:val="single" w:color="auto" w:sz="4" w:space="0"/>
              <w:right w:val="single" w:color="auto" w:sz="4" w:space="0"/>
            </w:tcBorders>
            <w:noWrap w:val="0"/>
            <w:vAlign w:val="center"/>
          </w:tcPr>
          <w:p w14:paraId="1AEB3E36">
            <w:pPr>
              <w:spacing w:line="360" w:lineRule="auto"/>
              <w:rPr>
                <w:rFonts w:hint="eastAsia" w:ascii="宋体" w:hAnsi="宋体" w:eastAsia="宋体" w:cs="宋体"/>
                <w:color w:val="auto"/>
                <w:sz w:val="24"/>
                <w:szCs w:val="24"/>
              </w:rPr>
            </w:pPr>
          </w:p>
        </w:tc>
      </w:tr>
    </w:tbl>
    <w:p w14:paraId="375E070A">
      <w:pPr>
        <w:spacing w:line="360" w:lineRule="auto"/>
        <w:ind w:left="556" w:leftChars="200" w:hanging="136" w:hangingChars="57"/>
        <w:rPr>
          <w:rFonts w:hint="eastAsia" w:ascii="宋体" w:hAnsi="宋体" w:eastAsia="宋体" w:cs="宋体"/>
          <w:color w:val="auto"/>
          <w:sz w:val="24"/>
          <w:szCs w:val="24"/>
        </w:rPr>
      </w:pPr>
      <w:r>
        <w:rPr>
          <w:rFonts w:hint="eastAsia" w:ascii="宋体" w:hAnsi="宋体" w:eastAsia="宋体" w:cs="宋体"/>
          <w:color w:val="auto"/>
          <w:sz w:val="24"/>
          <w:szCs w:val="24"/>
        </w:rPr>
        <w:t>2、本合同总额为</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到达西北大学指定</w:t>
      </w:r>
      <w:r>
        <w:rPr>
          <w:rFonts w:hint="eastAsia" w:ascii="宋体" w:hAnsi="宋体" w:eastAsia="宋体" w:cs="宋体"/>
          <w:color w:val="auto"/>
          <w:sz w:val="24"/>
          <w:szCs w:val="24"/>
          <w:lang w:val="en-US" w:eastAsia="zh-CN"/>
        </w:rPr>
        <w:t>地点</w:t>
      </w:r>
      <w:r>
        <w:rPr>
          <w:rFonts w:hint="eastAsia" w:ascii="宋体" w:hAnsi="宋体" w:eastAsia="宋体" w:cs="宋体"/>
          <w:color w:val="auto"/>
          <w:sz w:val="24"/>
          <w:szCs w:val="24"/>
        </w:rPr>
        <w:t>价格（大写）：</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元。</w:t>
      </w:r>
    </w:p>
    <w:p w14:paraId="6A63F44C">
      <w:pPr>
        <w:tabs>
          <w:tab w:val="left" w:pos="0"/>
        </w:tabs>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3、本合同总额为</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到达使用地点、验收合格达到正常使用条件前的所有费用，包括但不限于以下费用：</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价值、安装调试费、国内外运杂费（含保险）、仓储保管费、技术培训费、检测费、施工费、人工费、进口业务</w:t>
      </w:r>
      <w:r>
        <w:rPr>
          <w:rFonts w:hint="eastAsia" w:ascii="宋体" w:hAnsi="宋体" w:eastAsia="宋体" w:cs="宋体"/>
          <w:color w:val="auto"/>
          <w:sz w:val="24"/>
          <w:szCs w:val="24"/>
          <w:lang w:val="en-US" w:eastAsia="zh-CN"/>
        </w:rPr>
        <w:t>相关费用（</w:t>
      </w:r>
      <w:r>
        <w:rPr>
          <w:rFonts w:hint="eastAsia" w:ascii="宋体" w:hAnsi="宋体" w:eastAsia="宋体" w:cs="宋体"/>
          <w:color w:val="auto"/>
          <w:sz w:val="24"/>
          <w:szCs w:val="24"/>
        </w:rPr>
        <w:t>按合同金额的</w:t>
      </w:r>
      <w:r>
        <w:rPr>
          <w:rFonts w:hint="eastAsia" w:ascii="宋体" w:hAnsi="宋体" w:eastAsia="宋体" w:cs="宋体"/>
          <w:color w:val="auto"/>
          <w:sz w:val="24"/>
          <w:szCs w:val="24"/>
          <w:lang w:val="en-US" w:eastAsia="zh-CN"/>
        </w:rPr>
        <w:t>0.77</w:t>
      </w:r>
      <w:r>
        <w:rPr>
          <w:rFonts w:hint="eastAsia" w:ascii="宋体" w:hAnsi="宋体" w:eastAsia="宋体" w:cs="宋体"/>
          <w:color w:val="auto"/>
          <w:sz w:val="24"/>
          <w:szCs w:val="24"/>
        </w:rPr>
        <w:t>%收取</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包括外贸代理公司进口业务</w:t>
      </w:r>
      <w:r>
        <w:rPr>
          <w:rFonts w:hint="eastAsia" w:ascii="宋体" w:hAnsi="宋体" w:eastAsia="宋体" w:cs="宋体"/>
          <w:color w:val="auto"/>
          <w:sz w:val="24"/>
          <w:szCs w:val="24"/>
        </w:rPr>
        <w:t>代理费</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国内外银行手续费、报关费、商检费</w:t>
      </w:r>
      <w:r>
        <w:rPr>
          <w:rFonts w:hint="eastAsia" w:ascii="宋体" w:hAnsi="宋体" w:eastAsia="宋体" w:cs="宋体"/>
          <w:color w:val="auto"/>
          <w:sz w:val="24"/>
          <w:szCs w:val="24"/>
          <w:lang w:val="en-US" w:eastAsia="zh-CN"/>
        </w:rPr>
        <w:t>等）</w:t>
      </w:r>
      <w:r>
        <w:rPr>
          <w:rFonts w:hint="eastAsia" w:ascii="宋体" w:hAnsi="宋体" w:eastAsia="宋体" w:cs="宋体"/>
          <w:color w:val="auto"/>
          <w:sz w:val="24"/>
          <w:szCs w:val="24"/>
        </w:rPr>
        <w:t>及进口</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按国家政策征收的一切税费（按国家政策规定甲方可以享受的免税部分除外）等。</w:t>
      </w:r>
    </w:p>
    <w:p w14:paraId="2340694C">
      <w:pPr>
        <w:tabs>
          <w:tab w:val="left" w:pos="0"/>
        </w:tabs>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4、本合同总额不受市场价格及外汇汇率变化的影响，在合同不发生变更时作为付款结算的依据。</w:t>
      </w:r>
    </w:p>
    <w:p w14:paraId="20741CD6">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二、交货时间及交货地点</w:t>
      </w:r>
    </w:p>
    <w:p w14:paraId="61C7593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1、交货时间为本合同生效后</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天内到货，到货地点为西安西北大学××××学院（系）</w:t>
      </w:r>
      <w:r>
        <w:rPr>
          <w:rFonts w:hint="eastAsia" w:ascii="宋体" w:hAnsi="宋体" w:eastAsia="宋体" w:cs="宋体"/>
          <w:color w:val="auto"/>
          <w:sz w:val="24"/>
          <w:szCs w:val="24"/>
          <w:lang w:val="en-US" w:eastAsia="zh-CN"/>
        </w:rPr>
        <w:t>指定地点</w:t>
      </w:r>
      <w:r>
        <w:rPr>
          <w:rFonts w:hint="eastAsia" w:ascii="宋体" w:hAnsi="宋体" w:eastAsia="宋体" w:cs="宋体"/>
          <w:color w:val="auto"/>
          <w:sz w:val="24"/>
          <w:szCs w:val="24"/>
        </w:rPr>
        <w:t>。</w:t>
      </w:r>
    </w:p>
    <w:p w14:paraId="5EED647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的运输方式由乙方自行选择，但包装必须符合国际标准或行业标准，满足航空、铁路或公路运输以及</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装卸要求，保证使用人收到的是无任何损伤的</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。否则，因此造成的损失由乙方自行承担。</w:t>
      </w:r>
    </w:p>
    <w:p w14:paraId="1A0E54B7">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三、</w:t>
      </w:r>
      <w:r>
        <w:rPr>
          <w:rFonts w:hint="eastAsia" w:ascii="宋体" w:hAnsi="宋体" w:eastAsia="宋体" w:cs="宋体"/>
          <w:b/>
          <w:color w:val="auto"/>
          <w:sz w:val="24"/>
          <w:szCs w:val="24"/>
          <w:lang w:eastAsia="zh-CN"/>
        </w:rPr>
        <w:t>货物</w:t>
      </w:r>
      <w:r>
        <w:rPr>
          <w:rFonts w:hint="eastAsia" w:ascii="宋体" w:hAnsi="宋体" w:eastAsia="宋体" w:cs="宋体"/>
          <w:b/>
          <w:color w:val="auto"/>
          <w:sz w:val="24"/>
          <w:szCs w:val="24"/>
        </w:rPr>
        <w:t>质量保证</w:t>
      </w:r>
    </w:p>
    <w:p w14:paraId="0985D72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1、乙方必须保证所提供的</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及配套</w:t>
      </w:r>
      <w:r>
        <w:rPr>
          <w:rFonts w:hint="eastAsia" w:ascii="宋体" w:hAnsi="宋体" w:eastAsia="宋体" w:cs="宋体"/>
          <w:color w:val="auto"/>
          <w:sz w:val="24"/>
          <w:szCs w:val="24"/>
          <w:lang w:val="en-US" w:eastAsia="zh-CN"/>
        </w:rPr>
        <w:t>产品</w:t>
      </w:r>
      <w:r>
        <w:rPr>
          <w:rFonts w:hint="eastAsia" w:ascii="宋体" w:hAnsi="宋体" w:eastAsia="宋体" w:cs="宋体"/>
          <w:color w:val="auto"/>
          <w:sz w:val="24"/>
          <w:szCs w:val="24"/>
        </w:rPr>
        <w:t>是合同规定厂家制造的、崭新的、未曾使用过的合格</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w:t>
      </w:r>
    </w:p>
    <w:p w14:paraId="1F54CA1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2、乙方提供的</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及配套</w:t>
      </w:r>
      <w:r>
        <w:rPr>
          <w:rFonts w:hint="eastAsia" w:ascii="宋体" w:hAnsi="宋体" w:eastAsia="宋体" w:cs="宋体"/>
          <w:color w:val="auto"/>
          <w:sz w:val="24"/>
          <w:szCs w:val="24"/>
          <w:lang w:val="en-US" w:eastAsia="zh-CN"/>
        </w:rPr>
        <w:t>产品</w:t>
      </w:r>
      <w:r>
        <w:rPr>
          <w:rFonts w:hint="eastAsia" w:ascii="宋体" w:hAnsi="宋体" w:eastAsia="宋体" w:cs="宋体"/>
          <w:color w:val="auto"/>
          <w:sz w:val="24"/>
          <w:szCs w:val="24"/>
        </w:rPr>
        <w:t>必须等同或优于合同技术指标要求，并能按国际标准（行业标准）检测调试和验收，确保</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技术指标满足使用要求。</w:t>
      </w:r>
    </w:p>
    <w:p w14:paraId="2A71DBE6">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3、</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质量保修期为</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验收合格后</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年。质量保修期内乙方免费维修，包括</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的零配件及国内不能解决的故障需要返回生产厂维修时所发生的一切费用。质量保期满后，乙方负责</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的终身维修。甲方如需更换</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的零配件，乙方只收取零配件的成本费，并由乙方负责更换。</w:t>
      </w:r>
    </w:p>
    <w:p w14:paraId="7D8ECF60">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四、技术服务承诺</w:t>
      </w:r>
    </w:p>
    <w:p w14:paraId="6CE614ED">
      <w:pPr>
        <w:pStyle w:val="3"/>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1、乙方负责提供</w:t>
      </w:r>
      <w:r>
        <w:rPr>
          <w:rFonts w:hint="eastAsia" w:ascii="宋体" w:hAnsi="宋体" w:eastAsia="宋体" w:cs="宋体"/>
          <w:color w:val="auto"/>
          <w:kern w:val="2"/>
          <w:sz w:val="24"/>
          <w:szCs w:val="24"/>
          <w:lang w:val="en-US" w:eastAsia="zh-CN" w:bidi="ar-SA"/>
        </w:rPr>
        <w:t>货物相应的技</w:t>
      </w:r>
      <w:r>
        <w:rPr>
          <w:rFonts w:hint="eastAsia" w:ascii="宋体" w:hAnsi="宋体" w:eastAsia="宋体" w:cs="宋体"/>
          <w:color w:val="auto"/>
          <w:sz w:val="24"/>
          <w:szCs w:val="24"/>
        </w:rPr>
        <w:t>术资料，包括产品合格证、产品保修单、安装使用及维护说明书以及运输装箱清单等</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外文资料需同时提供中文翻译文本</w:t>
      </w:r>
      <w:r>
        <w:rPr>
          <w:rFonts w:hint="eastAsia" w:ascii="宋体" w:hAnsi="宋体" w:eastAsia="宋体" w:cs="宋体"/>
          <w:color w:val="auto"/>
          <w:sz w:val="24"/>
          <w:szCs w:val="24"/>
        </w:rPr>
        <w:t>。</w:t>
      </w:r>
    </w:p>
    <w:p w14:paraId="167F23F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2、人员培训：乙方免费为甲方培训使用人员。培训内容包括：操作、维护、简单维修等。</w:t>
      </w:r>
    </w:p>
    <w:p w14:paraId="7F0DAD31">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到货后，由乙方技术人员会同甲方和</w:t>
      </w:r>
      <w:r>
        <w:rPr>
          <w:rFonts w:hint="eastAsia" w:ascii="宋体" w:hAnsi="宋体" w:eastAsia="宋体" w:cs="宋体"/>
          <w:color w:val="auto"/>
          <w:sz w:val="24"/>
          <w:szCs w:val="24"/>
          <w:lang w:val="en-US" w:eastAsia="zh-CN"/>
        </w:rPr>
        <w:t>海关</w:t>
      </w:r>
      <w:r>
        <w:rPr>
          <w:rFonts w:hint="eastAsia" w:ascii="宋体" w:hAnsi="宋体" w:eastAsia="宋体" w:cs="宋体"/>
          <w:color w:val="auto"/>
          <w:sz w:val="24"/>
          <w:szCs w:val="24"/>
        </w:rPr>
        <w:t>在甲方现场免费安装调试。</w:t>
      </w:r>
    </w:p>
    <w:p w14:paraId="5BB9135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4、售后服务：质量保修期内乙方对甲方提出的服务响应不得超出（ 48 ）小时，并派人到现场排除故障或制订解决方案。</w:t>
      </w:r>
    </w:p>
    <w:p w14:paraId="5FBEF998">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五、验收方法及标准</w:t>
      </w:r>
    </w:p>
    <w:p w14:paraId="57EB97C5">
      <w:pPr>
        <w:pStyle w:val="3"/>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验收分初次开箱验收和学校最终验收两个阶段，以最终验收为准。</w:t>
      </w:r>
    </w:p>
    <w:p w14:paraId="17CB1385">
      <w:pPr>
        <w:pStyle w:val="3"/>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货物到货后，甲方（使用单位）、乙方会同海关共同开箱验收。在检查货物原产地、规格、型号、配置符合合同要求后，由乙方负责安装调试。甲方（使用单位）先进行技术验收（乙方协助），验收以国际标准或以合同文本中描述的有关技术要求为准。</w:t>
      </w:r>
    </w:p>
    <w:p w14:paraId="7C4290E0">
      <w:pPr>
        <w:pStyle w:val="3"/>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3、学校根据使用单位技术验收结果，组织有关专家进行的最终验收。</w:t>
      </w:r>
    </w:p>
    <w:p w14:paraId="29B79E61">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六、合同款项支付方式</w:t>
      </w:r>
    </w:p>
    <w:p w14:paraId="5770772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合同生效后，由甲方通过进出口业务代理公司向乙方开出100%信用证，待货物到货、安装调试、并经学校组织验收合格后，由甲方通知进出口业务代理公司向乙方解付。</w:t>
      </w:r>
    </w:p>
    <w:p w14:paraId="3BF5673F">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七、违约责任</w:t>
      </w:r>
    </w:p>
    <w:p w14:paraId="014825DE">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1、合同生效后，甲乙双方应按合同规定认真履约，合同履约责任只涉及合同甲乙双方，不考虑第三方因素。</w:t>
      </w:r>
    </w:p>
    <w:p w14:paraId="1815E53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2、除不可抗力原因外，如遇下列情况之一者，甲方有权不予退还乙方所缴纳的合同履约保证金，作为对甲方的赔偿：（1）合同签订后不能按合同时限要求供货或安装调试；（2）所供</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不合格</w:t>
      </w:r>
      <w:r>
        <w:rPr>
          <w:rFonts w:hint="eastAsia" w:ascii="宋体" w:hAnsi="宋体" w:eastAsia="宋体" w:cs="宋体"/>
          <w:b/>
          <w:color w:val="auto"/>
          <w:sz w:val="24"/>
          <w:szCs w:val="24"/>
        </w:rPr>
        <w:t>、</w:t>
      </w:r>
      <w:r>
        <w:rPr>
          <w:rFonts w:hint="eastAsia" w:ascii="宋体" w:hAnsi="宋体" w:eastAsia="宋体" w:cs="宋体"/>
          <w:color w:val="auto"/>
          <w:sz w:val="24"/>
          <w:szCs w:val="24"/>
        </w:rPr>
        <w:t>与合同不符；（3）不能按合同履约；（4）</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验收不合格。如乙方的合同履约保证金不足以弥补甲方损失时，甲方有权要求乙方继续承担赔偿责任</w:t>
      </w:r>
      <w:r>
        <w:rPr>
          <w:rFonts w:hint="eastAsia" w:ascii="宋体" w:hAnsi="宋体" w:eastAsia="宋体" w:cs="宋体"/>
          <w:color w:val="auto"/>
          <w:sz w:val="24"/>
          <w:szCs w:val="24"/>
          <w:lang w:eastAsia="zh-CN"/>
        </w:rPr>
        <w:t>。</w:t>
      </w:r>
    </w:p>
    <w:p w14:paraId="110D66F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3、乙方对所供</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出现的问题推委、拖延，（48）小时未作出服务响应，应接受甲方的合理处罚。并且，甲方有权拒绝乙方以后参加学校竞标。</w:t>
      </w:r>
    </w:p>
    <w:p w14:paraId="19E86B4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4、合同履约过程中，甲方应积极配合乙方进行</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验收以及验收前的外围配套等工作。否则，因此导致</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不能按期验收时，不能追究乙方责任；正常情况下应在</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验收合格后15天内按规定向乙方付款，最长时间不能超过30天。否则，每超过一周应向乙方支付合同应付款3‰的滞纳金。</w:t>
      </w:r>
    </w:p>
    <w:p w14:paraId="762708FB">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八、其它事项</w:t>
      </w:r>
    </w:p>
    <w:p w14:paraId="2152525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1、合同经双方签字盖章后生效。本合同一式柒份，甲方执伍份（</w:t>
      </w:r>
      <w:r>
        <w:rPr>
          <w:rFonts w:hint="eastAsia" w:ascii="宋体" w:hAnsi="宋体" w:eastAsia="宋体" w:cs="宋体"/>
          <w:color w:val="auto"/>
          <w:sz w:val="24"/>
          <w:szCs w:val="24"/>
          <w:lang w:val="en-US" w:eastAsia="zh-CN"/>
        </w:rPr>
        <w:t>采招</w:t>
      </w:r>
      <w:r>
        <w:rPr>
          <w:rFonts w:hint="eastAsia" w:ascii="宋体" w:hAnsi="宋体" w:eastAsia="宋体" w:cs="宋体"/>
          <w:color w:val="auto"/>
          <w:sz w:val="24"/>
          <w:szCs w:val="24"/>
        </w:rPr>
        <w:t>办1份，财</w:t>
      </w:r>
      <w:r>
        <w:rPr>
          <w:rFonts w:hint="eastAsia" w:ascii="宋体" w:hAnsi="宋体" w:eastAsia="宋体" w:cs="宋体"/>
          <w:color w:val="auto"/>
          <w:sz w:val="24"/>
          <w:szCs w:val="24"/>
          <w:lang w:val="en-US" w:eastAsia="zh-CN"/>
        </w:rPr>
        <w:t>资部</w:t>
      </w:r>
      <w:r>
        <w:rPr>
          <w:rFonts w:hint="eastAsia" w:ascii="宋体" w:hAnsi="宋体" w:eastAsia="宋体" w:cs="宋体"/>
          <w:color w:val="auto"/>
          <w:sz w:val="24"/>
          <w:szCs w:val="24"/>
        </w:rPr>
        <w:t>2份，使用单位2份），乙方执壹份，招标公司执壹份，执行完毕后自行失效。</w:t>
      </w:r>
    </w:p>
    <w:p w14:paraId="6DB782F5">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2、下述文件为本合同的一部分，并与本合同一起阅读和解释，且具有同等法律效力：</w:t>
      </w:r>
    </w:p>
    <w:p w14:paraId="0BB2CCC0">
      <w:pPr>
        <w:spacing w:line="360" w:lineRule="auto"/>
        <w:ind w:firstLine="600" w:firstLineChars="250"/>
        <w:rPr>
          <w:rFonts w:hint="eastAsia" w:ascii="宋体" w:hAnsi="宋体" w:eastAsia="宋体" w:cs="宋体"/>
          <w:color w:val="auto"/>
          <w:sz w:val="24"/>
          <w:szCs w:val="24"/>
        </w:rPr>
      </w:pPr>
      <w:r>
        <w:rPr>
          <w:rFonts w:hint="eastAsia" w:ascii="宋体" w:hAnsi="宋体" w:eastAsia="宋体" w:cs="宋体"/>
          <w:color w:val="auto"/>
          <w:sz w:val="24"/>
          <w:szCs w:val="24"/>
        </w:rPr>
        <w:t>①合同附件1：产品功能要求、技术规格及配置详单；</w:t>
      </w:r>
    </w:p>
    <w:p w14:paraId="24425483">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②合同附件2：补充条款（如果有）；</w:t>
      </w:r>
    </w:p>
    <w:p w14:paraId="35FE1442">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③合同附件3：澄清函及最终报价和承诺（如果有）；</w:t>
      </w:r>
    </w:p>
    <w:p w14:paraId="43F238A1">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④招标文件；</w:t>
      </w:r>
    </w:p>
    <w:p w14:paraId="047DC337">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⑤投标文件；</w:t>
      </w:r>
    </w:p>
    <w:p w14:paraId="24A110A8">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⑥进出口代理协议；</w:t>
      </w:r>
    </w:p>
    <w:p w14:paraId="1C40CA4A">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⑦中标通知书。</w:t>
      </w:r>
    </w:p>
    <w:p w14:paraId="292072E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3、在本合同执行过程中，甲、乙双方协商签订的补充合同与原合同具有同等法律效力。</w:t>
      </w:r>
    </w:p>
    <w:p w14:paraId="1BFED0F1">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4、未尽事宜，双方协商解决。</w:t>
      </w:r>
    </w:p>
    <w:p w14:paraId="02390F87">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5、合同签订地点：西安.西北大学</w:t>
      </w:r>
    </w:p>
    <w:p w14:paraId="21AC396B">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6、合同签订时间：</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2A5CCDD1">
      <w:pPr>
        <w:spacing w:line="360" w:lineRule="auto"/>
        <w:ind w:firstLine="555"/>
        <w:rPr>
          <w:rFonts w:hint="eastAsia" w:ascii="宋体" w:hAnsi="宋体" w:eastAsia="宋体" w:cs="宋体"/>
          <w:b/>
          <w:color w:val="auto"/>
          <w:sz w:val="24"/>
          <w:szCs w:val="24"/>
        </w:rPr>
      </w:pPr>
      <w:r>
        <w:rPr>
          <w:rFonts w:hint="eastAsia" w:ascii="宋体" w:hAnsi="宋体" w:eastAsia="宋体" w:cs="宋体"/>
          <w:b/>
          <w:color w:val="auto"/>
          <w:sz w:val="24"/>
          <w:szCs w:val="24"/>
        </w:rPr>
        <w:t>甲    方                                      乙    方（全填）</w:t>
      </w:r>
    </w:p>
    <w:p w14:paraId="0642D436">
      <w:pPr>
        <w:spacing w:line="360" w:lineRule="auto"/>
        <w:ind w:firstLine="560"/>
        <w:rPr>
          <w:rFonts w:hint="eastAsia" w:ascii="宋体" w:hAnsi="宋体" w:eastAsia="宋体" w:cs="宋体"/>
          <w:b/>
          <w:color w:val="auto"/>
          <w:sz w:val="24"/>
          <w:szCs w:val="24"/>
        </w:rPr>
      </w:pPr>
      <w:r>
        <w:rPr>
          <w:rFonts w:hint="eastAsia" w:ascii="宋体" w:hAnsi="宋体" w:eastAsia="宋体" w:cs="宋体"/>
          <w:color w:val="auto"/>
          <w:sz w:val="24"/>
          <w:szCs w:val="24"/>
        </w:rPr>
        <w:t>单位名称（盖章）：                             单位名称（盖章）：</w:t>
      </w:r>
    </w:p>
    <w:p w14:paraId="1B93F173">
      <w:pPr>
        <w:spacing w:line="360" w:lineRule="auto"/>
        <w:ind w:firstLine="540"/>
        <w:rPr>
          <w:rFonts w:hint="eastAsia" w:ascii="宋体" w:hAnsi="宋体" w:eastAsia="宋体" w:cs="宋体"/>
          <w:color w:val="auto"/>
          <w:sz w:val="24"/>
          <w:szCs w:val="24"/>
        </w:rPr>
      </w:pPr>
      <w:r>
        <w:rPr>
          <w:rFonts w:hint="eastAsia" w:ascii="宋体" w:hAnsi="宋体" w:eastAsia="宋体" w:cs="宋体"/>
          <w:color w:val="auto"/>
          <w:sz w:val="24"/>
          <w:szCs w:val="24"/>
        </w:rPr>
        <w:t>地    址：                                    地    址：</w:t>
      </w:r>
    </w:p>
    <w:p w14:paraId="5261E8AC">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法定代表人：                                  法定代表人：（盖章/签字）</w:t>
      </w:r>
    </w:p>
    <w:p w14:paraId="54CC4A01">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委托代理人：（签字）                           委托代理人：（签字）</w:t>
      </w:r>
    </w:p>
    <w:p w14:paraId="7E094FFD">
      <w:pPr>
        <w:spacing w:line="360" w:lineRule="auto"/>
        <w:ind w:firstLine="540"/>
        <w:rPr>
          <w:rFonts w:hint="eastAsia" w:ascii="宋体" w:hAnsi="宋体" w:eastAsia="宋体" w:cs="宋体"/>
          <w:color w:val="auto"/>
          <w:sz w:val="24"/>
          <w:szCs w:val="24"/>
        </w:rPr>
      </w:pPr>
      <w:r>
        <w:rPr>
          <w:rFonts w:hint="eastAsia" w:ascii="宋体" w:hAnsi="宋体" w:eastAsia="宋体" w:cs="宋体"/>
          <w:color w:val="auto"/>
          <w:sz w:val="24"/>
          <w:szCs w:val="24"/>
        </w:rPr>
        <w:t>电话：　　　　　　　　　　　　　　　　　　　　电话：</w:t>
      </w:r>
    </w:p>
    <w:p w14:paraId="3CF28139">
      <w:pPr>
        <w:spacing w:line="360" w:lineRule="auto"/>
        <w:ind w:firstLine="540"/>
        <w:rPr>
          <w:rFonts w:hint="eastAsia" w:ascii="宋体" w:hAnsi="宋体" w:eastAsia="宋体" w:cs="宋体"/>
          <w:color w:val="auto"/>
          <w:sz w:val="24"/>
          <w:szCs w:val="24"/>
        </w:rPr>
      </w:pPr>
      <w:r>
        <w:rPr>
          <w:rFonts w:hint="eastAsia" w:ascii="宋体" w:hAnsi="宋体" w:eastAsia="宋体" w:cs="宋体"/>
          <w:color w:val="auto"/>
          <w:sz w:val="24"/>
          <w:szCs w:val="24"/>
        </w:rPr>
        <w:t>传真：                                    　　传真：</w:t>
      </w:r>
    </w:p>
    <w:p w14:paraId="0376673A">
      <w:pPr>
        <w:spacing w:line="360"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rPr>
        <w:t>邮编：　　　　　　　　　　　　　　　　　　　　邮编：</w:t>
      </w:r>
    </w:p>
    <w:p w14:paraId="77EB0EEC">
      <w:pPr>
        <w:spacing w:line="360"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rPr>
        <w:t>　　　　　　　　　　　　　　　　　　　　　　　开户银行及账号：</w:t>
      </w:r>
    </w:p>
    <w:p w14:paraId="23A6D961">
      <w:pPr>
        <w:spacing w:line="360" w:lineRule="auto"/>
        <w:ind w:firstLine="570"/>
        <w:rPr>
          <w:rFonts w:hint="eastAsia" w:ascii="宋体" w:hAnsi="宋体" w:eastAsia="宋体" w:cs="宋体"/>
          <w:color w:val="auto"/>
          <w:sz w:val="24"/>
          <w:szCs w:val="24"/>
        </w:rPr>
      </w:pPr>
    </w:p>
    <w:p w14:paraId="036983AC">
      <w:pPr>
        <w:spacing w:line="360" w:lineRule="auto"/>
        <w:ind w:firstLine="560"/>
        <w:rPr>
          <w:rFonts w:hint="eastAsia" w:ascii="宋体" w:hAnsi="宋体" w:eastAsia="宋体" w:cs="宋体"/>
          <w:b/>
          <w:bCs/>
          <w:color w:val="auto"/>
          <w:sz w:val="24"/>
          <w:szCs w:val="24"/>
        </w:rPr>
      </w:pPr>
      <w:r>
        <w:rPr>
          <w:rFonts w:hint="eastAsia" w:ascii="宋体" w:hAnsi="宋体" w:eastAsia="宋体" w:cs="宋体"/>
          <w:b/>
          <w:bCs/>
          <w:color w:val="auto"/>
          <w:sz w:val="24"/>
          <w:szCs w:val="24"/>
        </w:rPr>
        <w:t>招标代理机构</w:t>
      </w:r>
      <w:r>
        <w:rPr>
          <w:rFonts w:hint="eastAsia" w:ascii="宋体" w:hAnsi="宋体" w:eastAsia="宋体" w:cs="宋体"/>
          <w:b/>
          <w:bCs/>
          <w:color w:val="auto"/>
          <w:sz w:val="24"/>
          <w:szCs w:val="24"/>
          <w:lang w:val="en-US" w:eastAsia="zh-CN"/>
        </w:rPr>
        <w:t>名称</w:t>
      </w:r>
      <w:r>
        <w:rPr>
          <w:rFonts w:hint="eastAsia" w:ascii="宋体" w:hAnsi="宋体" w:eastAsia="宋体" w:cs="宋体"/>
          <w:b/>
          <w:bCs/>
          <w:color w:val="auto"/>
          <w:sz w:val="24"/>
          <w:szCs w:val="24"/>
        </w:rPr>
        <w:t>：</w:t>
      </w:r>
    </w:p>
    <w:p w14:paraId="1F45BDCA">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联系人:</w:t>
      </w:r>
    </w:p>
    <w:p w14:paraId="6953631C">
      <w:pPr>
        <w:spacing w:line="360" w:lineRule="auto"/>
        <w:ind w:firstLine="56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联系电话：</w:t>
      </w:r>
    </w:p>
    <w:p w14:paraId="5E656268">
      <w:pPr>
        <w:rPr>
          <w:color w:val="auto"/>
        </w:rPr>
      </w:pPr>
    </w:p>
    <w:p w14:paraId="3CC6BA8C">
      <w:pPr>
        <w:pStyle w:val="6"/>
        <w:rPr>
          <w:rFonts w:hint="eastAsia"/>
          <w:color w:val="auto"/>
          <w:lang w:val="en-US" w:eastAsia="zh-Hans"/>
        </w:rPr>
      </w:pPr>
    </w:p>
    <w:p w14:paraId="6D8E4E58">
      <w:pPr>
        <w:rPr>
          <w:color w:val="auto"/>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687443"/>
    <w:multiLevelType w:val="multilevel"/>
    <w:tmpl w:val="75687443"/>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BB6C63"/>
    <w:rsid w:val="0A1B3564"/>
    <w:rsid w:val="0B7C157A"/>
    <w:rsid w:val="0D562B05"/>
    <w:rsid w:val="3B6104FE"/>
    <w:rsid w:val="4CD64AED"/>
    <w:rsid w:val="4FBA24A4"/>
    <w:rsid w:val="6BBB6C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
    <w:pPr>
      <w:keepNext/>
      <w:keepLines/>
      <w:spacing w:before="50" w:beforeLines="50" w:after="50" w:afterLines="50" w:line="360" w:lineRule="auto"/>
      <w:jc w:val="left"/>
      <w:outlineLvl w:val="3"/>
    </w:pPr>
    <w:rPr>
      <w:rFonts w:ascii="Cambria" w:hAnsi="Cambria"/>
      <w:b/>
      <w:bCs/>
      <w:kern w:val="0"/>
      <w:sz w:val="24"/>
      <w:szCs w:val="28"/>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Indent 2"/>
    <w:basedOn w:val="1"/>
    <w:qFormat/>
    <w:uiPriority w:val="0"/>
    <w:pPr>
      <w:tabs>
        <w:tab w:val="left" w:pos="5625"/>
      </w:tabs>
      <w:ind w:left="1138" w:leftChars="542"/>
    </w:pPr>
    <w:rPr>
      <w:rFonts w:hAnsi="Calibri"/>
      <w:sz w:val="20"/>
      <w:szCs w:val="20"/>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4388</Words>
  <Characters>4402</Characters>
  <Lines>0</Lines>
  <Paragraphs>0</Paragraphs>
  <TotalTime>0</TotalTime>
  <ScaleCrop>false</ScaleCrop>
  <LinksUpToDate>false</LinksUpToDate>
  <CharactersWithSpaces>5036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2024-11-28T05:12:00Z</dcterms:created>
  <dc:creator>hh</dc:creator>
  <cp:lastModifiedBy>hh</cp:lastModifiedBy>
  <dcterms:modified xsi:type="dcterms:W3CDTF">2024-12-11T08:33:55Z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527B0FD37BFE4E5E9E398557B17F2B8C_11</vt:lpwstr>
  </property>
</Properties>
</file>