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智慧资产管理平台建设项目</w:t>
      </w:r>
    </w:p>
    <w:p>
      <w:pPr>
        <w:pStyle w:val="null3"/>
        <w:jc w:val="center"/>
        <w:outlineLvl w:val="5"/>
      </w:pPr>
      <w:r>
        <w:rPr>
          <w:sz w:val="15"/>
          <w:b/>
        </w:rPr>
        <w:t xml:space="preserve">采购项目编号: </w:t>
      </w:r>
      <w:r>
        <w:rPr>
          <w:sz w:val="15"/>
          <w:b/>
        </w:rPr>
        <w:t>ZX2024-11-35</w:t>
      </w:r>
      <w:r>
        <w:br/>
      </w:r>
      <w:r>
        <w:br/>
      </w:r>
      <w:r>
        <w:br/>
      </w:r>
    </w:p>
    <w:p>
      <w:pPr>
        <w:pStyle w:val="null3"/>
        <w:jc w:val="center"/>
        <w:outlineLvl w:val="5"/>
      </w:pPr>
      <w:r>
        <w:rPr>
          <w:sz w:val="15"/>
          <w:b/>
        </w:rPr>
        <w:t>陕西职业技术学院</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2024年12月12日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陕西职业技术学院</w:t>
      </w:r>
      <w:r>
        <w:rPr/>
        <w:t>委托，拟对</w:t>
      </w:r>
      <w:r>
        <w:rPr/>
        <w:t>智慧资产管理平台建设项目</w:t>
      </w:r>
      <w:r>
        <w:rPr/>
        <w:t>采用单一来源方式进行采购，现邀请贵公司参加该项目的协商。</w:t>
      </w:r>
    </w:p>
    <w:p>
      <w:pPr>
        <w:pStyle w:val="null3"/>
        <w:outlineLvl w:val="2"/>
      </w:pPr>
      <w:r>
        <w:rPr>
          <w:sz w:val="28"/>
          <w:b/>
        </w:rPr>
        <w:t xml:space="preserve"> 一、采购项目编号：</w:t>
      </w:r>
      <w:r>
        <w:rPr>
          <w:sz w:val="28"/>
          <w:b/>
        </w:rPr>
        <w:t>ZX2024-11-35</w:t>
      </w:r>
    </w:p>
    <w:p>
      <w:pPr>
        <w:pStyle w:val="null3"/>
        <w:outlineLvl w:val="2"/>
      </w:pPr>
      <w:r>
        <w:rPr>
          <w:sz w:val="28"/>
          <w:b/>
        </w:rPr>
        <w:t xml:space="preserve"> 二、采购项目名称：</w:t>
      </w:r>
      <w:r>
        <w:rPr>
          <w:sz w:val="28"/>
          <w:b/>
        </w:rPr>
        <w:t>智慧资产管理平台建设项目</w:t>
      </w:r>
    </w:p>
    <w:p>
      <w:pPr>
        <w:pStyle w:val="null3"/>
        <w:outlineLvl w:val="2"/>
      </w:pPr>
      <w:r>
        <w:rPr>
          <w:sz w:val="28"/>
          <w:b/>
        </w:rPr>
        <w:t>三、协商项目简介：</w:t>
      </w:r>
    </w:p>
    <w:p>
      <w:pPr>
        <w:pStyle w:val="null3"/>
        <w:ind w:firstLine="480"/>
      </w:pPr>
      <w:r>
        <w:rPr/>
        <w:t>本项目为智慧资产管理平台建设项目，1套，具体内容详见采购文件。</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协商的，须提供法定代表人身份证；法定代表人授权本单位他人参加协商的，须提供法定代表人授权委托书。供应商需在项目电子化交易系统中按要求填写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陕西职业技术学院</w:t>
      </w:r>
    </w:p>
    <w:p>
      <w:pPr>
        <w:pStyle w:val="null3"/>
      </w:pPr>
      <w:r>
        <w:rPr/>
        <w:t xml:space="preserve"> 地址： </w:t>
      </w:r>
      <w:r>
        <w:rPr/>
        <w:t>西安市灞桥区狄寨路2028号</w:t>
      </w:r>
    </w:p>
    <w:p>
      <w:pPr>
        <w:pStyle w:val="null3"/>
      </w:pPr>
      <w:r>
        <w:rPr/>
        <w:t xml:space="preserve"> 邮编： </w:t>
      </w:r>
      <w:r>
        <w:rPr/>
        <w:t>710038</w:t>
      </w:r>
    </w:p>
    <w:p>
      <w:pPr>
        <w:pStyle w:val="null3"/>
      </w:pPr>
      <w:r>
        <w:rPr/>
        <w:t xml:space="preserve"> 联系人： </w:t>
      </w:r>
      <w:r>
        <w:rPr/>
        <w:t xml:space="preserve"> 姚老师</w:t>
      </w:r>
    </w:p>
    <w:p>
      <w:pPr>
        <w:pStyle w:val="null3"/>
      </w:pPr>
      <w:r>
        <w:rPr/>
        <w:t xml:space="preserve"> 联系电话： </w:t>
      </w:r>
      <w:r>
        <w:rPr/>
        <w:t>029-83618576</w:t>
      </w:r>
    </w:p>
    <w:p>
      <w:pPr>
        <w:pStyle w:val="null3"/>
        <w:outlineLvl w:val="2"/>
      </w:pPr>
      <w:r>
        <w:rPr>
          <w:sz w:val="28"/>
          <w:b/>
        </w:rPr>
        <w:t xml:space="preserve"> 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陈晶晶 周楚杰 蔡丹</w:t>
      </w:r>
    </w:p>
    <w:p>
      <w:pPr>
        <w:pStyle w:val="null3"/>
      </w:pPr>
      <w:r>
        <w:rPr/>
        <w:t xml:space="preserve"> 联系电话： </w:t>
      </w:r>
      <w:r>
        <w:rPr/>
        <w:t>029-88411508/88411169转8030</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采购包1：790,000.00元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采购包1保证金金额：11,135.00元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说明：成交供应商凭成交通知书向采购人缴纳合同金额的5%作为履约保证金，待合同履约正式开始后转为质保金，一年后无任何问题无息退还。</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代理服务费收费标准：1、参照国家计委计价格[2002]1980号及发改办价格[2003]857号通知规定下浮20%收取。 2、支付方式：中标人应在领取通知书的同时，支付本项目代理服务费。收款账户如下： 收款单位：陕西正信招标有限公司 开户银行：中国银行股份有限公司西安四府街支行 银行账号：102460065607；3、转账备注：241135项目服务费。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陕西职业技术学院</w:t>
      </w:r>
      <w:r>
        <w:rPr/>
        <w:t>和</w:t>
      </w:r>
      <w:r>
        <w:rPr/>
        <w:t>陕西正信招标有限公司</w:t>
      </w:r>
      <w:r>
        <w:rPr/>
        <w:t>享有。对采购文件中供应商参加本次政府采购活动应当具备的条件、项目技术、服务、商务及其他要求，评审标准由采购人负责解释。除前述采购文件内容，其他内容由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陕西职业技术学院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按采购文件、响应文件及合同约定执行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本项目为智慧资产管理平台建设项目，1套，具体内容详见采购文件。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790,000.00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高校资产管理信息系统</w:t>
            </w:r>
          </w:p>
        </w:tc>
        <w:tc>
          <w:tcPr>
            <w:tcW w:type="dxa" w:w="831"/>
          </w:tcPr>
          <w:p>
            <w:pPr>
              <w:pStyle w:val="null3"/>
              <w:jc w:val="right"/>
            </w:pPr>
            <w:r>
              <w:rPr/>
              <w:t>1.00</w:t>
            </w:r>
          </w:p>
        </w:tc>
        <w:tc>
          <w:tcPr>
            <w:tcW w:type="dxa" w:w="831"/>
          </w:tcPr>
          <w:p>
            <w:pPr>
              <w:pStyle w:val="null3"/>
              <w:jc w:val="right"/>
            </w:pPr>
            <w:r>
              <w:rPr/>
              <w:t>790,000.00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标的名称：高校资产管理信息系统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本项目采购智慧资产管理平台，1套，具体要求详见下方。</w:t>
            </w:r>
          </w:p>
          <w:p>
            <w:pPr>
              <w:pStyle w:val="null3"/>
            </w:pPr>
            <w:r>
              <w:rPr/>
              <w:t>一、采购要求</w:t>
            </w:r>
          </w:p>
          <w:p>
            <w:pPr>
              <w:pStyle w:val="null3"/>
            </w:pPr>
            <w:r>
              <w:rPr/>
              <w:t>1.本项目采购范围：涉及陕西职业技术学院资产相关业务范围内；</w:t>
            </w:r>
          </w:p>
          <w:p>
            <w:pPr>
              <w:pStyle w:val="null3"/>
            </w:pPr>
            <w:r>
              <w:rPr/>
              <w:t>2.本项目更新升级主要包含以下几方面：</w:t>
            </w:r>
          </w:p>
          <w:p>
            <w:pPr>
              <w:pStyle w:val="null3"/>
            </w:pPr>
            <w:r>
              <w:rPr/>
              <w:t>（1）项目建设在校内原有资产管理系统基础上进行，实现业务和数据层面无缝衔接，保障资产管理工作顺利开展，增加资产调剂共享，资产处置公示，移动办公等新功能模块，进一步提升学校资产管理信息化水平，实现数据多跑路，师生少跑路，助力学校高质量发展；</w:t>
            </w:r>
          </w:p>
          <w:p>
            <w:pPr>
              <w:pStyle w:val="null3"/>
            </w:pPr>
            <w:r>
              <w:rPr/>
              <w:t>（2）根据校内业务需要实现资产管理相关业务流程自定义，进一步优化校内业务流程，包括财务对接，数字化校园对接等，衔接主管单位和财政部门；</w:t>
            </w:r>
          </w:p>
          <w:p>
            <w:pPr>
              <w:pStyle w:val="null3"/>
            </w:pPr>
            <w:r>
              <w:rPr/>
              <w:t>（3）满足财政预算一体化数据标准要求，实现与教育厅资产监管平台，财政预算一体化无缝对接，满足监管要求，减少工作量，降低人工成本；</w:t>
            </w:r>
          </w:p>
          <w:p>
            <w:pPr>
              <w:pStyle w:val="null3"/>
            </w:pPr>
            <w:r>
              <w:rPr/>
              <w:t>（4）平台具备二次开发能力，可以快速，低成本实现学校资产管理信息化建设需要。</w:t>
            </w:r>
          </w:p>
          <w:p>
            <w:pPr>
              <w:pStyle w:val="null3"/>
            </w:pPr>
            <w:r>
              <w:rPr/>
              <w:t>3.技术保障：系统部署好试运行期间提供7-14天，每天8小时驻场服务。</w:t>
            </w:r>
          </w:p>
          <w:p>
            <w:pPr>
              <w:pStyle w:val="null3"/>
            </w:pPr>
            <w:r>
              <w:rPr/>
              <w:t>4.人员安排：团队成员不少于3人。</w:t>
            </w:r>
          </w:p>
          <w:p>
            <w:pPr>
              <w:pStyle w:val="null3"/>
            </w:pPr>
            <w:r>
              <w:rPr/>
              <w:t>二、具体要求</w:t>
            </w:r>
          </w:p>
          <w:p>
            <w:pPr>
              <w:pStyle w:val="null3"/>
            </w:pPr>
            <w:r>
              <w:rPr/>
              <w:t>1. 技术要求</w:t>
            </w:r>
          </w:p>
          <w:p>
            <w:pPr>
              <w:pStyle w:val="null3"/>
            </w:pPr>
            <w:r>
              <w:rPr/>
              <w:t>1.1.系统架构</w:t>
            </w:r>
          </w:p>
          <w:p>
            <w:pPr>
              <w:pStyle w:val="null3"/>
            </w:pPr>
            <w:r>
              <w:rPr/>
              <w:t>需采用 B/S（浏览器/服务器模式）架构，系统基于 Web 技术开发，利用浏览器进行使用和管理；所有的业务子系统的功能界面风格和操作流程一致，提供统一的个人任务查询处理接口。</w:t>
            </w:r>
          </w:p>
          <w:p>
            <w:pPr>
              <w:pStyle w:val="null3"/>
            </w:pPr>
            <w:r>
              <w:rPr/>
              <w:t>能够同时支持运行在物理机或虚拟机环境上，支持 Linux、windows 操作系统。</w:t>
            </w:r>
          </w:p>
          <w:p>
            <w:pPr>
              <w:pStyle w:val="null3"/>
            </w:pPr>
            <w:r>
              <w:rPr/>
              <w:t>系统需具备二次开发平台能力，并开放二次开发整合接口，用于将后续开发的功能模块集成到系统中，另外系统支持所有业务流程自定义。信息交换方式应符合 XML 数据交换标准，交互操作服务接口应符合 Web Services 标准，系统交互模式支持同步与异步方式，交互数据应支持各种数据类型。</w:t>
            </w:r>
          </w:p>
          <w:p>
            <w:pPr>
              <w:pStyle w:val="null3"/>
            </w:pPr>
            <w:r>
              <w:rPr/>
              <w:t>数据与学校中间库打通，与学校门户实现统一身份认证，手机端需接入学校移动APP、企业微信等，并统一认证。消息提醒对接到指定平台。</w:t>
            </w:r>
          </w:p>
          <w:p>
            <w:pPr>
              <w:pStyle w:val="null3"/>
            </w:pPr>
            <w:r>
              <w:rPr/>
              <w:t>软件系统需按照教育部发布的《职业院校数字基座高职数据标准及接口规范》完善上报数据表包含的字段信息，并与我校数字基座上报平台实现自动对接。</w:t>
            </w:r>
          </w:p>
          <w:p>
            <w:pPr>
              <w:pStyle w:val="null3"/>
            </w:pPr>
            <w:r>
              <w:rPr/>
              <w:t>1.2.易用性</w:t>
            </w:r>
          </w:p>
          <w:p>
            <w:pPr>
              <w:pStyle w:val="null3"/>
            </w:pPr>
            <w:r>
              <w:rPr/>
              <w:t>需保证客户端用 Window 7、Window 8、Win10 等常用操作系统的正常使用，浏览器支持 IE10.0 及以上版本，并支持 Google Chrome、Firefox、360 等主流浏览器。</w:t>
            </w:r>
          </w:p>
          <w:p>
            <w:pPr>
              <w:pStyle w:val="null3"/>
            </w:pPr>
            <w:r>
              <w:rPr/>
              <w:t>1.3.J2EE开发平台</w:t>
            </w:r>
          </w:p>
          <w:p>
            <w:pPr>
              <w:pStyle w:val="null3"/>
            </w:pPr>
            <w:r>
              <w:rPr/>
              <w:t>本项目涉及全部信息系统均需基于J2EE平台开发设计，主体代码采用Java编程语言和服务器端Java技术(如EJBs、Servlet、JSP、JNDI、JDBC和RMI等)开发。</w:t>
            </w:r>
          </w:p>
          <w:p>
            <w:pPr>
              <w:pStyle w:val="null3"/>
            </w:pPr>
            <w:r>
              <w:rPr/>
              <w:t>1.4.面向对象的组件技术</w:t>
            </w:r>
          </w:p>
          <w:p>
            <w:pPr>
              <w:pStyle w:val="null3"/>
            </w:pPr>
            <w:r>
              <w:rPr/>
              <w:t>面向对象的组件技术是一种完全独立于硬件和操作系统的开发环境，着重于开发构成应用程序“业务对象”的可重复使用的组件，利用这些组件顺利地建立分布式应用程序。</w:t>
            </w:r>
          </w:p>
          <w:p>
            <w:pPr>
              <w:pStyle w:val="null3"/>
            </w:pPr>
            <w:r>
              <w:rPr/>
              <w:t>应用平台模块间相对独立，接口清晰，内部的业务流程升级和改造与其它模块无关，所有模块基于组件如EJB、Web Services开发，可插拔，并为将来单位二次开发提供开发API。</w:t>
            </w:r>
          </w:p>
          <w:p>
            <w:pPr>
              <w:pStyle w:val="null3"/>
            </w:pPr>
            <w:r>
              <w:rPr/>
              <w:t>1.5.基于物理的三层结构</w:t>
            </w:r>
          </w:p>
          <w:p>
            <w:pPr>
              <w:pStyle w:val="null3"/>
            </w:pPr>
            <w:r>
              <w:rPr/>
              <w:t>应用系统平台的开发及运行结构要基于后台数据库的三层架构，即Web应用服务器、中间件应用服务器和数据库服务器，任何应用服务器需要访问数据库服务都需要通过中间件应用服务器，并且根据需要可以把Web应用服务器、中间件应用服务器和数据库服务器部署在不同的VLAN里，以加强系统安全性。</w:t>
            </w:r>
          </w:p>
          <w:p>
            <w:pPr>
              <w:pStyle w:val="null3"/>
            </w:pPr>
            <w:r>
              <w:rPr/>
              <w:t>1.6.系统协同要求</w:t>
            </w:r>
          </w:p>
          <w:p>
            <w:pPr>
              <w:pStyle w:val="null3"/>
            </w:pPr>
            <w:r>
              <w:rPr/>
              <w:t>具备良好的协同工作能力，实现系统内部各项业务审批，及与外部其他业务系统进行数据交换，去除不必要的手工传递批件等操作，实现跨业务系统的数据流转。</w:t>
            </w:r>
          </w:p>
          <w:p>
            <w:pPr>
              <w:pStyle w:val="null3"/>
            </w:pPr>
            <w:r>
              <w:rPr/>
              <w:t>1.7.系统安全</w:t>
            </w:r>
          </w:p>
          <w:p>
            <w:pPr>
              <w:pStyle w:val="null3"/>
            </w:pPr>
            <w:r>
              <w:rPr/>
              <w:t>安全性满足认证授权、信息保密、数据完整性、防抵赖性、审计、数据的可回溯性等。既要充分考虑信息资源的共享，更要注意信息资源的保护和隔离，应分别针对不同的应用和不同的网络通信环境，采取不同的措施，包括系统安全机制、数据存取的权限控制等。</w:t>
            </w:r>
          </w:p>
          <w:p>
            <w:pPr>
              <w:pStyle w:val="null3"/>
            </w:pPr>
            <w:r>
              <w:rPr/>
              <w:t>提供全面的软硬件结合的系统安全策略，包括系统完善的用户及权限管理，配合多种数据备份策略以保证数据的安全，及用户身份认证策略以防非法用户入侵等。具有完备的、涉及管理各环节的各类用户及群体的角色定义、授权与操作审计功能，支持按照任意选择的字段的内容进行灵活功能授权，具有详细的数据操作日志及数据跟踪管理能力，日志内容包括IP地址、修改时间、修改前后内容（支持同一条所有修改记录追溯的功能）、操作人、操作模块等。</w:t>
            </w:r>
          </w:p>
          <w:p>
            <w:pPr>
              <w:pStyle w:val="null3"/>
            </w:pPr>
            <w:r>
              <w:rPr/>
              <w:t>提供可靠的数据自动、远程备份和快捷易用的手工备份功能（支持每天备份）。说明全部数据备份间隔和恢复时间，并给出能达到这些要求的硬件参数建议。提供成熟完备的故障恢复手段，提供数据容灾建设方案，确保系统的稳定性。</w:t>
            </w:r>
          </w:p>
          <w:p>
            <w:pPr>
              <w:pStyle w:val="null3"/>
            </w:pPr>
            <w:r>
              <w:rPr/>
              <w:t>2. 功能要求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851"/>
                </w:tcPr>
                <w:p>
                  <w:pPr>
                    <w:pStyle w:val="null3"/>
                  </w:pPr>
                  <w:r>
                    <w:rPr/>
                    <w:t>功能</w:t>
                  </w:r>
                </w:p>
              </w:tc>
              <w:tc>
                <w:tcPr>
                  <w:tcW w:type="dxa" w:w="851"/>
                </w:tcPr>
                <w:p>
                  <w:pPr>
                    <w:pStyle w:val="null3"/>
                  </w:pPr>
                  <w:r>
                    <w:rPr/>
                    <w:t>明细</w:t>
                  </w:r>
                </w:p>
              </w:tc>
            </w:tr>
            <w:tr>
              <w:tc>
                <w:tcPr>
                  <w:tcW w:type="dxa" w:w="851"/>
                </w:tcPr>
                <w:p>
                  <w:pPr>
                    <w:pStyle w:val="null3"/>
                  </w:pPr>
                  <w:r>
                    <w:rPr/>
                    <w:t>1</w:t>
                  </w:r>
                </w:p>
              </w:tc>
              <w:tc>
                <w:tcPr>
                  <w:tcW w:type="dxa" w:w="851"/>
                </w:tcPr>
                <w:p>
                  <w:pPr>
                    <w:pStyle w:val="null3"/>
                  </w:pPr>
                  <w:r>
                    <w:rPr/>
                    <w:t>系统登录</w:t>
                  </w:r>
                </w:p>
              </w:tc>
              <w:tc>
                <w:tcPr>
                  <w:tcW w:type="dxa" w:w="851"/>
                </w:tcPr>
                <w:p>
                  <w:pPr>
                    <w:pStyle w:val="null3"/>
                  </w:pPr>
                  <w:r>
                    <w:rPr/>
                    <w:t>支持用户名及密码、微信扫码、手机验证</w:t>
                  </w:r>
                </w:p>
              </w:tc>
            </w:tr>
            <w:tr>
              <w:tc>
                <w:tcPr>
                  <w:tcW w:type="dxa" w:w="851"/>
                </w:tcPr>
                <w:p>
                  <w:pPr>
                    <w:pStyle w:val="null3"/>
                  </w:pPr>
                  <w:r>
                    <w:rPr/>
                    <w:t>2</w:t>
                  </w:r>
                </w:p>
              </w:tc>
              <w:tc>
                <w:tcPr>
                  <w:tcW w:type="dxa" w:w="851"/>
                </w:tcPr>
                <w:p>
                  <w:pPr>
                    <w:pStyle w:val="null3"/>
                  </w:pPr>
                  <w:r>
                    <w:rPr/>
                    <w:t>首页门户</w:t>
                  </w:r>
                </w:p>
              </w:tc>
              <w:tc>
                <w:tcPr>
                  <w:tcW w:type="dxa" w:w="851"/>
                </w:tcPr>
                <w:p>
                  <w:pPr>
                    <w:pStyle w:val="null3"/>
                  </w:pPr>
                  <w:r>
                    <w:rPr/>
                    <w:t>待办事项、办事中心、业务总览、通知公告、消息中心、预警中心、帮助中心、微信、手机绑定、图表分析展示、政策法规库</w:t>
                  </w:r>
                </w:p>
              </w:tc>
            </w:tr>
            <w:tr>
              <w:tc>
                <w:tcPr>
                  <w:tcW w:type="dxa" w:w="851"/>
                </w:tcPr>
                <w:p>
                  <w:pPr>
                    <w:pStyle w:val="null3"/>
                  </w:pPr>
                  <w:r>
                    <w:rPr/>
                    <w:t>3</w:t>
                  </w:r>
                </w:p>
              </w:tc>
              <w:tc>
                <w:tcPr>
                  <w:tcW w:type="dxa" w:w="851"/>
                </w:tcPr>
                <w:p>
                  <w:pPr>
                    <w:pStyle w:val="null3"/>
                  </w:pPr>
                  <w:r>
                    <w:rPr/>
                    <w:t>数据初始</w:t>
                  </w:r>
                </w:p>
              </w:tc>
              <w:tc>
                <w:tcPr>
                  <w:tcW w:type="dxa" w:w="851"/>
                </w:tcPr>
                <w:p>
                  <w:pPr>
                    <w:pStyle w:val="null3"/>
                  </w:pPr>
                  <w:r>
                    <w:rPr/>
                    <w:t>支持久其系统数据全量数据迁移；支持第三方系统存量卡片数据迁移</w:t>
                  </w:r>
                </w:p>
              </w:tc>
            </w:tr>
            <w:tr>
              <w:tc>
                <w:tcPr>
                  <w:tcW w:type="dxa" w:w="851"/>
                </w:tcPr>
                <w:p>
                  <w:pPr>
                    <w:pStyle w:val="null3"/>
                  </w:pPr>
                  <w:r>
                    <w:rPr/>
                    <w:t>4</w:t>
                  </w:r>
                </w:p>
              </w:tc>
              <w:tc>
                <w:tcPr>
                  <w:tcW w:type="dxa" w:w="851"/>
                </w:tcPr>
                <w:p>
                  <w:pPr>
                    <w:pStyle w:val="null3"/>
                  </w:pPr>
                  <w:r>
                    <w:rPr/>
                    <w:t>登记建账</w:t>
                  </w:r>
                </w:p>
              </w:tc>
              <w:tc>
                <w:tcPr>
                  <w:tcW w:type="dxa" w:w="851"/>
                </w:tcPr>
                <w:p>
                  <w:pPr>
                    <w:pStyle w:val="null3"/>
                  </w:pPr>
                  <w:r>
                    <w:rPr/>
                    <w:t>资产建账申请及审批、资产领用确认、卡片批量导入、资产退库申请及审批</w:t>
                  </w:r>
                </w:p>
              </w:tc>
            </w:tr>
            <w:tr>
              <w:tc>
                <w:tcPr>
                  <w:tcW w:type="dxa" w:w="851"/>
                </w:tcPr>
                <w:p>
                  <w:pPr>
                    <w:pStyle w:val="null3"/>
                  </w:pPr>
                  <w:r>
                    <w:rPr/>
                    <w:t>5</w:t>
                  </w:r>
                </w:p>
              </w:tc>
              <w:tc>
                <w:tcPr>
                  <w:tcW w:type="dxa" w:w="851"/>
                </w:tcPr>
                <w:p>
                  <w:pPr>
                    <w:pStyle w:val="null3"/>
                  </w:pPr>
                  <w:r>
                    <w:rPr/>
                    <w:t>资产信息变动</w:t>
                  </w:r>
                </w:p>
              </w:tc>
              <w:tc>
                <w:tcPr>
                  <w:tcW w:type="dxa" w:w="851"/>
                </w:tcPr>
                <w:p>
                  <w:pPr>
                    <w:pStyle w:val="null3"/>
                  </w:pPr>
                  <w:r>
                    <w:rPr/>
                    <w:t>一般信息变动、资产分类变动、资产增减值变动申请及审批</w:t>
                  </w:r>
                </w:p>
              </w:tc>
            </w:tr>
            <w:tr>
              <w:tc>
                <w:tcPr>
                  <w:tcW w:type="dxa" w:w="851"/>
                </w:tcPr>
                <w:p>
                  <w:pPr>
                    <w:pStyle w:val="null3"/>
                  </w:pPr>
                  <w:r>
                    <w:rPr/>
                    <w:t>6</w:t>
                  </w:r>
                </w:p>
              </w:tc>
              <w:tc>
                <w:tcPr>
                  <w:tcW w:type="dxa" w:w="851"/>
                </w:tcPr>
                <w:p>
                  <w:pPr>
                    <w:pStyle w:val="null3"/>
                  </w:pPr>
                  <w:r>
                    <w:rPr/>
                    <w:t>转移分配</w:t>
                  </w:r>
                </w:p>
              </w:tc>
              <w:tc>
                <w:tcPr>
                  <w:tcW w:type="dxa" w:w="851"/>
                </w:tcPr>
                <w:p>
                  <w:pPr>
                    <w:pStyle w:val="null3"/>
                  </w:pPr>
                  <w:r>
                    <w:rPr/>
                    <w:t>资产交接申请及审批、资产调剂申请及审批</w:t>
                  </w:r>
                </w:p>
              </w:tc>
            </w:tr>
            <w:tr>
              <w:tc>
                <w:tcPr>
                  <w:tcW w:type="dxa" w:w="851"/>
                </w:tcPr>
                <w:p>
                  <w:pPr>
                    <w:pStyle w:val="null3"/>
                  </w:pPr>
                  <w:r>
                    <w:rPr/>
                    <w:t>7</w:t>
                  </w:r>
                </w:p>
              </w:tc>
              <w:tc>
                <w:tcPr>
                  <w:tcW w:type="dxa" w:w="851"/>
                </w:tcPr>
                <w:p>
                  <w:pPr>
                    <w:pStyle w:val="null3"/>
                  </w:pPr>
                  <w:r>
                    <w:rPr/>
                    <w:t>资产移交</w:t>
                  </w:r>
                </w:p>
              </w:tc>
              <w:tc>
                <w:tcPr>
                  <w:tcW w:type="dxa" w:w="851"/>
                </w:tcPr>
                <w:p>
                  <w:pPr>
                    <w:pStyle w:val="null3"/>
                  </w:pPr>
                  <w:r>
                    <w:rPr/>
                    <w:t>资产移交待办查询、资产随人调动申请、资产收回申请、资产移交审批、资产移交详情</w:t>
                  </w:r>
                </w:p>
              </w:tc>
            </w:tr>
            <w:tr>
              <w:tc>
                <w:tcPr>
                  <w:tcW w:type="dxa" w:w="851"/>
                </w:tcPr>
                <w:p>
                  <w:pPr>
                    <w:pStyle w:val="null3"/>
                  </w:pPr>
                  <w:r>
                    <w:rPr/>
                    <w:t>8</w:t>
                  </w:r>
                </w:p>
              </w:tc>
              <w:tc>
                <w:tcPr>
                  <w:tcW w:type="dxa" w:w="851"/>
                </w:tcPr>
                <w:p>
                  <w:pPr>
                    <w:pStyle w:val="null3"/>
                  </w:pPr>
                  <w:r>
                    <w:rPr/>
                    <w:t>资产盘点</w:t>
                  </w:r>
                </w:p>
              </w:tc>
              <w:tc>
                <w:tcPr>
                  <w:tcW w:type="dxa" w:w="851"/>
                </w:tcPr>
                <w:p>
                  <w:pPr>
                    <w:pStyle w:val="null3"/>
                  </w:pPr>
                  <w:r>
                    <w:rPr/>
                    <w:t>盘点任务维护、资产盘点、盘点结果处理</w:t>
                  </w:r>
                </w:p>
              </w:tc>
            </w:tr>
            <w:tr>
              <w:tc>
                <w:tcPr>
                  <w:tcW w:type="dxa" w:w="851"/>
                </w:tcPr>
                <w:p>
                  <w:pPr>
                    <w:pStyle w:val="null3"/>
                  </w:pPr>
                  <w:r>
                    <w:rPr/>
                    <w:t>9</w:t>
                  </w:r>
                </w:p>
              </w:tc>
              <w:tc>
                <w:tcPr>
                  <w:tcW w:type="dxa" w:w="851"/>
                </w:tcPr>
                <w:p>
                  <w:pPr>
                    <w:pStyle w:val="null3"/>
                  </w:pPr>
                  <w:r>
                    <w:rPr/>
                    <w:t>折旧管理</w:t>
                  </w:r>
                </w:p>
              </w:tc>
              <w:tc>
                <w:tcPr>
                  <w:tcW w:type="dxa" w:w="851"/>
                </w:tcPr>
                <w:p>
                  <w:pPr>
                    <w:pStyle w:val="null3"/>
                  </w:pPr>
                  <w:r>
                    <w:rPr/>
                    <w:t>资产折旧策略设置、折旧年限批量设置、计提折旧/摊销、补提冲减折旧、资产折旧信息初始化、资产折旧信息批量变更、资产月度查询、资产总账查询</w:t>
                  </w:r>
                </w:p>
              </w:tc>
            </w:tr>
            <w:tr>
              <w:tc>
                <w:tcPr>
                  <w:tcW w:type="dxa" w:w="851"/>
                </w:tcPr>
                <w:p>
                  <w:pPr>
                    <w:pStyle w:val="null3"/>
                  </w:pPr>
                  <w:r>
                    <w:rPr/>
                    <w:t>10</w:t>
                  </w:r>
                </w:p>
              </w:tc>
              <w:tc>
                <w:tcPr>
                  <w:tcW w:type="dxa" w:w="851"/>
                </w:tcPr>
                <w:p>
                  <w:pPr>
                    <w:pStyle w:val="null3"/>
                  </w:pPr>
                  <w:r>
                    <w:rPr/>
                    <w:t>资产财务对账</w:t>
                  </w:r>
                </w:p>
              </w:tc>
              <w:tc>
                <w:tcPr>
                  <w:tcW w:type="dxa" w:w="851"/>
                </w:tcPr>
                <w:p>
                  <w:pPr>
                    <w:pStyle w:val="null3"/>
                  </w:pPr>
                  <w:r>
                    <w:rPr/>
                    <w:t>资产与财务对账、财务信息补登</w:t>
                  </w:r>
                </w:p>
              </w:tc>
            </w:tr>
            <w:tr>
              <w:tc>
                <w:tcPr>
                  <w:tcW w:type="dxa" w:w="851"/>
                </w:tcPr>
                <w:p>
                  <w:pPr>
                    <w:pStyle w:val="null3"/>
                  </w:pPr>
                  <w:r>
                    <w:rPr/>
                    <w:t>11</w:t>
                  </w:r>
                </w:p>
              </w:tc>
              <w:tc>
                <w:tcPr>
                  <w:tcW w:type="dxa" w:w="851"/>
                </w:tcPr>
                <w:p>
                  <w:pPr>
                    <w:pStyle w:val="null3"/>
                  </w:pPr>
                  <w:r>
                    <w:rPr/>
                    <w:t>资产处置</w:t>
                  </w:r>
                </w:p>
              </w:tc>
              <w:tc>
                <w:tcPr>
                  <w:tcW w:type="dxa" w:w="851"/>
                </w:tcPr>
                <w:p>
                  <w:pPr>
                    <w:pStyle w:val="null3"/>
                  </w:pPr>
                  <w:r>
                    <w:rPr/>
                    <w:t>资产处置申请及审批、资产处置申报、执行，历年事项查询</w:t>
                  </w:r>
                </w:p>
              </w:tc>
            </w:tr>
            <w:tr>
              <w:tc>
                <w:tcPr>
                  <w:tcW w:type="dxa" w:w="851"/>
                </w:tcPr>
                <w:p>
                  <w:pPr>
                    <w:pStyle w:val="null3"/>
                  </w:pPr>
                  <w:r>
                    <w:rPr/>
                    <w:t>12</w:t>
                  </w:r>
                </w:p>
              </w:tc>
              <w:tc>
                <w:tcPr>
                  <w:tcW w:type="dxa" w:w="851"/>
                </w:tcPr>
                <w:p>
                  <w:pPr>
                    <w:pStyle w:val="null3"/>
                  </w:pPr>
                  <w:r>
                    <w:rPr/>
                    <w:t>查询中心</w:t>
                  </w:r>
                </w:p>
              </w:tc>
              <w:tc>
                <w:tcPr>
                  <w:tcW w:type="dxa" w:w="851"/>
                </w:tcPr>
                <w:p>
                  <w:pPr>
                    <w:pStyle w:val="null3"/>
                  </w:pPr>
                  <w:r>
                    <w:rPr/>
                    <w:t>综合查询、资产卡片明细查询、资产卡片历史状况查询</w:t>
                  </w:r>
                </w:p>
              </w:tc>
            </w:tr>
            <w:tr>
              <w:tc>
                <w:tcPr>
                  <w:tcW w:type="dxa" w:w="851"/>
                </w:tcPr>
                <w:p>
                  <w:pPr>
                    <w:pStyle w:val="null3"/>
                  </w:pPr>
                  <w:r>
                    <w:rPr/>
                    <w:t>13</w:t>
                  </w:r>
                </w:p>
              </w:tc>
              <w:tc>
                <w:tcPr>
                  <w:tcW w:type="dxa" w:w="851"/>
                </w:tcPr>
                <w:p>
                  <w:pPr>
                    <w:pStyle w:val="null3"/>
                  </w:pPr>
                  <w:r>
                    <w:rPr/>
                    <w:t>教育部实验室报表</w:t>
                  </w:r>
                </w:p>
              </w:tc>
              <w:tc>
                <w:tcPr>
                  <w:tcW w:type="dxa" w:w="851"/>
                </w:tcPr>
                <w:p>
                  <w:pPr>
                    <w:pStyle w:val="null3"/>
                  </w:pPr>
                  <w:r>
                    <w:rPr/>
                    <w:t>教育部实验室报表</w:t>
                  </w:r>
                </w:p>
              </w:tc>
            </w:tr>
            <w:tr>
              <w:tc>
                <w:tcPr>
                  <w:tcW w:type="dxa" w:w="851"/>
                </w:tcPr>
                <w:p>
                  <w:pPr>
                    <w:pStyle w:val="null3"/>
                  </w:pPr>
                  <w:r>
                    <w:rPr/>
                    <w:t>14</w:t>
                  </w:r>
                </w:p>
              </w:tc>
              <w:tc>
                <w:tcPr>
                  <w:tcW w:type="dxa" w:w="851"/>
                </w:tcPr>
                <w:p>
                  <w:pPr>
                    <w:pStyle w:val="null3"/>
                  </w:pPr>
                  <w:r>
                    <w:rPr/>
                    <w:t>数据体检</w:t>
                  </w:r>
                </w:p>
              </w:tc>
              <w:tc>
                <w:tcPr>
                  <w:tcW w:type="dxa" w:w="851"/>
                </w:tcPr>
                <w:p>
                  <w:pPr>
                    <w:pStyle w:val="null3"/>
                  </w:pPr>
                  <w:r>
                    <w:rPr/>
                    <w:t>数据体检、体检进度监控</w:t>
                  </w:r>
                </w:p>
              </w:tc>
            </w:tr>
            <w:tr>
              <w:tc>
                <w:tcPr>
                  <w:tcW w:type="dxa" w:w="851"/>
                </w:tcPr>
                <w:p>
                  <w:pPr>
                    <w:pStyle w:val="null3"/>
                  </w:pPr>
                  <w:r>
                    <w:rPr/>
                    <w:t>15</w:t>
                  </w:r>
                </w:p>
              </w:tc>
              <w:tc>
                <w:tcPr>
                  <w:tcW w:type="dxa" w:w="851"/>
                </w:tcPr>
                <w:p>
                  <w:pPr>
                    <w:pStyle w:val="null3"/>
                  </w:pPr>
                  <w:r>
                    <w:rPr/>
                    <w:t>系统管理</w:t>
                  </w:r>
                </w:p>
              </w:tc>
              <w:tc>
                <w:tcPr>
                  <w:tcW w:type="dxa" w:w="851"/>
                </w:tcPr>
                <w:p>
                  <w:pPr>
                    <w:pStyle w:val="null3"/>
                  </w:pPr>
                  <w:r>
                    <w:rPr/>
                    <w:t>基础数据管理、用户及权限管理、系统日志等</w:t>
                  </w:r>
                </w:p>
              </w:tc>
            </w:tr>
            <w:tr>
              <w:tc>
                <w:tcPr>
                  <w:tcW w:type="dxa" w:w="851"/>
                </w:tcPr>
                <w:p>
                  <w:pPr>
                    <w:pStyle w:val="null3"/>
                  </w:pPr>
                  <w:r>
                    <w:rPr/>
                    <w:t>16</w:t>
                  </w:r>
                </w:p>
              </w:tc>
              <w:tc>
                <w:tcPr>
                  <w:tcW w:type="dxa" w:w="851"/>
                </w:tcPr>
                <w:p>
                  <w:pPr>
                    <w:pStyle w:val="null3"/>
                  </w:pPr>
                  <w:r>
                    <w:rPr/>
                    <w:t>数据同步</w:t>
                  </w:r>
                </w:p>
              </w:tc>
              <w:tc>
                <w:tcPr>
                  <w:tcW w:type="dxa" w:w="851"/>
                </w:tcPr>
                <w:p>
                  <w:pPr>
                    <w:pStyle w:val="null3"/>
                  </w:pPr>
                  <w:r>
                    <w:rPr/>
                    <w:t>数据同步（与上级无缝对接）</w:t>
                  </w:r>
                </w:p>
              </w:tc>
            </w:tr>
            <w:tr>
              <w:tc>
                <w:tcPr>
                  <w:tcW w:type="dxa" w:w="851"/>
                </w:tcPr>
                <w:p>
                  <w:pPr>
                    <w:pStyle w:val="null3"/>
                  </w:pPr>
                  <w:r>
                    <w:rPr/>
                    <w:t>17</w:t>
                  </w:r>
                </w:p>
              </w:tc>
              <w:tc>
                <w:tcPr>
                  <w:tcW w:type="dxa" w:w="851"/>
                </w:tcPr>
                <w:p>
                  <w:pPr>
                    <w:pStyle w:val="null3"/>
                  </w:pPr>
                  <w:r>
                    <w:rPr/>
                    <w:t>低值耐耗</w:t>
                  </w:r>
                </w:p>
              </w:tc>
              <w:tc>
                <w:tcPr>
                  <w:tcW w:type="dxa" w:w="851"/>
                </w:tcPr>
                <w:p>
                  <w:pPr>
                    <w:pStyle w:val="null3"/>
                  </w:pPr>
                  <w:r>
                    <w:rPr/>
                    <w:t>低值耐耗品查询、低值耐耗入库、低值耐耗品报废、低值耐耗品信息变动；低值耐耗品部门调拨</w:t>
                  </w:r>
                </w:p>
              </w:tc>
            </w:tr>
            <w:tr>
              <w:tc>
                <w:tcPr>
                  <w:tcW w:type="dxa" w:w="851"/>
                </w:tcPr>
                <w:p>
                  <w:pPr>
                    <w:pStyle w:val="null3"/>
                  </w:pPr>
                  <w:r>
                    <w:rPr/>
                    <w:t>18</w:t>
                  </w:r>
                </w:p>
              </w:tc>
              <w:tc>
                <w:tcPr>
                  <w:tcW w:type="dxa" w:w="851"/>
                </w:tcPr>
                <w:p>
                  <w:pPr>
                    <w:pStyle w:val="null3"/>
                  </w:pPr>
                  <w:r>
                    <w:rPr/>
                    <w:t>低值易耗</w:t>
                  </w:r>
                </w:p>
              </w:tc>
              <w:tc>
                <w:tcPr>
                  <w:tcW w:type="dxa" w:w="851"/>
                </w:tcPr>
                <w:p>
                  <w:pPr>
                    <w:pStyle w:val="null3"/>
                  </w:pPr>
                  <w:r>
                    <w:rPr/>
                    <w:t>低值易耗品库存、低值易耗品分类、低值易耗品出、入库、低值易耗品查询；</w:t>
                  </w:r>
                </w:p>
              </w:tc>
            </w:tr>
            <w:tr>
              <w:tc>
                <w:tcPr>
                  <w:tcW w:type="dxa" w:w="851"/>
                </w:tcPr>
                <w:p>
                  <w:pPr>
                    <w:pStyle w:val="null3"/>
                  </w:pPr>
                  <w:r>
                    <w:rPr/>
                    <w:t>19</w:t>
                  </w:r>
                </w:p>
              </w:tc>
              <w:tc>
                <w:tcPr>
                  <w:tcW w:type="dxa" w:w="851"/>
                </w:tcPr>
                <w:p>
                  <w:pPr>
                    <w:pStyle w:val="null3"/>
                  </w:pPr>
                  <w:r>
                    <w:rPr/>
                    <w:t>资产调剂平台</w:t>
                  </w:r>
                </w:p>
              </w:tc>
              <w:tc>
                <w:tcPr>
                  <w:tcW w:type="dxa" w:w="851"/>
                </w:tcPr>
                <w:p>
                  <w:pPr>
                    <w:pStyle w:val="null3"/>
                  </w:pPr>
                  <w:r>
                    <w:rPr/>
                    <w:t>调剂发布及审批、调剂资产展示平台、调剂资产领用申请及审批</w:t>
                  </w:r>
                </w:p>
              </w:tc>
            </w:tr>
            <w:tr>
              <w:tc>
                <w:tcPr>
                  <w:tcW w:type="dxa" w:w="851"/>
                </w:tcPr>
                <w:p>
                  <w:pPr>
                    <w:pStyle w:val="null3"/>
                  </w:pPr>
                  <w:r>
                    <w:rPr/>
                    <w:t>20</w:t>
                  </w:r>
                </w:p>
              </w:tc>
              <w:tc>
                <w:tcPr>
                  <w:tcW w:type="dxa" w:w="851"/>
                </w:tcPr>
                <w:p>
                  <w:pPr>
                    <w:pStyle w:val="null3"/>
                  </w:pPr>
                  <w:r>
                    <w:rPr/>
                    <w:t>处置公示平台</w:t>
                  </w:r>
                </w:p>
              </w:tc>
              <w:tc>
                <w:tcPr>
                  <w:tcW w:type="dxa" w:w="851"/>
                </w:tcPr>
                <w:p>
                  <w:pPr>
                    <w:pStyle w:val="null3"/>
                  </w:pPr>
                  <w:r>
                    <w:rPr/>
                    <w:t>处置公示类别、周期配置，处置资产公示、处置资产调剂等</w:t>
                  </w:r>
                </w:p>
              </w:tc>
            </w:tr>
            <w:tr>
              <w:tc>
                <w:tcPr>
                  <w:tcW w:type="dxa" w:w="851"/>
                </w:tcPr>
                <w:p>
                  <w:pPr>
                    <w:pStyle w:val="null3"/>
                  </w:pPr>
                  <w:r>
                    <w:rPr/>
                    <w:t>21</w:t>
                  </w:r>
                </w:p>
              </w:tc>
              <w:tc>
                <w:tcPr>
                  <w:tcW w:type="dxa" w:w="851"/>
                </w:tcPr>
                <w:p>
                  <w:pPr>
                    <w:pStyle w:val="null3"/>
                  </w:pPr>
                  <w:r>
                    <w:rPr/>
                    <w:t>配置管理</w:t>
                  </w:r>
                </w:p>
              </w:tc>
              <w:tc>
                <w:tcPr>
                  <w:tcW w:type="dxa" w:w="851"/>
                </w:tcPr>
                <w:p>
                  <w:pPr>
                    <w:pStyle w:val="null3"/>
                  </w:pPr>
                  <w:r>
                    <w:rPr/>
                    <w:t>配置参数维护；资产配置情况查询</w:t>
                  </w:r>
                </w:p>
              </w:tc>
            </w:tr>
            <w:tr>
              <w:tc>
                <w:tcPr>
                  <w:tcW w:type="dxa" w:w="851"/>
                </w:tcPr>
                <w:p>
                  <w:pPr>
                    <w:pStyle w:val="null3"/>
                  </w:pPr>
                  <w:r>
                    <w:rPr/>
                    <w:t>22</w:t>
                  </w:r>
                </w:p>
              </w:tc>
              <w:tc>
                <w:tcPr>
                  <w:tcW w:type="dxa" w:w="851"/>
                </w:tcPr>
                <w:p>
                  <w:pPr>
                    <w:pStyle w:val="null3"/>
                  </w:pPr>
                  <w:r>
                    <w:rPr/>
                    <w:t>维修管理</w:t>
                  </w:r>
                </w:p>
              </w:tc>
              <w:tc>
                <w:tcPr>
                  <w:tcW w:type="dxa" w:w="851"/>
                </w:tcPr>
                <w:p>
                  <w:pPr>
                    <w:pStyle w:val="null3"/>
                  </w:pPr>
                  <w:r>
                    <w:rPr/>
                    <w:t>维修申请及审批；维修登记；维修人员维护；</w:t>
                  </w:r>
                </w:p>
              </w:tc>
            </w:tr>
            <w:tr>
              <w:tc>
                <w:tcPr>
                  <w:tcW w:type="dxa" w:w="851"/>
                </w:tcPr>
                <w:p>
                  <w:pPr>
                    <w:pStyle w:val="null3"/>
                  </w:pPr>
                  <w:r>
                    <w:rPr/>
                    <w:t>23</w:t>
                  </w:r>
                </w:p>
              </w:tc>
              <w:tc>
                <w:tcPr>
                  <w:tcW w:type="dxa" w:w="851"/>
                </w:tcPr>
                <w:p>
                  <w:pPr>
                    <w:pStyle w:val="null3"/>
                  </w:pPr>
                  <w:r>
                    <w:rPr/>
                    <w:t>资产财务对接</w:t>
                  </w:r>
                </w:p>
              </w:tc>
              <w:tc>
                <w:tcPr>
                  <w:tcW w:type="dxa" w:w="851"/>
                </w:tcPr>
                <w:p>
                  <w:pPr>
                    <w:pStyle w:val="null3"/>
                  </w:pPr>
                  <w:r>
                    <w:rPr/>
                    <w:t>资产财务报账、增减值、处置登记、折旧摊销等业务数据财务推送，并支持查看推送日志；与财务系统对接实现两单合一和线上办理</w:t>
                  </w:r>
                </w:p>
              </w:tc>
            </w:tr>
            <w:tr>
              <w:tc>
                <w:tcPr>
                  <w:tcW w:type="dxa" w:w="851"/>
                </w:tcPr>
                <w:p>
                  <w:pPr>
                    <w:pStyle w:val="null3"/>
                  </w:pPr>
                  <w:r>
                    <w:rPr/>
                    <w:t>24</w:t>
                  </w:r>
                </w:p>
              </w:tc>
              <w:tc>
                <w:tcPr>
                  <w:tcW w:type="dxa" w:w="851"/>
                  <w:vMerge w:val="restart"/>
                </w:tcPr>
                <w:p>
                  <w:pPr>
                    <w:pStyle w:val="null3"/>
                  </w:pPr>
                  <w:r>
                    <w:rPr/>
                    <w:t>数字化接口</w:t>
                  </w:r>
                </w:p>
              </w:tc>
              <w:tc>
                <w:tcPr>
                  <w:tcW w:type="dxa" w:w="851"/>
                </w:tcPr>
                <w:p>
                  <w:pPr>
                    <w:pStyle w:val="null3"/>
                  </w:pPr>
                  <w:r>
                    <w:rPr/>
                    <w:t>单点登录：实现统一身份认证，做到用户校园网“一点登陆，畅通使用”的效果</w:t>
                  </w:r>
                </w:p>
              </w:tc>
            </w:tr>
            <w:tr>
              <w:tc>
                <w:tcPr>
                  <w:tcW w:type="dxa" w:w="851"/>
                </w:tcPr>
                <w:p>
                  <w:pPr>
                    <w:pStyle w:val="null3"/>
                  </w:pPr>
                  <w:r>
                    <w:rPr/>
                    <w:t>25</w:t>
                  </w:r>
                </w:p>
              </w:tc>
              <w:tc>
                <w:tcPr>
                  <w:tcW w:type="dxa" w:w="851"/>
                  <w:vMerge/>
                </w:tcPr>
                <w:p/>
              </w:tc>
              <w:tc>
                <w:tcPr>
                  <w:tcW w:type="dxa" w:w="851"/>
                </w:tcPr>
                <w:p>
                  <w:pPr>
                    <w:pStyle w:val="null3"/>
                  </w:pPr>
                  <w:r>
                    <w:rPr/>
                    <w:t>基础信息调用：同步学校人员、部门等基础数据。资产变动管理要与人员管理系统对接，在人员发生岗位变动时，其名下资产必须先进行移交方可办理其他调转手续。</w:t>
                  </w:r>
                </w:p>
              </w:tc>
            </w:tr>
            <w:tr>
              <w:tc>
                <w:tcPr>
                  <w:tcW w:type="dxa" w:w="851"/>
                </w:tcPr>
                <w:p>
                  <w:pPr>
                    <w:pStyle w:val="null3"/>
                  </w:pPr>
                  <w:r>
                    <w:rPr/>
                    <w:t>26</w:t>
                  </w:r>
                </w:p>
              </w:tc>
              <w:tc>
                <w:tcPr>
                  <w:tcW w:type="dxa" w:w="851"/>
                  <w:vMerge/>
                </w:tcPr>
                <w:p/>
              </w:tc>
              <w:tc>
                <w:tcPr>
                  <w:tcW w:type="dxa" w:w="851"/>
                </w:tcPr>
                <w:p>
                  <w:pPr>
                    <w:pStyle w:val="null3"/>
                  </w:pPr>
                  <w:r>
                    <w:rPr/>
                    <w:t>数据查询：提供必要的数据查询接口或数据库数据字典，便于数据二次开发利用。</w:t>
                  </w:r>
                </w:p>
              </w:tc>
            </w:tr>
            <w:tr>
              <w:tc>
                <w:tcPr>
                  <w:tcW w:type="dxa" w:w="851"/>
                </w:tcPr>
                <w:p>
                  <w:pPr>
                    <w:pStyle w:val="null3"/>
                  </w:pPr>
                  <w:r>
                    <w:rPr/>
                    <w:t>27</w:t>
                  </w:r>
                </w:p>
              </w:tc>
              <w:tc>
                <w:tcPr>
                  <w:tcW w:type="dxa" w:w="851"/>
                  <w:vMerge w:val="restart"/>
                </w:tcPr>
                <w:p>
                  <w:pPr>
                    <w:pStyle w:val="null3"/>
                  </w:pPr>
                  <w:r>
                    <w:rPr/>
                    <w:t>移动端（支持移动app\小程序\企业微信）</w:t>
                  </w:r>
                </w:p>
              </w:tc>
              <w:tc>
                <w:tcPr>
                  <w:tcW w:type="dxa" w:w="851"/>
                </w:tcPr>
                <w:p>
                  <w:pPr>
                    <w:pStyle w:val="null3"/>
                  </w:pPr>
                  <w:r>
                    <w:rPr/>
                    <w:t>能查询：管辖资产、名下资产、资产退库列表、资产调剂发布列表、调剂领用列表、校内处置申请列表、处置申报列表、处置执行列表、部门间调拨列表、通知公告；</w:t>
                  </w:r>
                </w:p>
              </w:tc>
            </w:tr>
            <w:tr>
              <w:tc>
                <w:tcPr>
                  <w:tcW w:type="dxa" w:w="851"/>
                </w:tcPr>
                <w:p>
                  <w:pPr>
                    <w:pStyle w:val="null3"/>
                  </w:pPr>
                  <w:r>
                    <w:rPr/>
                    <w:t>28</w:t>
                  </w:r>
                </w:p>
              </w:tc>
              <w:tc>
                <w:tcPr>
                  <w:tcW w:type="dxa" w:w="851"/>
                  <w:vMerge/>
                </w:tcPr>
                <w:p/>
              </w:tc>
              <w:tc>
                <w:tcPr>
                  <w:tcW w:type="dxa" w:w="851"/>
                </w:tcPr>
                <w:p>
                  <w:pPr>
                    <w:pStyle w:val="null3"/>
                  </w:pPr>
                  <w:r>
                    <w:rPr/>
                    <w:t>能盘点：手工盘点、扫码盘点</w:t>
                  </w:r>
                </w:p>
              </w:tc>
            </w:tr>
            <w:tr>
              <w:tc>
                <w:tcPr>
                  <w:tcW w:type="dxa" w:w="851"/>
                </w:tcPr>
                <w:p>
                  <w:pPr>
                    <w:pStyle w:val="null3"/>
                  </w:pPr>
                  <w:r>
                    <w:rPr/>
                    <w:t>29</w:t>
                  </w:r>
                </w:p>
              </w:tc>
              <w:tc>
                <w:tcPr>
                  <w:tcW w:type="dxa" w:w="851"/>
                  <w:vMerge/>
                </w:tcPr>
                <w:p/>
              </w:tc>
              <w:tc>
                <w:tcPr>
                  <w:tcW w:type="dxa" w:w="851"/>
                </w:tcPr>
                <w:p>
                  <w:pPr>
                    <w:pStyle w:val="null3"/>
                  </w:pPr>
                  <w:r>
                    <w:rPr/>
                    <w:t>能审批：验收上账审批、资产领用、卡片标签上传、退库审批、资产调剂审批、校内处置审批</w:t>
                  </w:r>
                </w:p>
              </w:tc>
            </w:tr>
            <w:tr>
              <w:tc>
                <w:tcPr>
                  <w:tcW w:type="dxa" w:w="851"/>
                </w:tcPr>
                <w:p>
                  <w:pPr>
                    <w:pStyle w:val="null3"/>
                  </w:pPr>
                  <w:r>
                    <w:rPr/>
                    <w:t>30</w:t>
                  </w:r>
                </w:p>
              </w:tc>
              <w:tc>
                <w:tcPr>
                  <w:tcW w:type="dxa" w:w="851"/>
                  <w:vMerge/>
                </w:tcPr>
                <w:p/>
              </w:tc>
              <w:tc>
                <w:tcPr>
                  <w:tcW w:type="dxa" w:w="851"/>
                </w:tcPr>
                <w:p>
                  <w:pPr>
                    <w:pStyle w:val="null3"/>
                  </w:pPr>
                  <w:r>
                    <w:rPr/>
                    <w:t>能办理：资产交接业务申请、信息变动业务申请</w:t>
                  </w:r>
                </w:p>
              </w:tc>
            </w:tr>
          </w:tbl>
          <w:p>
            <w:pPr>
              <w:pStyle w:val="null3"/>
            </w:pPr>
            <w:r>
              <w:rPr/>
              <w:t>3、硬件设备及参数</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型号</w:t>
                  </w:r>
                </w:p>
              </w:tc>
              <w:tc>
                <w:tcPr>
                  <w:tcW w:type="dxa" w:w="511"/>
                </w:tcPr>
                <w:p>
                  <w:pPr>
                    <w:pStyle w:val="null3"/>
                  </w:pPr>
                  <w:r>
                    <w:rPr/>
                    <w:t>设备参数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触摸屏自助终端</w:t>
                  </w:r>
                </w:p>
              </w:tc>
              <w:tc>
                <w:tcPr>
                  <w:tcW w:type="dxa" w:w="511"/>
                </w:tcPr>
                <w:p>
                  <w:pPr>
                    <w:pStyle w:val="null3"/>
                  </w:pPr>
                  <w:r>
                    <w:rPr/>
                    <w:t>（1）触摸屏自助终端，工业级显示器；</w:t>
                  </w:r>
                </w:p>
                <w:p>
                  <w:pPr>
                    <w:pStyle w:val="null3"/>
                  </w:pPr>
                  <w:r>
                    <w:rPr/>
                    <w:t>显示面板：≥21.5寸（LG）工业级LED液晶模块；</w:t>
                  </w:r>
                </w:p>
                <w:p>
                  <w:pPr>
                    <w:pStyle w:val="null3"/>
                  </w:pPr>
                  <w:r>
                    <w:rPr/>
                    <w:t>显示区域：≥476*268mm；</w:t>
                  </w:r>
                </w:p>
                <w:p>
                  <w:pPr>
                    <w:pStyle w:val="null3"/>
                  </w:pPr>
                  <w:r>
                    <w:rPr/>
                    <w:t>液晶高清分辨率：≥1920*1080；</w:t>
                  </w:r>
                </w:p>
                <w:p>
                  <w:pPr>
                    <w:pStyle w:val="null3"/>
                  </w:pPr>
                  <w:r>
                    <w:rPr/>
                    <w:t xml:space="preserve">亮度≥450cd/㎡，对比度：≥1000：1；  </w:t>
                  </w:r>
                </w:p>
                <w:p>
                  <w:pPr>
                    <w:pStyle w:val="null3"/>
                  </w:pPr>
                  <w:r>
                    <w:rPr/>
                    <w:t>响应时间：≥4.5ms，清晰度：≥1080p；</w:t>
                  </w:r>
                </w:p>
                <w:p>
                  <w:pPr>
                    <w:pStyle w:val="null3"/>
                  </w:pPr>
                  <w:r>
                    <w:rPr/>
                    <w:t>使用寿命：≥60000~80000小时；</w:t>
                  </w:r>
                </w:p>
                <w:p>
                  <w:pPr>
                    <w:pStyle w:val="null3"/>
                  </w:pPr>
                  <w:r>
                    <w:rPr/>
                    <w:t>触摸屏：≥21.5寸TouchKit电容触控系统.触摸物理耐久性：承受超过6000万次以上的单点触摸，报告分辨率：≥32767 x 32767；</w:t>
                  </w:r>
                </w:p>
                <w:p>
                  <w:pPr>
                    <w:pStyle w:val="null3"/>
                  </w:pPr>
                  <w:r>
                    <w:rPr/>
                    <w:t>定制机柜：全钢制造，大于等于1.5mm冷轧钢板，进口汽车烤漆，防静电，内置音箱环绕立体声及一体电源，带安全锁.带电源开关.带固定支架，带脚垫。前维护，带校园卡挡板，带身份证挡板 ，机身颜色：白+蓝。</w:t>
                  </w:r>
                </w:p>
                <w:p>
                  <w:pPr>
                    <w:pStyle w:val="null3"/>
                  </w:pPr>
                  <w:r>
                    <w:rPr/>
                    <w:t>主机配置：工控主板H81主板 /≥intel i3 4代CPU /≥8G内存  /≥128G固态盘；</w:t>
                  </w:r>
                </w:p>
                <w:p>
                  <w:pPr>
                    <w:pStyle w:val="null3"/>
                  </w:pPr>
                  <w:r>
                    <w:rPr/>
                    <w:t>工业电源7*24小时不间断供电；</w:t>
                  </w:r>
                </w:p>
                <w:p>
                  <w:pPr>
                    <w:pStyle w:val="null3"/>
                  </w:pPr>
                  <w:r>
                    <w:rPr/>
                    <w:t>（2）RFID打印机TX3R(柔抗版)</w:t>
                  </w:r>
                </w:p>
                <w:p>
                  <w:pPr>
                    <w:pStyle w:val="null3"/>
                  </w:pPr>
                  <w:r>
                    <w:rPr/>
                    <w:t xml:space="preserve">1、打印方式:热转印；     </w:t>
                  </w:r>
                </w:p>
                <w:p>
                  <w:pPr>
                    <w:pStyle w:val="null3"/>
                  </w:pPr>
                  <w:r>
                    <w:rPr/>
                    <w:t xml:space="preserve">2、智能加热等级:HEAT™ I；   </w:t>
                  </w:r>
                </w:p>
                <w:p>
                  <w:pPr>
                    <w:pStyle w:val="null3"/>
                  </w:pPr>
                  <w:r>
                    <w:rPr/>
                    <w:t>3、分辨率：≥300dpi（8dot/mm）；</w:t>
                  </w:r>
                </w:p>
                <w:p>
                  <w:pPr>
                    <w:pStyle w:val="null3"/>
                  </w:pPr>
                  <w:r>
                    <w:rPr/>
                    <w:t xml:space="preserve">4、打印速度：≥12 ips (304.8 mm/s)；     </w:t>
                  </w:r>
                </w:p>
                <w:p>
                  <w:pPr>
                    <w:pStyle w:val="null3"/>
                  </w:pPr>
                  <w:r>
                    <w:rPr/>
                    <w:t xml:space="preserve">5、最大打印宽度：≥4.16″(105.7 mm)     </w:t>
                  </w:r>
                </w:p>
                <w:p>
                  <w:pPr>
                    <w:pStyle w:val="null3"/>
                  </w:pPr>
                  <w:r>
                    <w:rPr/>
                    <w:t xml:space="preserve">6、最大打印长度：≥196″ (5000 mm)；     </w:t>
                  </w:r>
                </w:p>
                <w:p>
                  <w:pPr>
                    <w:pStyle w:val="null3"/>
                  </w:pPr>
                  <w:r>
                    <w:rPr/>
                    <w:t xml:space="preserve">7、显示屏：≥4.5″ LCD 电容触控屏 4.5″LCD 电容触控屏； </w:t>
                  </w:r>
                </w:p>
                <w:p>
                  <w:pPr>
                    <w:pStyle w:val="null3"/>
                  </w:pPr>
                  <w:r>
                    <w:rPr/>
                    <w:t xml:space="preserve">8、内存：≥2GB DDR4 RAM, 8GB Managed NAND Flash；     </w:t>
                  </w:r>
                </w:p>
                <w:p>
                  <w:pPr>
                    <w:pStyle w:val="null3"/>
                  </w:pPr>
                  <w:r>
                    <w:rPr/>
                    <w:t xml:space="preserve">9、碳带尺寸：最大长度600m，内外碳均可；   </w:t>
                  </w:r>
                </w:p>
                <w:p>
                  <w:pPr>
                    <w:pStyle w:val="null3"/>
                  </w:pPr>
                  <w:r>
                    <w:rPr/>
                    <w:t xml:space="preserve">10、标签厚度：0.06－1.6 mm，包括底纸厚度；     </w:t>
                  </w:r>
                </w:p>
                <w:p>
                  <w:pPr>
                    <w:pStyle w:val="null3"/>
                  </w:pPr>
                  <w:r>
                    <w:rPr/>
                    <w:t xml:space="preserve">11、RFID功能：集成的UHF读写器 / 编码器（EPC Class 1 Gen 2/ISO 18000-6C）；     </w:t>
                  </w:r>
                </w:p>
                <w:p>
                  <w:pPr>
                    <w:pStyle w:val="null3"/>
                  </w:pPr>
                  <w:r>
                    <w:rPr/>
                    <w:t xml:space="preserve">12、定位要求：可读写/打印最小标签嵌体间距12mm的RFID标签；     </w:t>
                  </w:r>
                </w:p>
                <w:p>
                  <w:pPr>
                    <w:pStyle w:val="null3"/>
                  </w:pPr>
                  <w:r>
                    <w:rPr/>
                    <w:t xml:space="preserve">13、功能要求1：支持各种规格大小的RFID标签首张打印，一键定位标签天线位置，快速、自动探测最佳读写区域；     </w:t>
                  </w:r>
                </w:p>
                <w:p>
                  <w:pPr>
                    <w:pStyle w:val="null3"/>
                  </w:pPr>
                  <w:r>
                    <w:rPr/>
                    <w:t xml:space="preserve">14、功能要求2：具备菜单功能管理权限，标签模版管理功能，可实现普通标签与柔抗标签无缝切换；     </w:t>
                  </w:r>
                </w:p>
                <w:p>
                  <w:pPr>
                    <w:pStyle w:val="null3"/>
                  </w:pPr>
                  <w:r>
                    <w:rPr/>
                    <w:t xml:space="preserve">15、探测方式:上反射式（可移动）/ 下反射式（可移动）/ 穿透式（可移动）     </w:t>
                  </w:r>
                </w:p>
                <w:p>
                  <w:pPr>
                    <w:pStyle w:val="null3"/>
                  </w:pPr>
                  <w:r>
                    <w:rPr/>
                    <w:t xml:space="preserve">16、接口:RS-232 串口, 10/100/1000Mbps以太网口, USB DEVICE 2.0, USB HOST,WiFi6.0,蓝牙5.0； </w:t>
                  </w:r>
                </w:p>
                <w:p>
                  <w:pPr>
                    <w:pStyle w:val="null3"/>
                  </w:pPr>
                  <w:r>
                    <w:rPr/>
                    <w:t xml:space="preserve">17、工作环境:温度：0℃–40℃ (32°F ~ +104°F)；相对湿度：5% - 85%无凝露；    </w:t>
                  </w:r>
                </w:p>
                <w:p>
                  <w:pPr>
                    <w:pStyle w:val="null3"/>
                  </w:pPr>
                  <w:r>
                    <w:rPr/>
                    <w:t>18、存储环境:温度：-40℃–60℃ (-40°F ~ +140°F）；相对湿度：5%-85%无凝露 （3）A4打印机 黑白激光打印机，黑白打印速度：最高分辨率1200×1200dpi，打印速度：≥20PPM 月打印量10000页，内存 ≥64M  纸盒: ≥550 页；</w:t>
                  </w:r>
                </w:p>
                <w:p>
                  <w:pPr>
                    <w:pStyle w:val="null3"/>
                  </w:pPr>
                  <w:r>
                    <w:rPr/>
                    <w:t>（4）二维码扫描 符合国际、国内通用二维码标准:QR Code, Data Matrix, PDF417，汉信码等符合国际、国内通用一维码标准</w:t>
                  </w:r>
                </w:p>
                <w:p>
                  <w:pPr>
                    <w:pStyle w:val="null3"/>
                  </w:pPr>
                  <w:r>
                    <w:rPr/>
                    <w:t>（5）NFC刷卡器 感应式IC卡读卡器,不支持写入 ，只支持读取卡号</w:t>
                  </w:r>
                </w:p>
                <w:p>
                  <w:pPr>
                    <w:pStyle w:val="null3"/>
                  </w:pPr>
                  <w:r>
                    <w:rPr/>
                    <w:t>（6）身份证阅读器 华视CVR-100二代证阅读器感应式，符合公安部GA450-2003，阅读距离：0-5cm，读卡时间：≤1s</w:t>
                  </w:r>
                </w:p>
              </w:tc>
              <w:tc>
                <w:tcPr>
                  <w:tcW w:type="dxa" w:w="511"/>
                </w:tcPr>
                <w:p>
                  <w:pPr>
                    <w:pStyle w:val="null3"/>
                  </w:pPr>
                  <w:r>
                    <w:rPr/>
                    <w:t>台</w:t>
                  </w:r>
                </w:p>
              </w:tc>
              <w:tc>
                <w:tcPr>
                  <w:tcW w:type="dxa" w:w="511"/>
                </w:tcPr>
                <w:p>
                  <w:pPr>
                    <w:pStyle w:val="null3"/>
                  </w:pPr>
                  <w:r>
                    <w:rPr/>
                    <w:t>2</w:t>
                  </w:r>
                </w:p>
              </w:tc>
            </w:tr>
            <w:tr>
              <w:tc>
                <w:tcPr>
                  <w:tcW w:type="dxa" w:w="511"/>
                </w:tcPr>
                <w:p>
                  <w:pPr>
                    <w:pStyle w:val="null3"/>
                  </w:pPr>
                  <w:r>
                    <w:rPr/>
                    <w:t>2</w:t>
                  </w:r>
                </w:p>
              </w:tc>
              <w:tc>
                <w:tcPr>
                  <w:tcW w:type="dxa" w:w="511"/>
                </w:tcPr>
                <w:p>
                  <w:pPr>
                    <w:pStyle w:val="null3"/>
                  </w:pPr>
                  <w:r>
                    <w:rPr/>
                    <w:t>RFID标签打印机</w:t>
                  </w:r>
                </w:p>
              </w:tc>
              <w:tc>
                <w:tcPr>
                  <w:tcW w:type="dxa" w:w="511"/>
                </w:tcPr>
                <w:p>
                  <w:pPr>
                    <w:pStyle w:val="null3"/>
                  </w:pPr>
                  <w:r>
                    <w:rPr/>
                    <w:t xml:space="preserve">RFID打印机TX3R(柔抗版)；   </w:t>
                  </w:r>
                </w:p>
                <w:p>
                  <w:pPr>
                    <w:pStyle w:val="null3"/>
                  </w:pPr>
                  <w:r>
                    <w:rPr/>
                    <w:t xml:space="preserve">1、打印方式:热转印；     </w:t>
                  </w:r>
                </w:p>
                <w:p>
                  <w:pPr>
                    <w:pStyle w:val="null3"/>
                  </w:pPr>
                  <w:r>
                    <w:rPr/>
                    <w:t xml:space="preserve">2、智能加热等级:HEAT™ I；   </w:t>
                  </w:r>
                </w:p>
                <w:p>
                  <w:pPr>
                    <w:pStyle w:val="null3"/>
                  </w:pPr>
                  <w:r>
                    <w:rPr/>
                    <w:t>3、分辨率：≥300dpi（8dot/mm）；</w:t>
                  </w:r>
                </w:p>
                <w:p>
                  <w:pPr>
                    <w:pStyle w:val="null3"/>
                  </w:pPr>
                  <w:r>
                    <w:rPr/>
                    <w:t xml:space="preserve">4、打印速度：≥12 ips (304.8 mm/s)；     </w:t>
                  </w:r>
                </w:p>
                <w:p>
                  <w:pPr>
                    <w:pStyle w:val="null3"/>
                  </w:pPr>
                  <w:r>
                    <w:rPr/>
                    <w:t xml:space="preserve">5、最大打印宽度：≥4.16″ (105.7 mm) ；  </w:t>
                  </w:r>
                </w:p>
                <w:p>
                  <w:pPr>
                    <w:pStyle w:val="null3"/>
                  </w:pPr>
                  <w:r>
                    <w:rPr/>
                    <w:t xml:space="preserve">6、最大打印长度：≥196″ (5000 mm)；     </w:t>
                  </w:r>
                </w:p>
                <w:p>
                  <w:pPr>
                    <w:pStyle w:val="null3"/>
                  </w:pPr>
                  <w:r>
                    <w:rPr/>
                    <w:t xml:space="preserve">7、显示屏：≥4.5″ LCD 电容触控屏 4.5″ LCD 电容触控屏；    </w:t>
                  </w:r>
                </w:p>
                <w:p>
                  <w:pPr>
                    <w:pStyle w:val="null3"/>
                  </w:pPr>
                  <w:r>
                    <w:rPr/>
                    <w:t xml:space="preserve">8、内存：≥2GB DDR4 RAM, 8GB Managed NAND Flash；     </w:t>
                  </w:r>
                </w:p>
                <w:p>
                  <w:pPr>
                    <w:pStyle w:val="null3"/>
                  </w:pPr>
                  <w:r>
                    <w:rPr/>
                    <w:t xml:space="preserve">9、碳带尺寸：最大长度600m，内外碳均可；     </w:t>
                  </w:r>
                </w:p>
                <w:p>
                  <w:pPr>
                    <w:pStyle w:val="null3"/>
                  </w:pPr>
                  <w:r>
                    <w:rPr/>
                    <w:t xml:space="preserve">10、标签厚度：0.06－1.6 mm，包括底纸厚度；     </w:t>
                  </w:r>
                </w:p>
                <w:p>
                  <w:pPr>
                    <w:pStyle w:val="null3"/>
                  </w:pPr>
                  <w:r>
                    <w:rPr/>
                    <w:t xml:space="preserve">11、RFID功能：集成的UHF读写器 / 编码器（EPC Class 1 Gen 2/ISO 18000-6C）；     </w:t>
                  </w:r>
                </w:p>
                <w:p>
                  <w:pPr>
                    <w:pStyle w:val="null3"/>
                  </w:pPr>
                  <w:r>
                    <w:rPr/>
                    <w:t xml:space="preserve">12、定位要求：可读写/打印最小标签嵌体间距12mm的RFID标签；     </w:t>
                  </w:r>
                </w:p>
                <w:p>
                  <w:pPr>
                    <w:pStyle w:val="null3"/>
                  </w:pPr>
                  <w:r>
                    <w:rPr/>
                    <w:t xml:space="preserve">13、功能要求1：支持各种规格大小的RFID标签首张打印，一键定位标签天线位置，快速、自动探测最佳读写区域；   </w:t>
                  </w:r>
                </w:p>
                <w:p>
                  <w:pPr>
                    <w:pStyle w:val="null3"/>
                  </w:pPr>
                  <w:r>
                    <w:rPr/>
                    <w:t xml:space="preserve">14、功能要求2：具备菜单功能管理权限，标签模版管理功能，可实现普通标签与柔抗标签无缝切换；     </w:t>
                  </w:r>
                </w:p>
                <w:p>
                  <w:pPr>
                    <w:pStyle w:val="null3"/>
                  </w:pPr>
                  <w:r>
                    <w:rPr/>
                    <w:t xml:space="preserve">15、探测方式:上反射式（可移动）/ 下反射式（可移动）/ 穿透式（可移动）；     </w:t>
                  </w:r>
                </w:p>
                <w:p>
                  <w:pPr>
                    <w:pStyle w:val="null3"/>
                  </w:pPr>
                  <w:r>
                    <w:rPr/>
                    <w:t xml:space="preserve">16、接口:RS-232 串口, 10/100/1000Mbps以太网口, USB DEVICE 2.0, USB HOST,WiFi6.0（可选）,蓝牙5.0（可选）；     </w:t>
                  </w:r>
                </w:p>
                <w:p>
                  <w:pPr>
                    <w:pStyle w:val="null3"/>
                  </w:pPr>
                  <w:r>
                    <w:rPr/>
                    <w:t xml:space="preserve">17、工作环境:温度： 0℃ – 40℃ (32°F ~ +104°F)；相对湿度： 5% - 85%无凝露 ；    </w:t>
                  </w:r>
                </w:p>
                <w:p>
                  <w:pPr>
                    <w:pStyle w:val="null3"/>
                  </w:pPr>
                  <w:r>
                    <w:rPr/>
                    <w:t xml:space="preserve">18、存储环境:温度：-40℃ – 60℃ (-40°F ~ +140°F）；相对湿度： 5% - 85%无凝露；   </w:t>
                  </w:r>
                </w:p>
              </w:tc>
              <w:tc>
                <w:tcPr>
                  <w:tcW w:type="dxa" w:w="511"/>
                </w:tcPr>
                <w:p>
                  <w:pPr>
                    <w:pStyle w:val="null3"/>
                  </w:pPr>
                  <w:r>
                    <w:rPr/>
                    <w:t>台</w:t>
                  </w:r>
                </w:p>
              </w:tc>
              <w:tc>
                <w:tcPr>
                  <w:tcW w:type="dxa" w:w="511"/>
                </w:tcPr>
                <w:p>
                  <w:pPr>
                    <w:pStyle w:val="null3"/>
                  </w:pPr>
                  <w:r>
                    <w:rPr/>
                    <w:t>1</w:t>
                  </w:r>
                </w:p>
              </w:tc>
            </w:tr>
            <w:tr>
              <w:tc>
                <w:tcPr>
                  <w:tcW w:type="dxa" w:w="511"/>
                </w:tcPr>
                <w:p>
                  <w:pPr>
                    <w:pStyle w:val="null3"/>
                  </w:pPr>
                  <w:r>
                    <w:rPr/>
                    <w:t>3</w:t>
                  </w:r>
                </w:p>
              </w:tc>
              <w:tc>
                <w:tcPr>
                  <w:tcW w:type="dxa" w:w="511"/>
                </w:tcPr>
                <w:p>
                  <w:pPr>
                    <w:pStyle w:val="null3"/>
                  </w:pPr>
                  <w:r>
                    <w:rPr/>
                    <w:t>RFID手持设备</w:t>
                  </w:r>
                </w:p>
              </w:tc>
              <w:tc>
                <w:tcPr>
                  <w:tcW w:type="dxa" w:w="511"/>
                </w:tcPr>
                <w:p>
                  <w:pPr>
                    <w:pStyle w:val="null3"/>
                  </w:pPr>
                  <w:r>
                    <w:rPr/>
                    <w:t>品牌RFID手持机2台，</w:t>
                  </w:r>
                </w:p>
                <w:p>
                  <w:pPr>
                    <w:pStyle w:val="null3"/>
                  </w:pPr>
                  <w:r>
                    <w:rPr/>
                    <w:t>CPU ≥高通 8核 1.8GHz 及以上</w:t>
                  </w:r>
                </w:p>
                <w:p>
                  <w:pPr>
                    <w:pStyle w:val="null3"/>
                  </w:pPr>
                  <w:r>
                    <w:rPr/>
                    <w:t>操作系统 Android 9.0 及以上；</w:t>
                  </w:r>
                </w:p>
                <w:p>
                  <w:pPr>
                    <w:pStyle w:val="null3"/>
                  </w:pPr>
                  <w:r>
                    <w:rPr/>
                    <w:t xml:space="preserve"> 内存：4GB+64GB及以上；</w:t>
                  </w:r>
                </w:p>
                <w:p>
                  <w:pPr>
                    <w:pStyle w:val="null3"/>
                  </w:pPr>
                  <w:r>
                    <w:rPr/>
                    <w:t>用户存储扩展 Micro SD Card，最大兼容128GB；</w:t>
                  </w:r>
                </w:p>
                <w:p>
                  <w:pPr>
                    <w:pStyle w:val="null3"/>
                  </w:pPr>
                  <w:r>
                    <w:rPr/>
                    <w:t>屏幕要求5.0至5.5寸；</w:t>
                  </w:r>
                </w:p>
                <w:p>
                  <w:pPr>
                    <w:pStyle w:val="null3"/>
                  </w:pPr>
                  <w:r>
                    <w:rPr/>
                    <w:t xml:space="preserve"> 1920(H)×1080(W)；</w:t>
                  </w:r>
                </w:p>
                <w:p>
                  <w:pPr>
                    <w:pStyle w:val="null3"/>
                  </w:pPr>
                  <w:r>
                    <w:rPr/>
                    <w:t>电池容量≥6000mAh以上；</w:t>
                  </w:r>
                </w:p>
                <w:p>
                  <w:pPr>
                    <w:pStyle w:val="null3"/>
                  </w:pPr>
                  <w:r>
                    <w:rPr/>
                    <w:t>支持二维扫描条码移动识别速度≥1.2m/s；</w:t>
                  </w:r>
                </w:p>
                <w:p>
                  <w:pPr>
                    <w:pStyle w:val="null3"/>
                  </w:pPr>
                  <w:r>
                    <w:rPr/>
                    <w:t xml:space="preserve"> 扫描最远距离&gt;80cm；</w:t>
                  </w:r>
                </w:p>
                <w:p>
                  <w:pPr>
                    <w:pStyle w:val="null3"/>
                  </w:pPr>
                  <w:r>
                    <w:rPr/>
                    <w:t xml:space="preserve"> 扫描速度&gt;600次/分钟；</w:t>
                  </w:r>
                </w:p>
                <w:p>
                  <w:pPr>
                    <w:pStyle w:val="null3"/>
                  </w:pPr>
                  <w:r>
                    <w:rPr/>
                    <w:t>摄像头 支持摄像头；</w:t>
                  </w:r>
                </w:p>
                <w:p>
                  <w:pPr>
                    <w:pStyle w:val="null3"/>
                  </w:pPr>
                  <w:r>
                    <w:rPr/>
                    <w:t>读取距离：≥8m</w:t>
                  </w:r>
                </w:p>
                <w:p>
                  <w:pPr>
                    <w:pStyle w:val="null3"/>
                  </w:pPr>
                  <w:r>
                    <w:rPr/>
                    <w:t xml:space="preserve"> 写入距离：写入距离0-300cm；</w:t>
                  </w:r>
                </w:p>
                <w:p>
                  <w:pPr>
                    <w:pStyle w:val="null3"/>
                  </w:pPr>
                  <w:r>
                    <w:rPr/>
                    <w:t xml:space="preserve"> 群读速度：&lt;20S 500张@impinj H47； </w:t>
                  </w:r>
                </w:p>
                <w:p>
                  <w:pPr>
                    <w:pStyle w:val="null3"/>
                  </w:pPr>
                  <w:r>
                    <w:rPr/>
                    <w:t>设备管理平台支持对扫描配置、系统配置、应用程序的批量下发，且应用程序支持静默安装；</w:t>
                  </w:r>
                </w:p>
                <w:p>
                  <w:pPr>
                    <w:pStyle w:val="null3"/>
                  </w:pPr>
                  <w:r>
                    <w:rPr/>
                    <w:t>支持远程控制设备，能够实时看到设备界面；</w:t>
                  </w:r>
                </w:p>
                <w:p>
                  <w:pPr>
                    <w:pStyle w:val="null3"/>
                  </w:pPr>
                  <w:r>
                    <w:rPr/>
                    <w:t>支持远程抓取设备端日志，方便排查问题；</w:t>
                  </w:r>
                </w:p>
                <w:p>
                  <w:pPr>
                    <w:pStyle w:val="null3"/>
                  </w:pPr>
                  <w:r>
                    <w:rPr/>
                    <w:t>支持批量自定义设备的开机动画"。</w:t>
                  </w:r>
                </w:p>
              </w:tc>
              <w:tc>
                <w:tcPr>
                  <w:tcW w:type="dxa" w:w="511"/>
                </w:tcPr>
                <w:p>
                  <w:pPr>
                    <w:pStyle w:val="null3"/>
                  </w:pPr>
                  <w:r>
                    <w:rPr/>
                    <w:t>台</w:t>
                  </w:r>
                </w:p>
              </w:tc>
              <w:tc>
                <w:tcPr>
                  <w:tcW w:type="dxa" w:w="511"/>
                </w:tcPr>
                <w:p>
                  <w:pPr>
                    <w:pStyle w:val="null3"/>
                  </w:pPr>
                  <w:r>
                    <w:rPr/>
                    <w:t>2</w:t>
                  </w:r>
                </w:p>
              </w:tc>
            </w:tr>
          </w:tbl>
          <w:p/>
        </w:tc>
      </w:tr>
      <w:tr>
        <w:tc>
          <w:tcPr>
            <w:tcW w:type="dxa" w:w="2769"/>
          </w:tcPr>
          <w:p/>
        </w:tc>
        <w:tc>
          <w:tcPr>
            <w:tcW w:type="dxa" w:w="2769"/>
          </w:tcPr>
          <w:p>
            <w:pPr>
              <w:pStyle w:val="null3"/>
            </w:pPr>
            <w:r>
              <w:rPr/>
              <w:t>2</w:t>
            </w:r>
          </w:p>
        </w:tc>
        <w:tc>
          <w:tcPr>
            <w:tcW w:type="dxa" w:w="2769"/>
          </w:tcPr>
          <w:p>
            <w:pPr>
              <w:pStyle w:val="null3"/>
              <w:jc w:val="both"/>
            </w:pPr>
            <w:r>
              <w:rPr/>
              <w:t>质保期、售后服务响应时间等要求：质保：自终验合格之日起3年，售后7*24小时电话服务、远程支持服务、专项支持服务、定期巡检服务。</w:t>
            </w:r>
          </w:p>
        </w:tc>
      </w:tr>
    </w:tbl>
    <w:p>
      <w:pPr>
        <w:pStyle w:val="null3"/>
        <w:outlineLvl w:val="3"/>
      </w:pPr>
      <w:r>
        <w:rPr>
          <w:sz w:val="24"/>
          <w:b/>
        </w:rPr>
        <w:t>3.2.3人员配置要求</w:t>
      </w:r>
    </w:p>
    <w:p>
      <w:pPr>
        <w:pStyle w:val="null3"/>
      </w:pPr>
      <w:r>
        <w:rPr/>
        <w:t>采购包1：</w:t>
      </w:r>
    </w:p>
    <w:p>
      <w:pPr>
        <w:pStyle w:val="null3"/>
      </w:pPr>
      <w:r>
        <w:rPr/>
        <w:t>按项目需求配置</w:t>
      </w:r>
    </w:p>
    <w:p>
      <w:pPr>
        <w:pStyle w:val="null3"/>
        <w:outlineLvl w:val="3"/>
      </w:pPr>
      <w:r>
        <w:rPr>
          <w:sz w:val="24"/>
          <w:b/>
        </w:rPr>
        <w:t>3.2.4设施设备要求</w:t>
      </w:r>
    </w:p>
    <w:p>
      <w:pPr>
        <w:pStyle w:val="null3"/>
      </w:pPr>
      <w:r>
        <w:rPr/>
        <w:t>采购包1：</w:t>
      </w:r>
    </w:p>
    <w:p>
      <w:pPr>
        <w:pStyle w:val="null3"/>
      </w:pPr>
      <w:r>
        <w:rPr/>
        <w:t>按项目需求配置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合同生效之日起3个月完成系统升级改造并通过终验，售后服务期：终验合格之日起3年。</w:t>
      </w:r>
    </w:p>
    <w:p>
      <w:pPr>
        <w:pStyle w:val="null3"/>
        <w:outlineLvl w:val="3"/>
      </w:pPr>
      <w:r>
        <w:rPr>
          <w:sz w:val="24"/>
          <w:b/>
        </w:rPr>
        <w:t>3.3.2服务地点</w:t>
      </w:r>
    </w:p>
    <w:p>
      <w:pPr>
        <w:pStyle w:val="null3"/>
      </w:pPr>
      <w:r>
        <w:rPr/>
        <w:t>采购包1：</w:t>
      </w:r>
    </w:p>
    <w:p>
      <w:pPr>
        <w:pStyle w:val="null3"/>
      </w:pPr>
      <w:r>
        <w:rPr/>
        <w:t>陕西职业技术学院指定地点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甲方在每次付款前，乙方必须先提供等额的增值税普通发票，在乙方提供后，方可办理付款手续（税票办理具体问题与学校财务部门咨询或协商）。若乙方不能按照学校财务部门的要求出具发票，甲方有权不予付款，由此所造成的一切损失由乙方自行承担，如因发票问题使得甲方蒙受损失（包含但不限于罚款、处理费用、声誉影响等）的，乙方应当承担全部责任，并赔偿损失。 合同签订后，系统部署完毕上线运行，经验收</w:t>
      </w:r>
      <w:r>
        <w:rPr/>
        <w:t xml:space="preserve"> ，达到付款条件起 </w:t>
      </w:r>
      <w:r>
        <w:rPr/>
        <w:t>45</w:t>
      </w:r>
      <w:r>
        <w:rPr/>
        <w:t xml:space="preserve"> 日内，支付合同总金额的 </w:t>
      </w:r>
      <w:r>
        <w:rPr/>
        <w:t>90.00</w:t>
      </w:r>
      <w:r>
        <w:rPr/>
        <w:t>%。</w:t>
      </w:r>
    </w:p>
    <w:p>
      <w:pPr>
        <w:pStyle w:val="null3"/>
      </w:pPr>
      <w:r>
        <w:rPr/>
        <w:t>采购包1：</w:t>
      </w:r>
      <w:r>
        <w:rPr/>
        <w:t xml:space="preserve"> 付款条件说明： </w:t>
      </w:r>
      <w:r>
        <w:rPr/>
        <w:t xml:space="preserve"> 在7个月的试运行期内系统无重大功能缺陷和安全隐患，试运行期结束后经验收</w:t>
      </w:r>
      <w:r>
        <w:rPr/>
        <w:t xml:space="preserve"> ，达到付款条件起 </w:t>
      </w:r>
      <w:r>
        <w:rPr/>
        <w:t>45</w:t>
      </w:r>
      <w:r>
        <w:rPr/>
        <w:t xml:space="preserve"> 日内，支付合同总金额的 </w:t>
      </w:r>
      <w:r>
        <w:rPr/>
        <w:t>10.00</w:t>
      </w:r>
      <w:r>
        <w:rPr/>
        <w:t>%。</w:t>
      </w:r>
    </w:p>
    <w:p>
      <w:pPr>
        <w:pStyle w:val="null3"/>
        <w:outlineLvl w:val="3"/>
      </w:pPr>
      <w:r>
        <w:rPr>
          <w:sz w:val="24"/>
          <w:b/>
        </w:rPr>
        <w:t>3.3.5.验收标准和方法</w:t>
      </w:r>
    </w:p>
    <w:p>
      <w:pPr>
        <w:pStyle w:val="null3"/>
      </w:pPr>
      <w:r>
        <w:rPr/>
        <w:t>采购包1：</w:t>
      </w:r>
    </w:p>
    <w:p>
      <w:pPr>
        <w:pStyle w:val="null3"/>
      </w:pPr>
      <w:r>
        <w:rPr/>
        <w:t>按采购文件、响应文件及合同约定执行</w:t>
      </w:r>
    </w:p>
    <w:p>
      <w:pPr>
        <w:pStyle w:val="null3"/>
        <w:outlineLvl w:val="3"/>
      </w:pPr>
      <w:r>
        <w:rPr>
          <w:sz w:val="24"/>
          <w:b/>
        </w:rPr>
        <w:t>3.3.6违约责任及解决争议的方法</w:t>
      </w:r>
    </w:p>
    <w:p>
      <w:pPr>
        <w:pStyle w:val="null3"/>
      </w:pPr>
      <w:r>
        <w:rPr/>
        <w:t>采购包1：</w:t>
      </w:r>
    </w:p>
    <w:p>
      <w:pPr>
        <w:pStyle w:val="null3"/>
      </w:pPr>
      <w:r>
        <w:rPr/>
        <w:t>按采购文件、响应文件及合同约定执行</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线下递交文件时间：详见本项目单一来源采购公告提交响应文件截止时间；线下递交文件地点：陕西省西安市碑林区红缨路南口6号均明拍卖广场3层。 2、协商保证金注意事项：（1）协商保证金须从供应商户名支付，如从个人户名或非供应商户名支付，将被拒绝，视为自动放弃投标权利（该个人是供应商的情形除外）；以保函形式交纳投标保证金的，供应商应在响应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供应商应提供相关文件证明； ③社会保障资金缴纳证明：提供自2023年12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 提供“陕西省政府采购供应商信用承诺书”的，可不再提供其他证明文件。</w:t>
            </w:r>
          </w:p>
        </w:tc>
        <w:tc>
          <w:tcPr>
            <w:tcW w:type="dxa" w:w="1661"/>
          </w:tcPr>
          <w:p>
            <w:pPr>
              <w:pStyle w:val="null3"/>
            </w:pPr>
            <w:r>
              <w:rPr/>
              <w:t>2资格证明文件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法定代表人参加协商的，须提供法定代表人身份证；法定代表人授权本单位他人参加协商的，须提供法定代表人授权委托书。供应商需在项目电子化交易系统中按要求填写并进行电子签章。</w:t>
            </w:r>
          </w:p>
        </w:tc>
        <w:tc>
          <w:tcPr>
            <w:tcW w:type="dxa" w:w="1661"/>
          </w:tcPr>
          <w:p>
            <w:pPr>
              <w:pStyle w:val="null3"/>
            </w:pPr>
            <w:r>
              <w:rPr/>
              <w:t>2资格证明文件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满足本协商文件中第三章中商务要求的“服务期限、服务地点、支付方式及约定”的实质性条款要求的</w:t>
            </w:r>
          </w:p>
        </w:tc>
        <w:tc>
          <w:tcPr>
            <w:tcW w:type="dxa" w:w="1661"/>
          </w:tcPr>
          <w:p>
            <w:pPr>
              <w:pStyle w:val="null3"/>
            </w:pPr>
            <w:r>
              <w:rPr/>
              <w:t>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t>1分项价格表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供应商按照协商文件要求上传响应文件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响应报价未超过预算金额</w:t>
            </w:r>
          </w:p>
        </w:tc>
        <w:tc>
          <w:tcPr>
            <w:tcW w:type="dxa" w:w="3322"/>
          </w:tcPr>
          <w:p>
            <w:pPr>
              <w:pStyle w:val="null3"/>
            </w:pPr>
            <w:r>
              <w:rPr/>
              <w:t>供应商响应报价未超过预算金额</w:t>
            </w:r>
          </w:p>
        </w:tc>
        <w:tc>
          <w:tcPr>
            <w:tcW w:type="dxa" w:w="1661"/>
          </w:tcPr>
          <w:p>
            <w:pPr>
              <w:pStyle w:val="null3"/>
            </w:pPr>
            <w:r>
              <w:rPr/>
              <w:t>1分项价格表 标的清单 报价表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按照协商文件规定要求签署、盖章的</w:t>
            </w:r>
          </w:p>
        </w:tc>
        <w:tc>
          <w:tcPr>
            <w:tcW w:type="dxa" w:w="1661"/>
          </w:tcPr>
          <w:p>
            <w:pPr>
              <w:pStyle w:val="null3"/>
            </w:pPr>
            <w:r>
              <w:rPr/>
              <w:t>响应文件封面 1分项价格表 服务内容及服务邀请应答表 中小企业声明函 残疾人福利性单位声明函 商务应答表 标的清单 报价表 2资格证明文件 响应函 监狱企业的证明文件</w:t>
            </w:r>
          </w:p>
        </w:tc>
      </w:tr>
      <w:tr>
        <w:tc>
          <w:tcPr>
            <w:tcW w:type="dxa" w:w="831"/>
          </w:tcPr>
          <w:p>
            <w:pPr>
              <w:pStyle w:val="null3"/>
            </w:pPr>
            <w:r>
              <w:rPr/>
              <w:t>6</w:t>
            </w:r>
          </w:p>
        </w:tc>
        <w:tc>
          <w:tcPr>
            <w:tcW w:type="dxa" w:w="2492"/>
          </w:tcPr>
          <w:p>
            <w:pPr>
              <w:pStyle w:val="null3"/>
            </w:pPr>
            <w:r>
              <w:rPr/>
              <w:t>其他内容</w:t>
            </w:r>
          </w:p>
        </w:tc>
        <w:tc>
          <w:tcPr>
            <w:tcW w:type="dxa" w:w="3322"/>
          </w:tcPr>
          <w:p>
            <w:pPr>
              <w:pStyle w:val="null3"/>
            </w:pPr>
            <w:r>
              <w:rPr/>
              <w:t>无法律法规和协商文件规定的其他无效情形</w:t>
            </w:r>
          </w:p>
        </w:tc>
        <w:tc>
          <w:tcPr>
            <w:tcW w:type="dxa" w:w="1661"/>
          </w:tcPr>
          <w:p>
            <w:pPr>
              <w:pStyle w:val="null3"/>
            </w:pPr>
            <w:r>
              <w:rPr/>
              <w:t>4服务方案、服务承诺、组织机构 5供应商的基本情况、供应商认为需要提供的其他资料 6采购标的成本说明、供应商相关专利及专有技术情况说明、同类项目合同价格说明</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详见附件：4服务方案、服务承诺、组织机构</w:t>
      </w:r>
    </w:p>
    <w:p>
      <w:pPr>
        <w:pStyle w:val="null3"/>
        <w:ind w:firstLine="960"/>
      </w:pPr>
      <w:r>
        <w:rPr/>
        <w:t>详见附件：5供应商的基本情况、供应商认为需要提供的其他资料</w:t>
      </w:r>
    </w:p>
    <w:p>
      <w:pPr>
        <w:pStyle w:val="null3"/>
        <w:ind w:firstLine="960"/>
      </w:pPr>
      <w:r>
        <w:rPr/>
        <w:t>详见附件：6采购标的成本说明、供应商相关专利及专有技术情况说明、同类项目合同价格说明</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详见附件：合同模板12.12.docx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