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C02433">
      <w:pPr>
        <w:spacing w:line="360" w:lineRule="auto"/>
        <w:ind w:firstLine="562" w:firstLineChars="200"/>
        <w:jc w:val="center"/>
        <w:rPr>
          <w:rFonts w:ascii="仿宋" w:hAnsi="仿宋" w:eastAsia="仿宋" w:cs="仿宋"/>
          <w:b/>
          <w:bCs/>
          <w:sz w:val="28"/>
          <w:szCs w:val="28"/>
        </w:rPr>
      </w:pPr>
      <w:r>
        <w:rPr>
          <w:rFonts w:hint="eastAsia" w:ascii="仿宋" w:hAnsi="仿宋" w:eastAsia="仿宋" w:cs="仿宋"/>
          <w:b/>
          <w:bCs/>
          <w:sz w:val="28"/>
          <w:szCs w:val="28"/>
        </w:rPr>
        <w:t>合同模板</w:t>
      </w:r>
    </w:p>
    <w:p w14:paraId="7B5507DD">
      <w:pPr>
        <w:spacing w:before="156" w:beforeLines="50" w:after="156" w:afterLines="50" w:line="360" w:lineRule="auto"/>
        <w:outlineLvl w:val="1"/>
        <w:rPr>
          <w:rFonts w:ascii="仿宋" w:hAnsi="仿宋" w:eastAsia="仿宋" w:cs="仿宋"/>
          <w:b/>
          <w:bCs/>
        </w:rPr>
      </w:pPr>
      <w:r>
        <w:rPr>
          <w:rFonts w:hint="eastAsia" w:ascii="仿宋" w:hAnsi="仿宋" w:eastAsia="仿宋" w:cs="仿宋"/>
          <w:b/>
          <w:bCs/>
        </w:rPr>
        <w:t>一、服务项目</w:t>
      </w:r>
    </w:p>
    <w:p w14:paraId="00994869">
      <w:pPr>
        <w:spacing w:line="360" w:lineRule="auto"/>
        <w:rPr>
          <w:rFonts w:ascii="仿宋" w:hAnsi="仿宋" w:eastAsia="仿宋" w:cs="仿宋"/>
          <w:b/>
          <w:bCs/>
          <w:kern w:val="28"/>
          <w:szCs w:val="24"/>
        </w:rPr>
      </w:pPr>
      <w:r>
        <w:rPr>
          <w:rFonts w:hint="eastAsia" w:ascii="仿宋" w:hAnsi="仿宋" w:eastAsia="仿宋" w:cs="仿宋"/>
          <w:b/>
          <w:bCs/>
          <w:kern w:val="28"/>
          <w:szCs w:val="24"/>
          <w:lang w:bidi="ar"/>
        </w:rPr>
        <w:t>需方(甲方)：陕西省康复医院</w:t>
      </w:r>
    </w:p>
    <w:p w14:paraId="56429E85">
      <w:pPr>
        <w:spacing w:line="360" w:lineRule="auto"/>
        <w:ind w:firstLine="420" w:firstLineChars="200"/>
        <w:rPr>
          <w:rFonts w:ascii="仿宋" w:hAnsi="仿宋" w:eastAsia="仿宋" w:cs="仿宋"/>
          <w:kern w:val="28"/>
          <w:szCs w:val="24"/>
        </w:rPr>
      </w:pPr>
      <w:r>
        <w:rPr>
          <w:rFonts w:hint="eastAsia" w:ascii="仿宋" w:hAnsi="仿宋" w:eastAsia="仿宋" w:cs="仿宋"/>
          <w:kern w:val="28"/>
          <w:szCs w:val="24"/>
          <w:lang w:bidi="ar"/>
        </w:rPr>
        <w:t>地      址：西安市雁塔区电子二路52号</w:t>
      </w:r>
    </w:p>
    <w:p w14:paraId="3CE4F50B">
      <w:pPr>
        <w:spacing w:line="360" w:lineRule="auto"/>
        <w:ind w:firstLine="420" w:firstLineChars="200"/>
        <w:rPr>
          <w:rFonts w:ascii="仿宋" w:hAnsi="仿宋" w:eastAsia="仿宋" w:cs="仿宋"/>
          <w:kern w:val="28"/>
          <w:szCs w:val="24"/>
        </w:rPr>
      </w:pPr>
      <w:r>
        <w:rPr>
          <w:rFonts w:hint="eastAsia" w:ascii="仿宋" w:hAnsi="仿宋" w:eastAsia="仿宋" w:cs="仿宋"/>
          <w:kern w:val="28"/>
          <w:szCs w:val="24"/>
          <w:lang w:bidi="ar"/>
        </w:rPr>
        <w:t>电      话：029-89288722</w:t>
      </w:r>
    </w:p>
    <w:p w14:paraId="4F004969">
      <w:pPr>
        <w:spacing w:line="360" w:lineRule="auto"/>
        <w:ind w:firstLine="420" w:firstLineChars="200"/>
        <w:rPr>
          <w:rFonts w:ascii="仿宋" w:hAnsi="仿宋" w:eastAsia="仿宋" w:cs="仿宋"/>
          <w:kern w:val="28"/>
          <w:szCs w:val="24"/>
        </w:rPr>
      </w:pPr>
      <w:r>
        <w:rPr>
          <w:rFonts w:hint="eastAsia" w:ascii="仿宋" w:hAnsi="仿宋" w:eastAsia="仿宋" w:cs="仿宋"/>
          <w:kern w:val="28"/>
          <w:szCs w:val="24"/>
          <w:lang w:bidi="ar"/>
        </w:rPr>
        <w:t>邮      编：710065</w:t>
      </w:r>
    </w:p>
    <w:p w14:paraId="751FCCCB">
      <w:pPr>
        <w:spacing w:line="360" w:lineRule="auto"/>
        <w:ind w:firstLine="422" w:firstLineChars="200"/>
        <w:rPr>
          <w:rFonts w:ascii="仿宋" w:hAnsi="仿宋" w:eastAsia="仿宋" w:cs="仿宋"/>
          <w:b/>
          <w:bCs/>
          <w:kern w:val="28"/>
          <w:szCs w:val="24"/>
        </w:rPr>
      </w:pPr>
      <w:r>
        <w:rPr>
          <w:rFonts w:hint="eastAsia" w:ascii="仿宋" w:hAnsi="仿宋" w:eastAsia="仿宋" w:cs="仿宋"/>
          <w:b/>
          <w:bCs/>
          <w:kern w:val="28"/>
          <w:szCs w:val="24"/>
          <w:lang w:bidi="ar"/>
        </w:rPr>
        <w:t xml:space="preserve">供方(乙方)： </w:t>
      </w:r>
    </w:p>
    <w:p w14:paraId="5B1EC8F4">
      <w:pPr>
        <w:spacing w:line="360" w:lineRule="auto"/>
        <w:ind w:left="479" w:leftChars="228"/>
        <w:rPr>
          <w:rFonts w:ascii="仿宋" w:hAnsi="仿宋" w:eastAsia="仿宋" w:cs="仿宋"/>
          <w:kern w:val="28"/>
          <w:szCs w:val="24"/>
        </w:rPr>
      </w:pPr>
      <w:r>
        <w:rPr>
          <w:rFonts w:hint="eastAsia" w:ascii="仿宋" w:hAnsi="仿宋" w:eastAsia="仿宋" w:cs="仿宋"/>
          <w:kern w:val="28"/>
          <w:szCs w:val="24"/>
          <w:lang w:bidi="ar"/>
        </w:rPr>
        <w:t>地      址：</w:t>
      </w:r>
    </w:p>
    <w:p w14:paraId="0D01AD0F">
      <w:pPr>
        <w:spacing w:line="360" w:lineRule="auto"/>
        <w:ind w:firstLine="420" w:firstLineChars="200"/>
        <w:rPr>
          <w:rFonts w:ascii="仿宋" w:hAnsi="仿宋" w:eastAsia="仿宋" w:cs="仿宋"/>
          <w:kern w:val="28"/>
          <w:szCs w:val="24"/>
        </w:rPr>
      </w:pPr>
      <w:r>
        <w:rPr>
          <w:rFonts w:hint="eastAsia" w:ascii="仿宋" w:hAnsi="仿宋" w:eastAsia="仿宋" w:cs="仿宋"/>
          <w:kern w:val="28"/>
          <w:szCs w:val="24"/>
          <w:lang w:bidi="ar"/>
        </w:rPr>
        <w:t xml:space="preserve">电      话：    </w:t>
      </w:r>
    </w:p>
    <w:p w14:paraId="2F8C3B3B">
      <w:pPr>
        <w:spacing w:line="360" w:lineRule="auto"/>
        <w:ind w:firstLine="420" w:firstLineChars="200"/>
        <w:rPr>
          <w:rFonts w:ascii="仿宋" w:hAnsi="仿宋" w:eastAsia="仿宋" w:cs="仿宋"/>
          <w:kern w:val="28"/>
          <w:szCs w:val="24"/>
        </w:rPr>
      </w:pPr>
      <w:r>
        <w:rPr>
          <w:rFonts w:hint="eastAsia" w:ascii="仿宋" w:hAnsi="仿宋" w:eastAsia="仿宋" w:cs="仿宋"/>
          <w:kern w:val="28"/>
          <w:szCs w:val="24"/>
          <w:lang w:bidi="ar"/>
        </w:rPr>
        <w:t>邮      编：</w:t>
      </w:r>
    </w:p>
    <w:p w14:paraId="1EEDC591">
      <w:pPr>
        <w:spacing w:line="360" w:lineRule="auto"/>
        <w:ind w:firstLine="420" w:firstLineChars="200"/>
        <w:rPr>
          <w:rFonts w:ascii="仿宋" w:hAnsi="仿宋" w:eastAsia="仿宋" w:cs="仿宋"/>
          <w:kern w:val="28"/>
          <w:szCs w:val="24"/>
        </w:rPr>
      </w:pPr>
      <w:r>
        <w:rPr>
          <w:rFonts w:hint="eastAsia" w:ascii="仿宋" w:hAnsi="仿宋" w:eastAsia="仿宋" w:cs="仿宋"/>
          <w:kern w:val="28"/>
          <w:szCs w:val="24"/>
          <w:lang w:bidi="ar"/>
        </w:rPr>
        <w:t>联  系  人：</w:t>
      </w:r>
    </w:p>
    <w:p w14:paraId="01F198AD">
      <w:pPr>
        <w:spacing w:line="360" w:lineRule="auto"/>
        <w:ind w:firstLine="422" w:firstLineChars="200"/>
        <w:rPr>
          <w:rFonts w:ascii="仿宋" w:hAnsi="仿宋" w:eastAsia="仿宋" w:cs="仿宋"/>
          <w:szCs w:val="24"/>
        </w:rPr>
      </w:pPr>
      <w:r>
        <w:rPr>
          <w:rFonts w:hint="eastAsia" w:ascii="仿宋" w:hAnsi="仿宋" w:eastAsia="仿宋" w:cs="仿宋"/>
          <w:b/>
          <w:bCs/>
          <w:kern w:val="28"/>
          <w:szCs w:val="24"/>
          <w:lang w:bidi="ar"/>
        </w:rPr>
        <w:t xml:space="preserve">签约地点：西安市雁塔区 </w:t>
      </w:r>
    </w:p>
    <w:p w14:paraId="53FAF996">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根据《中华人民共和国民法典》的规定和甲方需求，本着平等互利、协商一致的原则，经甲乙双方友好协商，特订立本合同，共同遵守。</w:t>
      </w:r>
    </w:p>
    <w:p w14:paraId="7DDE77AA">
      <w:pPr>
        <w:widowControl w:val="0"/>
        <w:numPr>
          <w:ilvl w:val="0"/>
          <w:numId w:val="2"/>
        </w:numPr>
        <w:kinsoku/>
        <w:topLinePunct/>
        <w:autoSpaceDE/>
        <w:autoSpaceDN/>
        <w:adjustRightInd/>
        <w:snapToGrid/>
        <w:spacing w:line="360" w:lineRule="auto"/>
        <w:ind w:firstLine="422" w:firstLineChars="200"/>
        <w:rPr>
          <w:rFonts w:ascii="仿宋" w:hAnsi="仿宋" w:eastAsia="仿宋" w:cs="仿宋"/>
          <w:b/>
          <w:bCs/>
          <w:szCs w:val="24"/>
          <w:lang w:bidi="ar"/>
        </w:rPr>
      </w:pPr>
      <w:r>
        <w:rPr>
          <w:rFonts w:hint="eastAsia" w:ascii="仿宋" w:hAnsi="仿宋" w:eastAsia="仿宋" w:cs="仿宋"/>
          <w:b/>
          <w:bCs/>
          <w:szCs w:val="24"/>
          <w:lang w:bidi="ar"/>
        </w:rPr>
        <w:t>标的物清单</w:t>
      </w:r>
    </w:p>
    <w:p w14:paraId="6C77DA5C">
      <w:pPr>
        <w:numPr>
          <w:ilvl w:val="0"/>
          <w:numId w:val="3"/>
        </w:numPr>
        <w:topLinePunct/>
        <w:spacing w:line="360" w:lineRule="auto"/>
        <w:ind w:firstLine="422" w:firstLineChars="200"/>
        <w:rPr>
          <w:rFonts w:ascii="仿宋" w:hAnsi="仿宋" w:eastAsia="仿宋" w:cs="仿宋"/>
          <w:b/>
          <w:bCs/>
          <w:szCs w:val="24"/>
          <w:lang w:bidi="ar"/>
        </w:rPr>
      </w:pPr>
      <w:r>
        <w:rPr>
          <w:rFonts w:hint="eastAsia" w:ascii="仿宋" w:hAnsi="仿宋" w:eastAsia="仿宋" w:cs="仿宋"/>
          <w:b/>
          <w:bCs/>
          <w:szCs w:val="24"/>
          <w:lang w:bidi="ar"/>
        </w:rPr>
        <w:t xml:space="preserve">项目名称:陕西省康复医院2024年信息化建设应用软件项目 </w:t>
      </w:r>
    </w:p>
    <w:p w14:paraId="319157D4">
      <w:pPr>
        <w:topLinePunct/>
        <w:spacing w:line="360" w:lineRule="auto"/>
        <w:ind w:firstLine="422" w:firstLineChars="200"/>
        <w:rPr>
          <w:rFonts w:ascii="仿宋" w:hAnsi="仿宋" w:eastAsia="仿宋" w:cs="仿宋"/>
          <w:szCs w:val="24"/>
          <w:lang w:bidi="ar"/>
        </w:rPr>
      </w:pPr>
      <w:r>
        <w:rPr>
          <w:rFonts w:hint="eastAsia" w:ascii="仿宋" w:hAnsi="仿宋" w:eastAsia="仿宋" w:cs="仿宋"/>
          <w:b/>
          <w:bCs/>
          <w:szCs w:val="24"/>
          <w:lang w:bidi="ar"/>
        </w:rPr>
        <w:t>(二)项目实施地点:</w:t>
      </w:r>
      <w:r>
        <w:rPr>
          <w:rFonts w:hint="eastAsia" w:ascii="仿宋" w:hAnsi="仿宋" w:eastAsia="仿宋" w:cs="仿宋"/>
          <w:szCs w:val="24"/>
          <w:lang w:bidi="ar"/>
        </w:rPr>
        <w:t>陕西省康复医院指定地点.</w:t>
      </w:r>
    </w:p>
    <w:p w14:paraId="5F48DFDE">
      <w:pPr>
        <w:kinsoku/>
        <w:snapToGrid/>
        <w:spacing w:line="400" w:lineRule="exact"/>
        <w:ind w:firstLine="422" w:firstLineChars="200"/>
        <w:rPr>
          <w:rFonts w:ascii="仿宋" w:hAnsi="仿宋" w:eastAsia="仿宋" w:cs="仿宋"/>
          <w:b/>
          <w:bCs/>
          <w:szCs w:val="24"/>
          <w:lang w:bidi="ar"/>
        </w:rPr>
      </w:pPr>
      <w:r>
        <w:rPr>
          <w:rFonts w:hint="eastAsia" w:ascii="仿宋" w:hAnsi="仿宋" w:eastAsia="仿宋" w:cs="仿宋"/>
          <w:b/>
          <w:bCs/>
          <w:szCs w:val="24"/>
          <w:lang w:bidi="ar"/>
        </w:rPr>
        <w:t>(三)项目内容:</w:t>
      </w:r>
    </w:p>
    <w:p w14:paraId="25D3C75E"/>
    <w:p w14:paraId="6BE3F971">
      <w:pPr>
        <w:topLinePunct/>
        <w:spacing w:line="360" w:lineRule="auto"/>
        <w:ind w:firstLine="422" w:firstLineChars="200"/>
        <w:rPr>
          <w:rFonts w:ascii="仿宋" w:hAnsi="仿宋" w:eastAsia="仿宋" w:cs="仿宋"/>
          <w:szCs w:val="24"/>
          <w:lang w:bidi="ar"/>
        </w:rPr>
      </w:pPr>
      <w:r>
        <w:rPr>
          <w:rFonts w:hint="eastAsia" w:ascii="仿宋" w:hAnsi="仿宋" w:eastAsia="仿宋" w:cs="仿宋"/>
          <w:b/>
          <w:bCs/>
          <w:szCs w:val="24"/>
          <w:lang w:bidi="ar"/>
        </w:rPr>
        <w:t>(四)交付期(含安装):</w:t>
      </w:r>
      <w:r>
        <w:rPr>
          <w:rFonts w:hint="eastAsia" w:ascii="仿宋" w:hAnsi="仿宋" w:eastAsia="仿宋" w:cs="仿宋"/>
          <w:szCs w:val="24"/>
          <w:lang w:bidi="ar"/>
        </w:rPr>
        <w:t>合同签订之日起硬件15个日历日内到货。软件90个日历日实施完毕可验收。</w:t>
      </w:r>
    </w:p>
    <w:p w14:paraId="71E5BBD9">
      <w:pPr>
        <w:topLinePunct/>
        <w:spacing w:line="360" w:lineRule="auto"/>
        <w:ind w:firstLine="422" w:firstLineChars="200"/>
        <w:rPr>
          <w:rFonts w:ascii="仿宋" w:hAnsi="仿宋" w:eastAsia="仿宋" w:cs="仿宋"/>
          <w:szCs w:val="24"/>
          <w:lang w:bidi="ar"/>
        </w:rPr>
      </w:pPr>
      <w:r>
        <w:rPr>
          <w:rFonts w:hint="eastAsia" w:ascii="仿宋" w:hAnsi="仿宋" w:eastAsia="仿宋" w:cs="仿宋"/>
          <w:b/>
          <w:bCs/>
          <w:szCs w:val="24"/>
          <w:lang w:bidi="ar"/>
        </w:rPr>
        <w:t>（五）合同总价款：</w:t>
      </w:r>
      <w:r>
        <w:rPr>
          <w:rFonts w:hint="eastAsia" w:ascii="仿宋" w:hAnsi="仿宋" w:eastAsia="仿宋" w:cs="仿宋"/>
          <w:szCs w:val="24"/>
          <w:lang w:bidi="ar"/>
        </w:rPr>
        <w:t>人民币（小写）大写）</w:t>
      </w:r>
      <w:r>
        <w:rPr>
          <w:rFonts w:hint="eastAsia" w:ascii="仿宋" w:hAnsi="仿宋" w:eastAsia="仿宋" w:cs="仿宋"/>
          <w:szCs w:val="24"/>
          <w:u w:val="single"/>
          <w:lang w:bidi="ar"/>
        </w:rPr>
        <w:t xml:space="preserve">￥          </w:t>
      </w:r>
      <w:r>
        <w:rPr>
          <w:rFonts w:hint="eastAsia" w:ascii="仿宋" w:hAnsi="仿宋" w:eastAsia="仿宋" w:cs="仿宋"/>
          <w:b/>
          <w:bCs/>
          <w:szCs w:val="24"/>
          <w:lang w:bidi="ar"/>
        </w:rPr>
        <w:t>说明：</w:t>
      </w:r>
      <w:r>
        <w:rPr>
          <w:rFonts w:hint="eastAsia" w:ascii="仿宋" w:hAnsi="仿宋" w:eastAsia="仿宋" w:cs="仿宋"/>
          <w:szCs w:val="24"/>
          <w:lang w:bidi="ar"/>
        </w:rPr>
        <w:t>1、合同总价包括:完成本项目软硬件产品购置费、所有技术服务费和配合费、接口费、管理费、验收、税金、利润、培训、售后服务及全部明示和暗示的风险及本项目所涵盖的一切费用。</w:t>
      </w:r>
    </w:p>
    <w:p w14:paraId="1B3843AA">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2、本合同为一次性包死，不受市场价格变化因素的影响,甲方不再向乙方支付任何费用。</w:t>
      </w:r>
    </w:p>
    <w:p w14:paraId="0F5F69A2">
      <w:pPr>
        <w:widowControl w:val="0"/>
        <w:numPr>
          <w:ilvl w:val="0"/>
          <w:numId w:val="2"/>
        </w:numPr>
        <w:kinsoku/>
        <w:topLinePunct/>
        <w:autoSpaceDE/>
        <w:autoSpaceDN/>
        <w:adjustRightInd/>
        <w:snapToGrid/>
        <w:spacing w:line="360" w:lineRule="auto"/>
        <w:ind w:firstLine="422" w:firstLineChars="200"/>
        <w:rPr>
          <w:rFonts w:ascii="仿宋" w:hAnsi="仿宋" w:eastAsia="仿宋" w:cs="仿宋"/>
          <w:b/>
          <w:bCs/>
          <w:szCs w:val="24"/>
          <w:lang w:bidi="ar"/>
        </w:rPr>
      </w:pPr>
      <w:r>
        <w:rPr>
          <w:rFonts w:hint="eastAsia" w:ascii="仿宋" w:hAnsi="仿宋" w:eastAsia="仿宋" w:cs="仿宋"/>
          <w:b/>
          <w:bCs/>
          <w:szCs w:val="24"/>
          <w:lang w:bidi="ar"/>
        </w:rPr>
        <w:t>服务承诺</w:t>
      </w:r>
    </w:p>
    <w:p w14:paraId="66040A63">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1）、供应商需对</w:t>
      </w:r>
      <w:r>
        <w:rPr>
          <w:rFonts w:hint="eastAsia" w:ascii="仿宋" w:hAnsi="仿宋" w:eastAsia="仿宋" w:cs="仿宋"/>
          <w:b/>
          <w:bCs/>
          <w:szCs w:val="24"/>
          <w:lang w:bidi="ar"/>
        </w:rPr>
        <w:t>2024年信息化建设应用软件项目</w:t>
      </w:r>
      <w:r>
        <w:rPr>
          <w:rFonts w:hint="eastAsia" w:ascii="仿宋" w:hAnsi="仿宋" w:eastAsia="仿宋" w:cs="仿宋"/>
          <w:szCs w:val="24"/>
          <w:lang w:bidi="ar"/>
        </w:rPr>
        <w:t>（除超融合系统）配备专职人员提供 3 年免费远程运维+现场免费运维服务及免费售后服务，期限自项目验收合格之日起计算，免费运维期满后，乙方应继续向甲方提供技术服务。</w:t>
      </w:r>
    </w:p>
    <w:p w14:paraId="460755B2">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val="en-US" w:eastAsia="zh-CN" w:bidi="ar"/>
        </w:rPr>
        <w:t>合同包1投标人</w:t>
      </w:r>
      <w:r>
        <w:rPr>
          <w:rFonts w:hint="eastAsia" w:ascii="仿宋" w:hAnsi="仿宋" w:eastAsia="仿宋" w:cs="仿宋"/>
          <w:szCs w:val="24"/>
          <w:lang w:bidi="ar"/>
        </w:rPr>
        <w:t>需对超融合系统配备专职人员提供 5年免费远程运维+现场免费运维服务（除超融合系统）及免费售后服务，期限自项目验收合格之日起计算，免费运维期满后，乙方应继续向甲方提供技术服务。</w:t>
      </w:r>
    </w:p>
    <w:p w14:paraId="046DD12E">
      <w:pPr>
        <w:topLinePunct/>
        <w:spacing w:line="360" w:lineRule="auto"/>
        <w:ind w:firstLine="420" w:firstLineChars="200"/>
        <w:rPr>
          <w:rFonts w:ascii="仿宋" w:hAnsi="仿宋" w:eastAsia="仿宋" w:cs="仿宋"/>
          <w:szCs w:val="24"/>
          <w:lang w:bidi="ar"/>
        </w:rPr>
      </w:pPr>
    </w:p>
    <w:p w14:paraId="0E819E09">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2）、免费运维期内提供免费技术支持、系统维护、软件升级、补丁程序、最新版本程序、故障检测、故障修复、性能优化、功能完善等。</w:t>
      </w:r>
    </w:p>
    <w:p w14:paraId="5D776E26">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3）、售后服务响应时间及维护承诺。自项目投入正式运行和在免费服务期内，系统出现故障时，供应商应 7×24 小时服务响应，维护工程师现场处理系统故障及时现场解决并做出故障处理报告。</w:t>
      </w:r>
    </w:p>
    <w:p w14:paraId="5B37DD6C">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4）、系统软件验收前和质量保修期期内的任何时候，要求供应商对软件功能作不违背合同总体要求的适当的修改，以满足采购人运营管理的需要，而供应商并不得籍此要求增加费用或延长服务期。</w:t>
      </w:r>
    </w:p>
    <w:p w14:paraId="1C9AD7D5">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5）、在系统使用周期内，如果由于技术的发展与进步而引起软件版本的变化，供应商必须免费对软件升级，并提出正式书面报告交采购人批准认可。供应商不得擅自变更采购人已经认可的任何资料。</w:t>
      </w:r>
    </w:p>
    <w:p w14:paraId="38516864">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6）、免费质量保修期 (含维保服务) ：3年（除超融合系统）；超融合系统免费质量保修期（含维保服务）：5年。</w:t>
      </w:r>
    </w:p>
    <w:p w14:paraId="22189323">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7）、供应商应负责设立维修服务机构，处理所有维修和技术支持服务。该机构必须备有足够的技术力量，以满足系统的维修需要，</w:t>
      </w:r>
    </w:p>
    <w:p w14:paraId="1334187F">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8）、质量保修期内 (含质量保修期的维保服务) ，系统的任何技术、质量问题而产生故障影响正常运转，以及采购人无法处理的问题，供应商均应免费提供售后服务、及时解决系统存在的各种问题。</w:t>
      </w:r>
    </w:p>
    <w:p w14:paraId="452CDFB2">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9）、在质量保修期内，供应商必须对系统做定期检查和维护，并配合信息科下沉至临床、医技科室与职能后勤科室进行软件系统应用培训，包括但不限于编码培训、数据分析及系统操作等，提供后续决策依据。若采购方对 his、电子病历等系统进行更换，供应商因提供免费部署的服务(包含与相应系统进行对接)。</w:t>
      </w:r>
    </w:p>
    <w:p w14:paraId="6CD956D7">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10）、在质量保修期结束前，由供应商和采购人进行一次全面检查，任何缺陷必须由供应商负责修复。</w:t>
      </w:r>
    </w:p>
    <w:p w14:paraId="29396C18">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11）、所有售后服务必须是日历天 (含法定节假日)24小时“随传响应”，即在接到采购人通知后 2 小时内确定服务方案，需要现场服务的 4小时内提供现场服务，并必须连续进行，直至系统完全恢复正常为止。重大问题处理时限不超过 24 小时，若 48 小时内不能修复，必须采取应急措施，提供应急使用方案。</w:t>
      </w:r>
    </w:p>
    <w:p w14:paraId="1789FE77">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12）、厂家承</w:t>
      </w:r>
      <w:bookmarkStart w:id="0" w:name="_GoBack"/>
      <w:r>
        <w:rPr>
          <w:rFonts w:hint="eastAsia" w:ascii="仿宋" w:hAnsi="仿宋" w:eastAsia="仿宋" w:cs="仿宋"/>
          <w:szCs w:val="24"/>
          <w:lang w:bidi="ar"/>
        </w:rPr>
        <w:t>诺验收后提供 3 年免费维保服务（除超融合系统），服务期内，免费提供系统的运维、升级，从项目验收日起免费提供不少于六个月的工程师现场驻场服务。厂家需在西安本地配备售后服务团队，提供近 3 个月内不少于 5人的本单位社保证明。</w:t>
      </w:r>
    </w:p>
    <w:p w14:paraId="402D930B">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厂家承诺验收后对超融合系统提供 5 年免费维保服务，服务期内，免费提供系统的运维、升级，从项目验收日起免费提供不少于六个月的工程师现场驻场服务。厂家需在西安本地配备售后服务团队，提供近 3 个月内不少于 5人的本单位社保证明。</w:t>
      </w:r>
    </w:p>
    <w:bookmarkEnd w:id="0"/>
    <w:p w14:paraId="3426F4B8">
      <w:pPr>
        <w:pStyle w:val="4"/>
        <w:numPr>
          <w:ilvl w:val="3"/>
          <w:numId w:val="0"/>
        </w:numPr>
      </w:pPr>
    </w:p>
    <w:p w14:paraId="4F41CF4E">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12.1 主机不少于3年（除超融合系统）免费保修指:由厂家工程师安装完成，经医院或第三方检测、验收合格之日起的 3 年之内为保修期。在保修期内，任何由于机器质量原因或正常使用引起的故障及损坏，除人为因素损坏外，由厂家提供原厂配件免费更换。保修期过后，按合同约定执行。</w:t>
      </w:r>
    </w:p>
    <w:p w14:paraId="75ADEF26">
      <w:pPr>
        <w:topLinePunct/>
        <w:spacing w:line="360" w:lineRule="auto"/>
        <w:ind w:firstLine="420" w:firstLineChars="200"/>
      </w:pPr>
      <w:r>
        <w:rPr>
          <w:rFonts w:hint="eastAsia" w:ascii="仿宋" w:hAnsi="仿宋" w:eastAsia="仿宋" w:cs="仿宋"/>
          <w:szCs w:val="24"/>
          <w:lang w:bidi="ar"/>
        </w:rPr>
        <w:t>超融合项目不少于5年免费保修指:由厂家工程师安装完成，经医院或第三方检测、验收合格之日起的 5 年之内为保修期。在保修期内，任何由于机器质量原因或正常使用引起的故障及损坏，除人为因素损坏外，由厂家提供原厂配件免费更换。保修期过后，按合同约定执行。</w:t>
      </w:r>
    </w:p>
    <w:p w14:paraId="762B0A94">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12.2 终身维修指:厂家对所售产品提供终身维修服务。如果因为该产品生产年限过长，零配件无法供应，维修方案将与用户协商解决。</w:t>
      </w:r>
    </w:p>
    <w:p w14:paraId="1BE6B4B0">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供应商应提供固定的技术支持联系渠道 (地址、电话、微信)，如有变化应及时书面通知采购人。</w:t>
      </w:r>
    </w:p>
    <w:p w14:paraId="0FAC6C54">
      <w:pPr>
        <w:topLinePunct/>
        <w:spacing w:line="360" w:lineRule="auto"/>
        <w:ind w:firstLine="420" w:firstLineChars="200"/>
        <w:rPr>
          <w:rFonts w:ascii="仿宋" w:hAnsi="仿宋" w:eastAsia="仿宋" w:cs="仿宋"/>
          <w:szCs w:val="24"/>
          <w:lang w:bidi="ar"/>
        </w:rPr>
      </w:pPr>
      <w:r>
        <w:rPr>
          <w:rFonts w:ascii="仿宋" w:hAnsi="仿宋" w:eastAsia="仿宋" w:cs="仿宋"/>
          <w:szCs w:val="24"/>
          <w:lang w:bidi="ar"/>
        </w:rPr>
        <w:t>1</w:t>
      </w:r>
      <w:r>
        <w:rPr>
          <w:rFonts w:hint="eastAsia" w:ascii="仿宋" w:hAnsi="仿宋" w:eastAsia="仿宋" w:cs="仿宋"/>
          <w:szCs w:val="24"/>
          <w:lang w:bidi="ar"/>
        </w:rPr>
        <w:t>3）</w:t>
      </w:r>
      <w:r>
        <w:rPr>
          <w:rFonts w:ascii="仿宋" w:hAnsi="仿宋" w:eastAsia="仿宋" w:cs="仿宋"/>
          <w:szCs w:val="24"/>
          <w:lang w:bidi="ar"/>
        </w:rPr>
        <w:t xml:space="preserve">、质量保修期满后维保服务:以优惠价格提供维保服务，年维保服务费不得超过采购合同金额的 </w:t>
      </w:r>
      <w:r>
        <w:rPr>
          <w:rFonts w:hint="eastAsia" w:ascii="仿宋" w:hAnsi="仿宋" w:eastAsia="仿宋" w:cs="仿宋"/>
          <w:szCs w:val="24"/>
          <w:lang w:bidi="ar"/>
        </w:rPr>
        <w:t>8</w:t>
      </w:r>
      <w:r>
        <w:rPr>
          <w:rFonts w:ascii="仿宋" w:hAnsi="仿宋" w:eastAsia="仿宋" w:cs="仿宋"/>
          <w:szCs w:val="24"/>
          <w:lang w:bidi="ar"/>
        </w:rPr>
        <w:t>%。</w:t>
      </w:r>
    </w:p>
    <w:p w14:paraId="50834116">
      <w:pPr>
        <w:topLinePunct/>
        <w:spacing w:line="360" w:lineRule="auto"/>
        <w:ind w:firstLine="420" w:firstLineChars="200"/>
        <w:rPr>
          <w:rFonts w:ascii="仿宋" w:hAnsi="仿宋" w:eastAsia="仿宋" w:cs="仿宋"/>
          <w:szCs w:val="24"/>
          <w:lang w:bidi="ar"/>
        </w:rPr>
      </w:pPr>
      <w:r>
        <w:rPr>
          <w:rFonts w:ascii="仿宋" w:hAnsi="仿宋" w:eastAsia="仿宋" w:cs="仿宋"/>
          <w:szCs w:val="24"/>
          <w:lang w:bidi="ar"/>
        </w:rPr>
        <w:t>1</w:t>
      </w:r>
      <w:r>
        <w:rPr>
          <w:rFonts w:hint="eastAsia" w:ascii="仿宋" w:hAnsi="仿宋" w:eastAsia="仿宋" w:cs="仿宋"/>
          <w:szCs w:val="24"/>
          <w:lang w:bidi="ar"/>
        </w:rPr>
        <w:t>4）</w:t>
      </w:r>
      <w:r>
        <w:rPr>
          <w:rFonts w:ascii="仿宋" w:hAnsi="仿宋" w:eastAsia="仿宋" w:cs="仿宋"/>
          <w:szCs w:val="24"/>
          <w:lang w:bidi="ar"/>
        </w:rPr>
        <w:t>、以投标文件、澄清表(函)、合同和随服务的相关文件为准。</w:t>
      </w:r>
    </w:p>
    <w:p w14:paraId="0D476131">
      <w:pPr>
        <w:topLinePunct/>
        <w:spacing w:line="360" w:lineRule="auto"/>
        <w:ind w:firstLine="420" w:firstLineChars="200"/>
        <w:rPr>
          <w:rFonts w:ascii="仿宋" w:hAnsi="仿宋" w:eastAsia="仿宋" w:cs="仿宋"/>
          <w:b/>
          <w:bCs/>
          <w:szCs w:val="24"/>
          <w:lang w:bidi="ar"/>
        </w:rPr>
      </w:pPr>
      <w:r>
        <w:rPr>
          <w:rFonts w:ascii="仿宋" w:hAnsi="仿宋" w:eastAsia="仿宋" w:cs="仿宋"/>
          <w:szCs w:val="24"/>
          <w:lang w:bidi="ar"/>
        </w:rPr>
        <w:t>1</w:t>
      </w:r>
      <w:r>
        <w:rPr>
          <w:rFonts w:hint="eastAsia" w:ascii="仿宋" w:hAnsi="仿宋" w:eastAsia="仿宋" w:cs="仿宋"/>
          <w:szCs w:val="24"/>
          <w:lang w:bidi="ar"/>
        </w:rPr>
        <w:t>5）</w:t>
      </w:r>
      <w:r>
        <w:rPr>
          <w:rFonts w:ascii="仿宋" w:hAnsi="仿宋" w:eastAsia="仿宋" w:cs="仿宋"/>
          <w:szCs w:val="24"/>
          <w:lang w:bidi="ar"/>
        </w:rPr>
        <w:t>、服务期间与甲方签订保密协议，保证甲方数据安全。</w:t>
      </w:r>
    </w:p>
    <w:p w14:paraId="30240E8D">
      <w:pPr>
        <w:widowControl w:val="0"/>
        <w:numPr>
          <w:ilvl w:val="0"/>
          <w:numId w:val="2"/>
        </w:numPr>
        <w:kinsoku/>
        <w:topLinePunct/>
        <w:autoSpaceDE/>
        <w:autoSpaceDN/>
        <w:adjustRightInd/>
        <w:snapToGrid/>
        <w:spacing w:line="360" w:lineRule="auto"/>
        <w:ind w:firstLine="422" w:firstLineChars="200"/>
        <w:rPr>
          <w:rFonts w:ascii="仿宋" w:hAnsi="仿宋" w:eastAsia="仿宋" w:cs="仿宋"/>
          <w:b/>
          <w:bCs/>
          <w:szCs w:val="24"/>
          <w:lang w:bidi="ar"/>
        </w:rPr>
      </w:pPr>
      <w:r>
        <w:rPr>
          <w:rFonts w:hint="eastAsia" w:ascii="仿宋" w:hAnsi="仿宋" w:eastAsia="仿宋" w:cs="仿宋"/>
          <w:b/>
          <w:bCs/>
          <w:szCs w:val="24"/>
          <w:lang w:bidi="ar"/>
        </w:rPr>
        <w:t>验收标准和方法</w:t>
      </w:r>
    </w:p>
    <w:p w14:paraId="58FC4351">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rPr>
      </w:pPr>
      <w:r>
        <w:rPr>
          <w:rFonts w:hint="eastAsia" w:ascii="仿宋" w:hAnsi="仿宋" w:eastAsia="仿宋" w:cs="仿宋"/>
          <w:color w:val="auto"/>
          <w:sz w:val="21"/>
          <w:szCs w:val="21"/>
        </w:rPr>
        <w:t>硬件验收</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合同签订后15个日历日内到货。相关技术人员做好入场准备。</w:t>
      </w:r>
    </w:p>
    <w:p w14:paraId="24B02156">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z w:val="21"/>
          <w:szCs w:val="21"/>
        </w:rPr>
      </w:pPr>
      <w:r>
        <w:rPr>
          <w:rFonts w:hint="eastAsia" w:ascii="仿宋" w:hAnsi="仿宋" w:eastAsia="仿宋" w:cs="仿宋"/>
          <w:color w:val="auto"/>
          <w:sz w:val="21"/>
          <w:szCs w:val="21"/>
        </w:rPr>
        <w:t>供应商应在货物运抵现场一周前，向采购人提供运输、卸货、安装调试及运行的进度计划表。设备运达指定地点后，采购人和供应商根据合同要求对设备进行收货验收，确认货物的制造厂、规格、型号、品牌和数量等，确认无误后，供应商开始施工</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设备到货后，供应商负责安装调试，达到正常运行条件后书面通知采购人验收。安装完成后应提供详细的安装报告，并详细记录各种指示的实测数据。提供完整的操作手册和安装、调试、维修手册；提供制造厂家的检验测试报告或设备出厂检测报告。供应商根据合同要求对设备进行验收、确认设备的产地、规格、型号和数量。验收依据为本合同文本、招投标文件和国内相应的标准、规范。</w:t>
      </w:r>
    </w:p>
    <w:p w14:paraId="7C029E12">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z w:val="21"/>
          <w:szCs w:val="21"/>
        </w:rPr>
      </w:pPr>
      <w:r>
        <w:rPr>
          <w:rFonts w:hint="eastAsia" w:ascii="仿宋" w:hAnsi="仿宋" w:eastAsia="仿宋" w:cs="仿宋"/>
          <w:color w:val="auto"/>
          <w:sz w:val="21"/>
          <w:szCs w:val="21"/>
        </w:rPr>
        <w:t>验收合格后，填写设备验收单，并向采购人提交设备所包含的所有资料，以便</w:t>
      </w:r>
      <w:r>
        <w:rPr>
          <w:rFonts w:hint="eastAsia" w:ascii="仿宋" w:hAnsi="仿宋" w:eastAsia="仿宋" w:cs="仿宋"/>
          <w:color w:val="auto"/>
          <w:sz w:val="21"/>
          <w:szCs w:val="21"/>
          <w:lang w:val="en-US" w:eastAsia="zh-CN"/>
        </w:rPr>
        <w:t>采购人</w:t>
      </w:r>
      <w:r>
        <w:rPr>
          <w:rFonts w:hint="eastAsia" w:ascii="仿宋" w:hAnsi="仿宋" w:eastAsia="仿宋" w:cs="仿宋"/>
          <w:color w:val="auto"/>
          <w:sz w:val="21"/>
          <w:szCs w:val="21"/>
        </w:rPr>
        <w:t>日后管理和维护。</w:t>
      </w:r>
    </w:p>
    <w:p w14:paraId="674450AC">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rPr>
      </w:pPr>
      <w:r>
        <w:rPr>
          <w:rFonts w:hint="eastAsia" w:ascii="仿宋" w:hAnsi="仿宋" w:eastAsia="仿宋" w:cs="仿宋"/>
          <w:color w:val="auto"/>
          <w:sz w:val="21"/>
          <w:szCs w:val="21"/>
        </w:rPr>
        <w:t>软件验收</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合同签订后15个日历日内到货。相关技术人员做好入场准备，并制定相关的开发进度表。采购人对供应商的系统模块的完整性和有效性进行逐项签收确认</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供应商按照采购人的要求提供系统操作文档、运维交接、安装文档、系统配置等相关文档。系统完全交付后，并试运行30个日历日（无故障），根据甲方使用科室、相关领导小组及院内外专家组成验收组进行验收。</w:t>
      </w:r>
    </w:p>
    <w:p w14:paraId="572E72A6">
      <w:pPr>
        <w:widowControl w:val="0"/>
        <w:numPr>
          <w:ilvl w:val="0"/>
          <w:numId w:val="2"/>
        </w:numPr>
        <w:kinsoku/>
        <w:topLinePunct/>
        <w:autoSpaceDE/>
        <w:autoSpaceDN/>
        <w:adjustRightInd/>
        <w:snapToGrid/>
        <w:spacing w:line="360" w:lineRule="auto"/>
        <w:ind w:firstLine="422" w:firstLineChars="200"/>
        <w:rPr>
          <w:rFonts w:ascii="仿宋" w:hAnsi="仿宋" w:eastAsia="仿宋" w:cs="仿宋"/>
          <w:b/>
          <w:bCs/>
          <w:color w:val="auto"/>
          <w:szCs w:val="24"/>
        </w:rPr>
      </w:pPr>
      <w:r>
        <w:rPr>
          <w:rFonts w:hint="eastAsia" w:ascii="仿宋" w:hAnsi="仿宋" w:eastAsia="仿宋" w:cs="仿宋"/>
          <w:b/>
          <w:bCs/>
          <w:color w:val="auto"/>
          <w:szCs w:val="24"/>
          <w:lang w:bidi="ar"/>
        </w:rPr>
        <w:t>付款方式和条件</w:t>
      </w:r>
    </w:p>
    <w:p w14:paraId="0F0F2EF7">
      <w:pPr>
        <w:topLinePunct/>
        <w:spacing w:line="360" w:lineRule="auto"/>
        <w:ind w:firstLine="420" w:firstLineChars="200"/>
        <w:rPr>
          <w:rFonts w:hint="eastAsia" w:ascii="仿宋" w:hAnsi="仿宋" w:eastAsia="仿宋" w:cs="仿宋"/>
          <w:color w:val="auto"/>
          <w:szCs w:val="24"/>
          <w:lang w:bidi="ar"/>
        </w:rPr>
      </w:pPr>
      <w:r>
        <w:rPr>
          <w:rFonts w:hint="eastAsia" w:ascii="仿宋" w:hAnsi="仿宋" w:eastAsia="仿宋" w:cs="仿宋"/>
          <w:color w:val="auto"/>
          <w:szCs w:val="24"/>
          <w:lang w:bidi="ar"/>
        </w:rPr>
        <w:t>1、 付款条件说明： 合同签订后，乙方提交付款申请 ，达到付款条件起 30日内，支付合同总金额的10.00%。</w:t>
      </w:r>
    </w:p>
    <w:p w14:paraId="06D0DFFD">
      <w:pPr>
        <w:topLinePunct/>
        <w:spacing w:line="360" w:lineRule="auto"/>
        <w:ind w:firstLine="420" w:firstLineChars="200"/>
        <w:rPr>
          <w:rFonts w:hint="eastAsia" w:ascii="仿宋" w:hAnsi="仿宋" w:eastAsia="仿宋" w:cs="仿宋"/>
          <w:color w:val="auto"/>
          <w:szCs w:val="24"/>
          <w:lang w:bidi="ar"/>
        </w:rPr>
      </w:pPr>
      <w:r>
        <w:rPr>
          <w:rFonts w:hint="eastAsia" w:ascii="仿宋" w:hAnsi="仿宋" w:eastAsia="仿宋" w:cs="仿宋"/>
          <w:color w:val="auto"/>
          <w:szCs w:val="24"/>
          <w:lang w:bidi="ar"/>
        </w:rPr>
        <w:t>2、付款条件说明：工程师进场项目启动，乙方提出付款申请，达到付款条件30日内，支付合同总金额20%。</w:t>
      </w:r>
    </w:p>
    <w:p w14:paraId="20731753">
      <w:pPr>
        <w:topLinePunct/>
        <w:spacing w:line="360" w:lineRule="auto"/>
        <w:ind w:firstLine="420" w:firstLineChars="200"/>
        <w:rPr>
          <w:rFonts w:hint="eastAsia" w:ascii="仿宋" w:hAnsi="仿宋" w:eastAsia="仿宋" w:cs="仿宋"/>
          <w:color w:val="auto"/>
          <w:szCs w:val="24"/>
          <w:lang w:bidi="ar"/>
        </w:rPr>
      </w:pPr>
      <w:r>
        <w:rPr>
          <w:rFonts w:hint="eastAsia" w:ascii="仿宋" w:hAnsi="仿宋" w:eastAsia="仿宋" w:cs="仿宋"/>
          <w:color w:val="auto"/>
          <w:szCs w:val="24"/>
          <w:lang w:bidi="ar"/>
        </w:rPr>
        <w:t>3、付款条件说明： 软件硬件安装培训后，乙方提起申请 ，达到付款条件起60日内，支付合同总金额的 20.00%。</w:t>
      </w:r>
    </w:p>
    <w:p w14:paraId="5A902B95">
      <w:pPr>
        <w:topLinePunct/>
        <w:spacing w:line="360" w:lineRule="auto"/>
        <w:ind w:firstLine="420" w:firstLineChars="200"/>
        <w:rPr>
          <w:rFonts w:hint="eastAsia" w:ascii="仿宋" w:hAnsi="仿宋" w:eastAsia="仿宋" w:cs="仿宋"/>
          <w:color w:val="auto"/>
          <w:szCs w:val="24"/>
          <w:lang w:bidi="ar"/>
        </w:rPr>
      </w:pPr>
      <w:r>
        <w:rPr>
          <w:rFonts w:hint="eastAsia" w:ascii="仿宋" w:hAnsi="仿宋" w:eastAsia="仿宋" w:cs="仿宋"/>
          <w:color w:val="auto"/>
          <w:szCs w:val="24"/>
          <w:lang w:bidi="ar"/>
        </w:rPr>
        <w:t>4、 付款条件说明： 项目验收合格后，乙方提起申请 ，达到付款条件起30 日内，支付合同总金额的 30.00%。</w:t>
      </w:r>
    </w:p>
    <w:p w14:paraId="0D80B9F2">
      <w:pPr>
        <w:topLinePunct/>
        <w:spacing w:line="360" w:lineRule="auto"/>
        <w:ind w:firstLine="420" w:firstLineChars="200"/>
        <w:rPr>
          <w:rFonts w:ascii="仿宋" w:hAnsi="仿宋" w:eastAsia="仿宋" w:cs="仿宋"/>
          <w:color w:val="auto"/>
          <w:szCs w:val="24"/>
          <w:lang w:bidi="ar"/>
        </w:rPr>
      </w:pPr>
      <w:r>
        <w:rPr>
          <w:rFonts w:hint="eastAsia" w:ascii="仿宋" w:hAnsi="仿宋" w:eastAsia="仿宋" w:cs="仿宋"/>
          <w:color w:val="auto"/>
          <w:szCs w:val="24"/>
          <w:lang w:bidi="ar"/>
        </w:rPr>
        <w:t>5、付款条件说明： 项目正常运行6个月无问题后，乙方提起申请 ，达到付款条件起 60 日内，支付合同总金额的 20.00%。</w:t>
      </w:r>
    </w:p>
    <w:p w14:paraId="16F7791F">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（二)支付方式</w:t>
      </w:r>
    </w:p>
    <w:p w14:paraId="745F270A">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通过银行转帐方式将款项转入乙方银行帐户。</w:t>
      </w:r>
    </w:p>
    <w:p w14:paraId="0894FA2C">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乙方银行帐户信息如下:</w:t>
      </w:r>
    </w:p>
    <w:p w14:paraId="70AA2C06">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帐户名称:</w:t>
      </w:r>
    </w:p>
    <w:p w14:paraId="65736311">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帐号:</w:t>
      </w:r>
    </w:p>
    <w:p w14:paraId="0ACB1C62">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开户行:</w:t>
      </w:r>
    </w:p>
    <w:p w14:paraId="5F0010E6">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采购人仅认可上述指定账户并向该账户付款。如供应商账户信息变更，供应商应出具由法定代表人签署的书面变更文件并加盖供应商公司公章,否则采购人有权拒绝向指定账户之外的任何账户付款，并且由此导致的付款延迟责任由供应商承担。</w:t>
      </w:r>
    </w:p>
    <w:p w14:paraId="6E00D740">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(二)结算要求:</w:t>
      </w:r>
    </w:p>
    <w:p w14:paraId="0BA7413A">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供应商要如实开具发票，不得变更开票内容，供应商开具发票出现税务争议时供应商需承担税款、滞纳金、罚款等赔偿责任以及其他相关责任。供应商迟延开具发票、无法开具发票或开具的发票金额低于约定金额的，采购人有权相应地迟延付款、暂不付款或按低于约定金额的发票金额来付款，并对此不承担任何责任。</w:t>
      </w:r>
    </w:p>
    <w:p w14:paraId="54541534">
      <w:pPr>
        <w:widowControl w:val="0"/>
        <w:numPr>
          <w:ilvl w:val="0"/>
          <w:numId w:val="2"/>
        </w:numPr>
        <w:kinsoku/>
        <w:topLinePunct/>
        <w:autoSpaceDE/>
        <w:autoSpaceDN/>
        <w:adjustRightInd/>
        <w:snapToGrid/>
        <w:spacing w:line="360" w:lineRule="auto"/>
        <w:ind w:firstLine="422" w:firstLineChars="200"/>
        <w:rPr>
          <w:rFonts w:ascii="仿宋" w:hAnsi="仿宋" w:eastAsia="仿宋" w:cs="仿宋"/>
          <w:b/>
          <w:bCs/>
          <w:szCs w:val="24"/>
          <w:lang w:bidi="ar"/>
        </w:rPr>
      </w:pPr>
      <w:r>
        <w:rPr>
          <w:rFonts w:hint="eastAsia" w:ascii="仿宋" w:hAnsi="仿宋" w:eastAsia="仿宋" w:cs="仿宋"/>
          <w:b/>
          <w:bCs/>
          <w:szCs w:val="24"/>
          <w:lang w:bidi="ar"/>
        </w:rPr>
        <w:t>组成本合同的文件</w:t>
      </w:r>
    </w:p>
    <w:p w14:paraId="22FDAF59">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(一)采购合同;</w:t>
      </w:r>
    </w:p>
    <w:p w14:paraId="7F94E231">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(二)中标通知书、投标文件、招标文件、澄清、补充文件;</w:t>
      </w:r>
    </w:p>
    <w:p w14:paraId="574DF8C0">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(三)其他相关资料;</w:t>
      </w:r>
    </w:p>
    <w:p w14:paraId="4E10FF8E">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本合同签订后，双方依法签订的补充协议也是本合同文件的组成部分。</w:t>
      </w:r>
    </w:p>
    <w:p w14:paraId="04AB29EA">
      <w:pPr>
        <w:widowControl w:val="0"/>
        <w:numPr>
          <w:ilvl w:val="0"/>
          <w:numId w:val="2"/>
        </w:numPr>
        <w:kinsoku/>
        <w:topLinePunct/>
        <w:autoSpaceDE/>
        <w:autoSpaceDN/>
        <w:adjustRightInd/>
        <w:snapToGrid/>
        <w:spacing w:line="360" w:lineRule="auto"/>
        <w:ind w:firstLine="422" w:firstLineChars="200"/>
        <w:rPr>
          <w:rFonts w:ascii="仿宋" w:hAnsi="仿宋" w:eastAsia="仿宋" w:cs="仿宋"/>
          <w:b/>
          <w:bCs/>
          <w:szCs w:val="24"/>
          <w:lang w:bidi="ar"/>
        </w:rPr>
      </w:pPr>
      <w:r>
        <w:rPr>
          <w:rFonts w:hint="eastAsia" w:ascii="仿宋" w:hAnsi="仿宋" w:eastAsia="仿宋" w:cs="仿宋"/>
          <w:b/>
          <w:bCs/>
          <w:szCs w:val="24"/>
          <w:lang w:bidi="ar"/>
        </w:rPr>
        <w:t>质量保证</w:t>
      </w:r>
    </w:p>
    <w:p w14:paraId="34DFE314">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中标供应商提供服务时，服务要求应按不低于国家、省、市有关部门规定的质量标准执行。</w:t>
      </w:r>
    </w:p>
    <w:p w14:paraId="255608E7">
      <w:pPr>
        <w:widowControl w:val="0"/>
        <w:numPr>
          <w:ilvl w:val="0"/>
          <w:numId w:val="2"/>
        </w:numPr>
        <w:kinsoku/>
        <w:topLinePunct/>
        <w:autoSpaceDE/>
        <w:autoSpaceDN/>
        <w:adjustRightInd/>
        <w:snapToGrid/>
        <w:spacing w:line="360" w:lineRule="auto"/>
        <w:ind w:firstLine="422" w:firstLineChars="200"/>
        <w:rPr>
          <w:rFonts w:ascii="仿宋" w:hAnsi="仿宋" w:eastAsia="仿宋" w:cs="仿宋"/>
          <w:b/>
          <w:bCs/>
          <w:szCs w:val="24"/>
          <w:lang w:bidi="ar"/>
        </w:rPr>
      </w:pPr>
      <w:r>
        <w:rPr>
          <w:rFonts w:hint="eastAsia" w:ascii="仿宋" w:hAnsi="仿宋" w:eastAsia="仿宋" w:cs="仿宋"/>
          <w:b/>
          <w:bCs/>
          <w:szCs w:val="24"/>
          <w:lang w:bidi="ar"/>
        </w:rPr>
        <w:t>知识产权</w:t>
      </w:r>
    </w:p>
    <w:p w14:paraId="1DDD2B82">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一)乙方应保证在本项目使用的任何货物和服务(包部分使用)时，不会产生因第三方提出侵犯其专利权、商标权或其它知识产权而引起的法律和经济纠纷，如因专利权、商标权或其它知识产权而引起法律纠纷和经济纠纷，由乙方承担所有相关责任。</w:t>
      </w:r>
    </w:p>
    <w:p w14:paraId="5FF2D7B1">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(二)甲方享有本项目在实施过程中产生的知识成果及知识产权，如甲方需要办理软件著作权的乙方须配合办理。</w:t>
      </w:r>
    </w:p>
    <w:p w14:paraId="4918F28F">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三)乙方如欲在项目实施过程中采用自有知识成果，需在投标文件中声明,并提供相关知识产权证明文件。使用该知识成果后，乙方须提供开发接口和开发手册等技术文档，并承诺提供无限期技术支持，甲方享有永久使用权。</w:t>
      </w:r>
    </w:p>
    <w:p w14:paraId="245E642B">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(四)如乙方所不拥有的知识产权，则在合同价款中必须包括合法获取该知识产权的相关费用。</w:t>
      </w:r>
    </w:p>
    <w:p w14:paraId="23AD8FF9">
      <w:pPr>
        <w:widowControl w:val="0"/>
        <w:numPr>
          <w:ilvl w:val="0"/>
          <w:numId w:val="2"/>
        </w:numPr>
        <w:kinsoku/>
        <w:topLinePunct/>
        <w:autoSpaceDE/>
        <w:autoSpaceDN/>
        <w:adjustRightInd/>
        <w:snapToGrid/>
        <w:spacing w:line="360" w:lineRule="auto"/>
        <w:ind w:firstLine="422" w:firstLineChars="200"/>
        <w:rPr>
          <w:rFonts w:ascii="仿宋" w:hAnsi="仿宋" w:eastAsia="仿宋" w:cs="仿宋"/>
          <w:b/>
          <w:bCs/>
          <w:szCs w:val="24"/>
          <w:lang w:bidi="ar"/>
        </w:rPr>
      </w:pPr>
      <w:r>
        <w:rPr>
          <w:rFonts w:hint="eastAsia" w:ascii="仿宋" w:hAnsi="仿宋" w:eastAsia="仿宋" w:cs="仿宋"/>
          <w:b/>
          <w:bCs/>
          <w:szCs w:val="24"/>
          <w:lang w:bidi="ar"/>
        </w:rPr>
        <w:t>培训</w:t>
      </w:r>
    </w:p>
    <w:p w14:paraId="5C8A2AC9">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以投标文件、澄清表(函)、合同和随服务的相关文件为准。</w:t>
      </w:r>
    </w:p>
    <w:p w14:paraId="700C1217">
      <w:pPr>
        <w:widowControl w:val="0"/>
        <w:numPr>
          <w:ilvl w:val="0"/>
          <w:numId w:val="2"/>
        </w:numPr>
        <w:kinsoku/>
        <w:topLinePunct/>
        <w:autoSpaceDE/>
        <w:autoSpaceDN/>
        <w:adjustRightInd/>
        <w:snapToGrid/>
        <w:spacing w:line="360" w:lineRule="auto"/>
        <w:ind w:firstLine="422" w:firstLineChars="200"/>
        <w:rPr>
          <w:rFonts w:ascii="仿宋" w:hAnsi="仿宋" w:eastAsia="仿宋" w:cs="仿宋"/>
          <w:b/>
          <w:bCs/>
          <w:szCs w:val="24"/>
        </w:rPr>
      </w:pPr>
      <w:r>
        <w:rPr>
          <w:rFonts w:hint="eastAsia" w:ascii="仿宋" w:hAnsi="仿宋" w:eastAsia="仿宋" w:cs="仿宋"/>
          <w:b/>
          <w:bCs/>
          <w:szCs w:val="24"/>
        </w:rPr>
        <w:t>甲方的权利和义务</w:t>
      </w:r>
    </w:p>
    <w:p w14:paraId="667B7A72">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(一)甲方有权对合同约定范围内乙方的服务行为进行监督和检查，拥有监管权。有权定期核对乙方提供服务所配备的人员数量。对甲方认为不合理的部分有权下达整改通知书，并要求乙方限期整改。</w:t>
      </w:r>
    </w:p>
    <w:p w14:paraId="471C691A">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(二)负责检查监督乙方管理工作的实施及制度的执行情况。</w:t>
      </w:r>
    </w:p>
    <w:p w14:paraId="23B773F1">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(三)根据本合同约定，按时向乙方支付应付服务费用。</w:t>
      </w:r>
    </w:p>
    <w:p w14:paraId="40471A06">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(四)国家法律、法规所规定由甲方承担的其它责任。</w:t>
      </w:r>
    </w:p>
    <w:p w14:paraId="2A0E0B3C">
      <w:pPr>
        <w:widowControl w:val="0"/>
        <w:numPr>
          <w:ilvl w:val="0"/>
          <w:numId w:val="2"/>
        </w:numPr>
        <w:kinsoku/>
        <w:topLinePunct/>
        <w:autoSpaceDE/>
        <w:autoSpaceDN/>
        <w:adjustRightInd/>
        <w:snapToGrid/>
        <w:spacing w:line="360" w:lineRule="auto"/>
        <w:ind w:firstLine="422" w:firstLineChars="200"/>
        <w:rPr>
          <w:rFonts w:ascii="仿宋" w:hAnsi="仿宋" w:eastAsia="仿宋" w:cs="仿宋"/>
          <w:b/>
          <w:bCs/>
          <w:szCs w:val="24"/>
        </w:rPr>
      </w:pPr>
      <w:r>
        <w:rPr>
          <w:rFonts w:hint="eastAsia" w:ascii="仿宋" w:hAnsi="仿宋" w:eastAsia="仿宋" w:cs="仿宋"/>
          <w:b/>
          <w:bCs/>
          <w:szCs w:val="24"/>
        </w:rPr>
        <w:t>乙方的权利和义务</w:t>
      </w:r>
    </w:p>
    <w:p w14:paraId="43BA396C">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(一)按本合同约定的服务内容向甲方提供全面服务，并对甲方提出的合理要求进行响应。</w:t>
      </w:r>
    </w:p>
    <w:p w14:paraId="645D4FE1">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(二)根据本合同的约定向甲方收取相关服务费用，并有权在本项目管理范围内管理及合理使用。</w:t>
      </w:r>
    </w:p>
    <w:p w14:paraId="44F3D246">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(三)乙方需配合甲方通过相关测评。</w:t>
      </w:r>
    </w:p>
    <w:p w14:paraId="5CA5F5CE">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(四)及时向甲方通告本项目服务范围内有关服务的重大事项，及时配合处理投诉。</w:t>
      </w:r>
    </w:p>
    <w:p w14:paraId="07869E8D">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(五)接受项目行业管理部门及政府有关部门的指导，接受甲方的监督。</w:t>
      </w:r>
    </w:p>
    <w:p w14:paraId="622D1E8D">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(六)国家法律、法规所规定由乙方承担的其它责任。</w:t>
      </w:r>
    </w:p>
    <w:p w14:paraId="5A622457">
      <w:pPr>
        <w:widowControl w:val="0"/>
        <w:numPr>
          <w:ilvl w:val="0"/>
          <w:numId w:val="2"/>
        </w:numPr>
        <w:kinsoku/>
        <w:topLinePunct/>
        <w:autoSpaceDE/>
        <w:autoSpaceDN/>
        <w:adjustRightInd/>
        <w:snapToGrid/>
        <w:spacing w:line="360" w:lineRule="auto"/>
        <w:ind w:firstLine="422" w:firstLineChars="200"/>
        <w:rPr>
          <w:rFonts w:ascii="仿宋" w:hAnsi="仿宋" w:eastAsia="仿宋" w:cs="仿宋"/>
          <w:b/>
          <w:bCs/>
          <w:szCs w:val="24"/>
        </w:rPr>
      </w:pPr>
      <w:r>
        <w:rPr>
          <w:rFonts w:hint="eastAsia" w:ascii="仿宋" w:hAnsi="仿宋" w:eastAsia="仿宋" w:cs="仿宋"/>
          <w:b/>
          <w:bCs/>
          <w:szCs w:val="24"/>
          <w:lang w:bidi="ar"/>
        </w:rPr>
        <w:t>违约责任</w:t>
      </w:r>
    </w:p>
    <w:p w14:paraId="1FCFF464">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(一)甲乙双方必须遵守本合同并执行合同中的各项约定，保证本合同的正常履行。</w:t>
      </w:r>
    </w:p>
    <w:p w14:paraId="6B371382">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二）如因乙方工作人员在履行职务过程中的的疏忽、失职、过错等故意或者过失原因给甲方造成损失或侵害，包括但不限于甲方本身的财产损失、由此而导致的甲方对任何第三方的法律责任等，乙方对此均应承担全部的赔偿责任(包括甲方因提起诉讼而支付的律师费、诉讼费、保全费等)。</w:t>
      </w:r>
    </w:p>
    <w:p w14:paraId="60F7E5C5">
      <w:pPr>
        <w:pStyle w:val="7"/>
        <w:spacing w:line="360" w:lineRule="auto"/>
        <w:ind w:firstLine="210"/>
        <w:rPr>
          <w:rFonts w:ascii="仿宋" w:hAnsi="仿宋" w:eastAsia="仿宋" w:cs="仿宋"/>
          <w:snapToGrid w:val="0"/>
          <w:color w:val="000000"/>
          <w:sz w:val="21"/>
          <w:lang w:bidi="ar"/>
        </w:rPr>
      </w:pPr>
      <w:r>
        <w:rPr>
          <w:rFonts w:hint="eastAsia" w:ascii="仿宋" w:hAnsi="仿宋" w:eastAsia="仿宋" w:cs="仿宋"/>
          <w:snapToGrid w:val="0"/>
          <w:color w:val="000000"/>
          <w:sz w:val="21"/>
          <w:lang w:bidi="ar"/>
        </w:rPr>
        <w:t xml:space="preserve">（三）如果乙方没有按照合同规定的时间服务响应，甲方有权从中扣除误期赔偿费而不影响合同项下的其他补救方法。赔偿费按每日加收合同金额的0.5%计收，直至提供服务为止。但误期赔偿费的最高限额不超过合同价的15%。 </w:t>
      </w:r>
    </w:p>
    <w:p w14:paraId="0039C78B">
      <w:pPr>
        <w:widowControl w:val="0"/>
        <w:numPr>
          <w:ilvl w:val="0"/>
          <w:numId w:val="2"/>
        </w:numPr>
        <w:kinsoku/>
        <w:topLinePunct/>
        <w:autoSpaceDE/>
        <w:autoSpaceDN/>
        <w:adjustRightInd/>
        <w:snapToGrid/>
        <w:spacing w:line="360" w:lineRule="auto"/>
        <w:ind w:firstLine="422" w:firstLineChars="200"/>
        <w:rPr>
          <w:rFonts w:ascii="仿宋" w:hAnsi="仿宋" w:eastAsia="仿宋" w:cs="仿宋"/>
          <w:b/>
          <w:bCs/>
          <w:szCs w:val="24"/>
          <w:lang w:bidi="ar"/>
        </w:rPr>
      </w:pPr>
      <w:r>
        <w:rPr>
          <w:rFonts w:ascii="仿宋" w:hAnsi="仿宋" w:eastAsia="仿宋" w:cs="仿宋"/>
          <w:b/>
          <w:bCs/>
          <w:szCs w:val="24"/>
          <w:lang w:bidi="ar"/>
        </w:rPr>
        <w:t>不可抗力事件处理</w:t>
      </w:r>
    </w:p>
    <w:p w14:paraId="7F1AAE7C">
      <w:pPr>
        <w:topLinePunct/>
        <w:spacing w:line="360" w:lineRule="auto"/>
        <w:ind w:firstLine="420" w:firstLineChars="200"/>
        <w:rPr>
          <w:rFonts w:ascii="仿宋" w:hAnsi="仿宋" w:eastAsia="仿宋" w:cs="仿宋"/>
          <w:szCs w:val="24"/>
          <w:lang w:bidi="ar"/>
        </w:rPr>
      </w:pPr>
      <w:r>
        <w:rPr>
          <w:rFonts w:ascii="仿宋" w:hAnsi="仿宋" w:eastAsia="仿宋" w:cs="仿宋"/>
          <w:szCs w:val="24"/>
          <w:lang w:bidi="ar"/>
        </w:rPr>
        <w:t>(一)在合同有效期内，任何一方因不可抗力事件导致不能履行合同，则合同履行期可延长，其延长期与不可抗力影响期相同。</w:t>
      </w:r>
    </w:p>
    <w:p w14:paraId="7645F68D">
      <w:pPr>
        <w:topLinePunct/>
        <w:spacing w:line="360" w:lineRule="auto"/>
        <w:ind w:firstLine="420" w:firstLineChars="200"/>
        <w:rPr>
          <w:rFonts w:ascii="仿宋" w:hAnsi="仿宋" w:eastAsia="仿宋" w:cs="仿宋"/>
          <w:szCs w:val="24"/>
          <w:lang w:bidi="ar"/>
        </w:rPr>
      </w:pPr>
      <w:r>
        <w:rPr>
          <w:rFonts w:ascii="仿宋" w:hAnsi="仿宋" w:eastAsia="仿宋" w:cs="仿宋"/>
          <w:szCs w:val="24"/>
          <w:lang w:bidi="ar"/>
        </w:rPr>
        <w:t>(二)不可抗力事件发生后，应立即通知对方，并寄送有关权威机构出具的证明。</w:t>
      </w:r>
    </w:p>
    <w:p w14:paraId="77C67BA1">
      <w:pPr>
        <w:topLinePunct/>
        <w:spacing w:line="360" w:lineRule="auto"/>
        <w:ind w:firstLine="420" w:firstLineChars="200"/>
        <w:rPr>
          <w:rFonts w:ascii="仿宋" w:hAnsi="仿宋" w:eastAsia="仿宋" w:cs="仿宋"/>
          <w:szCs w:val="24"/>
          <w:lang w:bidi="ar"/>
        </w:rPr>
      </w:pPr>
      <w:r>
        <w:rPr>
          <w:rFonts w:ascii="仿宋" w:hAnsi="仿宋" w:eastAsia="仿宋" w:cs="仿宋"/>
          <w:szCs w:val="24"/>
          <w:lang w:bidi="ar"/>
        </w:rPr>
        <w:t>(三)不可抗力事件延续天 100 天以上，双方应通过友好协商，确定是否继续履行合同。</w:t>
      </w:r>
    </w:p>
    <w:p w14:paraId="7F86EF39">
      <w:pPr>
        <w:widowControl w:val="0"/>
        <w:numPr>
          <w:ilvl w:val="0"/>
          <w:numId w:val="2"/>
        </w:numPr>
        <w:kinsoku/>
        <w:topLinePunct/>
        <w:autoSpaceDE/>
        <w:autoSpaceDN/>
        <w:adjustRightInd/>
        <w:snapToGrid/>
        <w:spacing w:line="360" w:lineRule="auto"/>
        <w:ind w:firstLine="422" w:firstLineChars="200"/>
        <w:rPr>
          <w:rFonts w:ascii="仿宋" w:hAnsi="仿宋" w:eastAsia="仿宋" w:cs="仿宋"/>
          <w:b/>
          <w:bCs/>
          <w:szCs w:val="24"/>
          <w:lang w:bidi="ar"/>
        </w:rPr>
      </w:pPr>
      <w:r>
        <w:rPr>
          <w:rFonts w:hint="eastAsia" w:ascii="仿宋" w:hAnsi="仿宋" w:eastAsia="仿宋" w:cs="仿宋"/>
          <w:b/>
          <w:bCs/>
          <w:szCs w:val="24"/>
          <w:lang w:bidi="ar"/>
        </w:rPr>
        <w:t>争议解决方式</w:t>
      </w:r>
    </w:p>
    <w:p w14:paraId="26A8975A">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因本合同而发生的争议或纠纷，甲乙双方应先协商解决，协商不成时可向甲方所在地的人民法院提起诉讼。</w:t>
      </w:r>
    </w:p>
    <w:p w14:paraId="3C2B1265">
      <w:pPr>
        <w:widowControl w:val="0"/>
        <w:numPr>
          <w:ilvl w:val="0"/>
          <w:numId w:val="2"/>
        </w:numPr>
        <w:kinsoku/>
        <w:topLinePunct/>
        <w:autoSpaceDE/>
        <w:autoSpaceDN/>
        <w:adjustRightInd/>
        <w:snapToGrid/>
        <w:spacing w:line="360" w:lineRule="auto"/>
        <w:ind w:firstLine="422" w:firstLineChars="200"/>
        <w:rPr>
          <w:rFonts w:ascii="仿宋" w:hAnsi="仿宋" w:eastAsia="仿宋" w:cs="仿宋"/>
          <w:b/>
          <w:bCs/>
          <w:szCs w:val="24"/>
          <w:lang w:bidi="ar"/>
        </w:rPr>
      </w:pPr>
      <w:r>
        <w:rPr>
          <w:rFonts w:hint="eastAsia" w:ascii="仿宋" w:hAnsi="仿宋" w:eastAsia="仿宋" w:cs="仿宋"/>
          <w:b/>
          <w:bCs/>
          <w:szCs w:val="24"/>
          <w:lang w:bidi="ar"/>
        </w:rPr>
        <w:t>合同生效</w:t>
      </w:r>
    </w:p>
    <w:p w14:paraId="77E6B5CD">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本合同一式肆份，甲方执叁份、乙方执壹份，自甲乙双方签字、盖章之日起生效，各份合同均具有同等法律效力。</w:t>
      </w:r>
    </w:p>
    <w:p w14:paraId="0E83E7CB">
      <w:pPr>
        <w:widowControl w:val="0"/>
        <w:numPr>
          <w:ilvl w:val="0"/>
          <w:numId w:val="2"/>
        </w:numPr>
        <w:kinsoku/>
        <w:topLinePunct/>
        <w:autoSpaceDE/>
        <w:autoSpaceDN/>
        <w:adjustRightInd/>
        <w:snapToGrid/>
        <w:spacing w:line="360" w:lineRule="auto"/>
        <w:ind w:firstLine="422" w:firstLineChars="200"/>
        <w:rPr>
          <w:rFonts w:ascii="仿宋" w:hAnsi="仿宋" w:eastAsia="仿宋" w:cs="仿宋"/>
          <w:b/>
          <w:bCs/>
          <w:szCs w:val="24"/>
          <w:lang w:bidi="ar"/>
        </w:rPr>
      </w:pPr>
      <w:r>
        <w:rPr>
          <w:rFonts w:hint="eastAsia" w:ascii="仿宋" w:hAnsi="仿宋" w:eastAsia="仿宋" w:cs="仿宋"/>
          <w:b/>
          <w:bCs/>
          <w:szCs w:val="24"/>
          <w:lang w:bidi="ar"/>
        </w:rPr>
        <w:t>其他约定</w:t>
      </w:r>
    </w:p>
    <w:p w14:paraId="2F2932E3">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(一)上级有关部门在合同的履行期间以及履行期后，可以随时检查项目的执行情况，对采购内容、标准进行调查核实，并对发现的问题进行处理。</w:t>
      </w:r>
    </w:p>
    <w:p w14:paraId="56E42915">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(二)招标文件、投标文件、澄清表(函)、中通知书、合同附件均成为合同不可分割的部分。</w:t>
      </w:r>
    </w:p>
    <w:p w14:paraId="6BB75CEB">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(三)合同未尽事宜，由甲、乙双方协商确认后，行签订补充协议。补充协议与本协议具有同等法律效力。</w:t>
      </w:r>
    </w:p>
    <w:p w14:paraId="6E3EE705">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四)甲、乙双方在本协议中所预留的地址视为送达地址，相关文件一旦寄出，无论签收与否均视为送达。在合同有效期内，任何一方的联系方式发生变更的，应当3日内及时通知对方，否则因此产生的一切不利后果自行承担，本合同地址同样适用于司法送达。</w:t>
      </w:r>
    </w:p>
    <w:p w14:paraId="5B38BFE4">
      <w:pPr>
        <w:topLinePunct/>
        <w:spacing w:line="360" w:lineRule="auto"/>
        <w:ind w:firstLine="420" w:firstLineChars="200"/>
        <w:rPr>
          <w:rFonts w:ascii="仿宋" w:hAnsi="仿宋" w:eastAsia="仿宋" w:cs="仿宋"/>
          <w:szCs w:val="24"/>
          <w:lang w:bidi="ar"/>
        </w:rPr>
      </w:pPr>
      <w:r>
        <w:rPr>
          <w:rFonts w:hint="eastAsia" w:ascii="仿宋" w:hAnsi="仿宋" w:eastAsia="仿宋" w:cs="仿宋"/>
          <w:szCs w:val="24"/>
          <w:lang w:bidi="ar"/>
        </w:rPr>
        <w:t>(五)合同一经签订，不得擅自变更、中止或终止合同。对确需变更、调整或中止、终止合同的，应按规定履行相应的手续。</w:t>
      </w:r>
    </w:p>
    <w:p w14:paraId="57DB6A2F">
      <w:r>
        <w:rPr>
          <w:rFonts w:hint="eastAsia" w:ascii="仿宋" w:hAnsi="仿宋" w:eastAsia="仿宋" w:cs="仿宋"/>
          <w:szCs w:val="24"/>
          <w:lang w:bidi="ar"/>
        </w:rPr>
        <w:t>(六)本合同按照中华人民共和国的现行法律进行解释。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DFKai-SB">
    <w:altName w:val="Microsoft JhengHei Light"/>
    <w:panose1 w:val="00000000000000000000"/>
    <w:charset w:val="88"/>
    <w:family w:val="script"/>
    <w:pitch w:val="default"/>
    <w:sig w:usb0="00000000" w:usb1="00000000" w:usb2="00000016" w:usb3="00000000" w:csb0="00100001" w:csb1="00000000"/>
  </w:font>
  <w:font w:name="Microsoft JhengHei Light">
    <w:panose1 w:val="020B0304030504040204"/>
    <w:charset w:val="88"/>
    <w:family w:val="auto"/>
    <w:pitch w:val="default"/>
    <w:sig w:usb0="8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F8E13"/>
    <w:multiLevelType w:val="singleLevel"/>
    <w:tmpl w:val="88FF8E13"/>
    <w:lvl w:ilvl="0" w:tentative="0">
      <w:start w:val="1"/>
      <w:numFmt w:val="decimal"/>
      <w:suff w:val="nothing"/>
      <w:lvlText w:val="%1．"/>
      <w:lvlJc w:val="left"/>
      <w:pPr>
        <w:ind w:left="0" w:firstLine="400"/>
      </w:pPr>
      <w:rPr>
        <w:rFonts w:hint="default"/>
      </w:rPr>
    </w:lvl>
  </w:abstractNum>
  <w:abstractNum w:abstractNumId="1">
    <w:nsid w:val="369369DE"/>
    <w:multiLevelType w:val="multilevel"/>
    <w:tmpl w:val="369369DE"/>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571"/>
        </w:tabs>
        <w:ind w:left="1531" w:hanging="680"/>
      </w:pPr>
      <w:rPr>
        <w:rFonts w:hint="eastAsia"/>
      </w:rPr>
    </w:lvl>
    <w:lvl w:ilvl="3" w:tentative="0">
      <w:start w:val="1"/>
      <w:numFmt w:val="decimal"/>
      <w:pStyle w:val="4"/>
      <w:lvlText w:val="%1.%2.%3.%4"/>
      <w:lvlJc w:val="left"/>
      <w:pPr>
        <w:tabs>
          <w:tab w:val="left" w:pos="2268"/>
        </w:tabs>
        <w:ind w:left="2268" w:hanging="992"/>
      </w:pPr>
      <w:rPr>
        <w:rFonts w:hint="eastAsia"/>
      </w:rPr>
    </w:lvl>
    <w:lvl w:ilvl="4" w:tentative="0">
      <w:start w:val="1"/>
      <w:numFmt w:val="decimal"/>
      <w:lvlText w:val="%1.%2.%3.%4.%5"/>
      <w:lvlJc w:val="left"/>
      <w:pPr>
        <w:tabs>
          <w:tab w:val="left" w:pos="3141"/>
        </w:tabs>
        <w:ind w:left="2268" w:hanging="567"/>
      </w:pPr>
      <w:rPr>
        <w:rFonts w:hint="eastAsia"/>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642"/>
        </w:tabs>
        <w:ind w:left="5102" w:hanging="1700"/>
      </w:pPr>
      <w:rPr>
        <w:rFonts w:hint="eastAsia"/>
      </w:rPr>
    </w:lvl>
  </w:abstractNum>
  <w:abstractNum w:abstractNumId="2">
    <w:nsid w:val="6F6C27A1"/>
    <w:multiLevelType w:val="singleLevel"/>
    <w:tmpl w:val="6F6C27A1"/>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zOWYwMjhiYjBlMzhhYzY1ODE1MTc0MGNiNjg5NmYifQ=="/>
  </w:docVars>
  <w:rsids>
    <w:rsidRoot w:val="00000000"/>
    <w:rsid w:val="074125C5"/>
    <w:rsid w:val="127E1741"/>
    <w:rsid w:val="1770383D"/>
    <w:rsid w:val="6ADE6508"/>
    <w:rsid w:val="6D7F4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4">
    <w:name w:val="heading 4"/>
    <w:basedOn w:val="1"/>
    <w:next w:val="1"/>
    <w:qFormat/>
    <w:uiPriority w:val="0"/>
    <w:pPr>
      <w:keepNext/>
      <w:widowControl w:val="0"/>
      <w:numPr>
        <w:ilvl w:val="3"/>
        <w:numId w:val="1"/>
      </w:numPr>
      <w:kinsoku/>
      <w:autoSpaceDE/>
      <w:autoSpaceDN/>
      <w:spacing w:before="40" w:after="40"/>
      <w:outlineLvl w:val="3"/>
    </w:pPr>
    <w:rPr>
      <w:rFonts w:eastAsia="DFKai-SB" w:cs="Times New Roman"/>
      <w:snapToGrid/>
      <w:color w:val="auto"/>
      <w:sz w:val="24"/>
      <w:szCs w:val="20"/>
      <w:lang w:eastAsia="zh-TW"/>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pPr>
    <w:rPr>
      <w:sz w:val="18"/>
    </w:rPr>
  </w:style>
  <w:style w:type="paragraph" w:styleId="3">
    <w:name w:val="Body Text"/>
    <w:basedOn w:val="1"/>
    <w:next w:val="1"/>
    <w:unhideWhenUsed/>
    <w:qFormat/>
    <w:uiPriority w:val="0"/>
    <w:pPr>
      <w:widowControl w:val="0"/>
      <w:kinsoku/>
      <w:autoSpaceDE/>
      <w:autoSpaceDN/>
      <w:adjustRightInd/>
      <w:snapToGrid/>
      <w:spacing w:after="120"/>
      <w:jc w:val="both"/>
      <w:textAlignment w:val="auto"/>
    </w:pPr>
    <w:rPr>
      <w:rFonts w:ascii="Times New Roman" w:hAnsi="Times New Roman" w:eastAsia="宋体" w:cs="Times New Roman"/>
      <w:snapToGrid/>
      <w:color w:val="auto"/>
      <w:kern w:val="2"/>
      <w:szCs w:val="24"/>
    </w:rPr>
  </w:style>
  <w:style w:type="paragraph" w:styleId="5">
    <w:name w:val="Normal Indent"/>
    <w:basedOn w:val="1"/>
    <w:qFormat/>
    <w:uiPriority w:val="0"/>
    <w:pPr>
      <w:ind w:firstLine="420" w:firstLineChars="200"/>
    </w:pPr>
  </w:style>
  <w:style w:type="paragraph" w:styleId="6">
    <w:name w:val="Plain Text"/>
    <w:basedOn w:val="1"/>
    <w:link w:val="10"/>
    <w:qFormat/>
    <w:uiPriority w:val="0"/>
    <w:rPr>
      <w:rFonts w:ascii="仿宋" w:hAnsi="仿宋"/>
      <w:szCs w:val="21"/>
    </w:rPr>
  </w:style>
  <w:style w:type="paragraph" w:styleId="7">
    <w:name w:val="Body Text First Indent"/>
    <w:basedOn w:val="3"/>
    <w:qFormat/>
    <w:uiPriority w:val="99"/>
    <w:pPr>
      <w:ind w:firstLine="420" w:firstLineChars="100"/>
    </w:pPr>
    <w:rPr>
      <w:sz w:val="20"/>
    </w:rPr>
  </w:style>
  <w:style w:type="character" w:customStyle="1" w:styleId="10">
    <w:name w:val="纯文本 字符1"/>
    <w:link w:val="6"/>
    <w:qFormat/>
    <w:locked/>
    <w:uiPriority w:val="99"/>
    <w:rPr>
      <w:rFonts w:ascii="仿宋" w:hAnsi="仿宋" w:eastAsia="仿宋"/>
      <w:kern w:val="2"/>
      <w:sz w:val="32"/>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5</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2024-09-19T04:42:22Z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52F136CE9E684A0A98A4E51062B27F86_12</vt:lpwstr>
  </property>
</Properties>
</file>