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版本号：241216001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高速摄像机采购项目</w:t>
      </w:r>
    </w:p>
    <w:p>
      <w:pPr>
        <w:pStyle w:val="null3"/>
        <w:jc w:val="center"/>
        <w:outlineLvl w:val="2"/>
      </w:pPr>
      <w:r>
        <w:rPr>
          <w:sz w:val="28"/>
          <w:b/>
        </w:rPr>
        <w:t>采购项目编号：</w:t>
      </w:r>
      <w:r>
        <w:rPr>
          <w:sz w:val="28"/>
          <w:b/>
        </w:rPr>
        <w:t>ZX2024-11-72</w:t>
      </w:r>
      <w:r>
        <w:br/>
      </w:r>
      <w:r>
        <w:br/>
      </w:r>
      <w:r>
        <w:br/>
      </w:r>
    </w:p>
    <w:p>
      <w:pPr>
        <w:pStyle w:val="null3"/>
        <w:jc w:val="center"/>
        <w:outlineLvl w:val="2"/>
      </w:pPr>
      <w:r>
        <w:rPr>
          <w:sz w:val="28"/>
          <w:b/>
        </w:rPr>
        <w:t>西安工业大学</w:t>
      </w:r>
    </w:p>
    <w:p>
      <w:pPr>
        <w:pStyle w:val="null3"/>
        <w:jc w:val="center"/>
        <w:outlineLvl w:val="2"/>
      </w:pPr>
      <w:r>
        <w:rPr>
          <w:sz w:val="28"/>
          <w:b/>
        </w:rPr>
        <w:t>陕西正信招标有限公司</w:t>
      </w:r>
      <w:r>
        <w:rPr>
          <w:sz w:val="28"/>
          <w:b/>
        </w:rPr>
        <w:t>共同编制</w:t>
      </w:r>
    </w:p>
    <w:p>
      <w:pPr>
        <w:pStyle w:val="null3"/>
        <w:jc w:val="center"/>
        <w:outlineLvl w:val="2"/>
      </w:pPr>
      <w:r>
        <w:rPr>
          <w:sz w:val="28"/>
          <w:b/>
        </w:rPr>
        <w:t>2024年12月18日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陕西正信招标有限公司</w:t>
      </w:r>
      <w:r>
        <w:rPr/>
        <w:t>（以下简称“代理机构”）受</w:t>
      </w:r>
      <w:r>
        <w:rPr/>
        <w:t>西安工业大学</w:t>
      </w:r>
      <w:r>
        <w:rPr/>
        <w:t>委托，拟对</w:t>
      </w:r>
      <w:r>
        <w:rPr/>
        <w:t>高速摄像机采购项目</w:t>
      </w:r>
      <w:r>
        <w:rPr/>
        <w:t>进行国内公开招标，兹邀请符合本次招标要求的供应商参加投标。</w:t>
      </w:r>
    </w:p>
    <w:p>
      <w:pPr>
        <w:pStyle w:val="null3"/>
        <w:outlineLvl w:val="2"/>
      </w:pPr>
      <w:r>
        <w:rPr>
          <w:sz w:val="28"/>
          <w:b/>
        </w:rPr>
        <w:t>一、采购项目编号：</w:t>
      </w:r>
      <w:r>
        <w:rPr>
          <w:sz w:val="28"/>
          <w:b/>
        </w:rPr>
        <w:t>ZX2024-11-72</w:t>
      </w:r>
    </w:p>
    <w:p>
      <w:pPr>
        <w:pStyle w:val="null3"/>
        <w:outlineLvl w:val="2"/>
      </w:pPr>
      <w:r>
        <w:rPr>
          <w:sz w:val="28"/>
          <w:b/>
        </w:rPr>
        <w:t>二、采购项目名称：</w:t>
      </w:r>
      <w:r>
        <w:rPr>
          <w:sz w:val="28"/>
          <w:b/>
        </w:rPr>
        <w:t>高速摄像机采购项目</w:t>
      </w:r>
    </w:p>
    <w:p>
      <w:pPr>
        <w:pStyle w:val="null3"/>
        <w:outlineLvl w:val="2"/>
      </w:pPr>
      <w:r>
        <w:rPr>
          <w:sz w:val="28"/>
          <w:b/>
        </w:rPr>
        <w:t>三、招标项目简介</w:t>
      </w:r>
    </w:p>
    <w:p>
      <w:pPr>
        <w:pStyle w:val="null3"/>
        <w:ind w:firstLine="480"/>
      </w:pPr>
      <w:r>
        <w:rPr/>
        <w:t>高速摄像机，1套，具体详见采购文件。</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本项目的特定资格要求：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t>2、法定代表人授权委托书：法定代表人参加投标的，须出示身份证；法定代表人授权本单位他人参加投标的，须提供法定代表人授权委托书及被授权人身份证复印件。</w:t>
      </w:r>
    </w:p>
    <w:p>
      <w:pPr>
        <w:pStyle w:val="null3"/>
      </w:pPr>
      <w:r>
        <w:rPr/>
        <w:t>3、本项目不接受联合体投标：本项目不接受联合体投标，不允许分包。投标人应提供《非联合体不分包投标声明》。</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西安工业大学</w:t>
      </w:r>
    </w:p>
    <w:p>
      <w:pPr>
        <w:pStyle w:val="null3"/>
      </w:pPr>
      <w:r>
        <w:rPr/>
        <w:t xml:space="preserve"> 地址： </w:t>
      </w:r>
      <w:r>
        <w:rPr/>
        <w:t>西安市未央区学府中路2号</w:t>
      </w:r>
    </w:p>
    <w:p>
      <w:pPr>
        <w:pStyle w:val="null3"/>
      </w:pPr>
      <w:r>
        <w:rPr/>
        <w:t xml:space="preserve"> 邮编： </w:t>
      </w:r>
      <w:r>
        <w:rPr/>
        <w:t>710000</w:t>
      </w:r>
    </w:p>
    <w:p>
      <w:pPr>
        <w:pStyle w:val="null3"/>
      </w:pPr>
      <w:r>
        <w:rPr/>
        <w:t xml:space="preserve"> 联系人： </w:t>
      </w:r>
      <w:r>
        <w:rPr/>
        <w:t>周老师</w:t>
      </w:r>
    </w:p>
    <w:p>
      <w:pPr>
        <w:pStyle w:val="null3"/>
      </w:pPr>
      <w:r>
        <w:rPr/>
        <w:t xml:space="preserve"> 联系电话： </w:t>
      </w:r>
      <w:r>
        <w:rPr/>
        <w:t>029-86173142</w:t>
      </w:r>
    </w:p>
    <w:p>
      <w:pPr>
        <w:pStyle w:val="null3"/>
        <w:outlineLvl w:val="2"/>
      </w:pPr>
      <w:r>
        <w:rPr>
          <w:sz w:val="28"/>
          <w:b/>
        </w:rPr>
        <w:t>代理机构：</w:t>
      </w:r>
      <w:r>
        <w:rPr>
          <w:sz w:val="28"/>
          <w:b/>
        </w:rPr>
        <w:t>陕西正信招标有限公司</w:t>
      </w:r>
    </w:p>
    <w:p>
      <w:pPr>
        <w:pStyle w:val="null3"/>
      </w:pPr>
      <w:r>
        <w:rPr/>
        <w:t xml:space="preserve"> 地址： </w:t>
      </w:r>
      <w:r>
        <w:rPr/>
        <w:t>西安市莲湖区环城西路南段元晟合中心6层</w:t>
      </w:r>
    </w:p>
    <w:p>
      <w:pPr>
        <w:pStyle w:val="null3"/>
      </w:pPr>
      <w:r>
        <w:rPr/>
        <w:t xml:space="preserve"> 邮编： </w:t>
      </w:r>
      <w:r>
        <w:rPr/>
        <w:t>710082</w:t>
      </w:r>
    </w:p>
    <w:p>
      <w:pPr>
        <w:pStyle w:val="null3"/>
      </w:pPr>
      <w:r>
        <w:rPr/>
        <w:t xml:space="preserve"> 联系人： </w:t>
      </w:r>
      <w:r>
        <w:rPr/>
        <w:t>陈晶晶 周楚杰 蔡丹 王琦</w:t>
      </w:r>
    </w:p>
    <w:p>
      <w:pPr>
        <w:pStyle w:val="null3"/>
      </w:pPr>
      <w:r>
        <w:rPr/>
        <w:t xml:space="preserve"> 联系电话： </w:t>
      </w:r>
      <w:r>
        <w:rPr/>
        <w:t>029-88411508转8017</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采购包1：1,420,000.00元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采购包1保证金金额：28,011.72元</w:t>
            </w:r>
          </w:p>
          <w:p>
            <w:pPr>
              <w:pStyle w:val="null3"/>
            </w:pPr>
            <w:r>
              <w:rPr/>
              <w:t>缴交渠道：电子保函,转账、支票、汇票等（需通过实体账户、户名及开户行信息）</w:t>
            </w:r>
          </w:p>
          <w:p>
            <w:pPr>
              <w:pStyle w:val="null3"/>
            </w:pPr>
            <w:r>
              <w:rPr/>
              <w:t>开户名称：陕西正信招标有限公司（资金性质：保证金专用账户）</w:t>
            </w:r>
          </w:p>
          <w:p>
            <w:pPr>
              <w:pStyle w:val="null3"/>
            </w:pPr>
            <w:r>
              <w:rPr/>
              <w:t>开户银行：中国银行西安四府街支行</w:t>
            </w:r>
          </w:p>
          <w:p>
            <w:pPr>
              <w:pStyle w:val="null3"/>
            </w:pPr>
            <w:r>
              <w:rPr/>
              <w:t>银行账号：102500641590</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120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代理服务费收费标准：1、本项目代理服务费按照成交金额的0.6%计取。 2、支付方式：成交供应商应在领取通知书的同时，支付本项目代理服务费。收款账户如下： 收款单位：陕西正信招标有限公司 开户银行：中国银行股份有限公司西安四府街支行 银行账号：102460065607 3、转账时请备注：241172项目服务费。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允许。本项目允许采购进口产品，进口产品的清单详见第3章。</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西安工业大学</w:t>
      </w:r>
      <w:r>
        <w:rPr/>
        <w:t>和</w:t>
      </w:r>
      <w:r>
        <w:rPr/>
        <w:t>陕西正信招标有限公司</w:t>
      </w:r>
      <w:r>
        <w:rPr/>
        <w:t>享有。对招标文件中供应商参加本次政府采购活动应当具备的条件，招标项目技术、服务、商务及其他要求，评标细则及标准由</w:t>
      </w:r>
      <w:r>
        <w:rPr/>
        <w:t>西安工业大学</w:t>
      </w:r>
      <w:r>
        <w:rPr/>
        <w:t>负责解释。除上述招标文件内容，其他内容由</w:t>
      </w:r>
      <w:r>
        <w:rPr/>
        <w:t>陕西正信招标有限公司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西安工业大学</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陕西正信招标有限公司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按招标文件、投标文件及合同要求</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陕西正信招标有限公司</w:t>
      </w:r>
      <w:r>
        <w:rPr/>
        <w:t xml:space="preserve"> 负责答复；供应商对除采购需求外的采购文件的询问、质疑由</w:t>
      </w:r>
      <w:r>
        <w:rPr/>
        <w:t>陕西正信招标有限公司</w:t>
      </w:r>
      <w:r>
        <w:rPr/>
        <w:t xml:space="preserve"> 负责答复；供应商对采购过程、采购结果的询问、质疑由 </w:t>
      </w:r>
      <w:r>
        <w:rPr/>
        <w:t>陕西正信招标有限公司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联系人：周楚杰 陈晶晶</w:t>
      </w:r>
    </w:p>
    <w:p>
      <w:pPr>
        <w:pStyle w:val="null3"/>
      </w:pPr>
      <w:r>
        <w:rPr/>
        <w:t>联系电话：029-88411508转8017（532772190@qq.com）</w:t>
      </w:r>
    </w:p>
    <w:p>
      <w:pPr>
        <w:pStyle w:val="null3"/>
      </w:pPr>
      <w:r>
        <w:rPr/>
        <w:t>地址：西安市莲湖区环城西路南段元晟合中心6层</w:t>
      </w:r>
    </w:p>
    <w:p>
      <w:pPr>
        <w:pStyle w:val="null3"/>
      </w:pPr>
      <w:r>
        <w:rPr/>
        <w:t>邮编：710082</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 xml:space="preserve"> 高速摄像机，1套，具体详见采购文件</w:t>
      </w:r>
    </w:p>
    <w:p>
      <w:pPr>
        <w:pStyle w:val="null3"/>
        <w:outlineLvl w:val="2"/>
      </w:pPr>
      <w:r>
        <w:rPr>
          <w:sz w:val="28"/>
          <w:b/>
        </w:rPr>
        <w:t>3.2采购内容</w:t>
      </w:r>
    </w:p>
    <w:p>
      <w:pPr>
        <w:pStyle w:val="null3"/>
      </w:pPr>
      <w:r>
        <w:rPr/>
        <w:t>采购包1：</w:t>
      </w:r>
    </w:p>
    <w:p>
      <w:pPr>
        <w:pStyle w:val="null3"/>
      </w:pPr>
      <w:r>
        <w:rPr/>
        <w:t>采购包预算金额（元）: 1,420,000.00</w:t>
      </w:r>
    </w:p>
    <w:p>
      <w:pPr>
        <w:pStyle w:val="null3"/>
      </w:pPr>
      <w:r>
        <w:rPr/>
        <w:t>采购包最高限价（元）: 1,420,000.00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西安工业大学高速摄像机采购项目</w:t>
            </w:r>
          </w:p>
        </w:tc>
        <w:tc>
          <w:tcPr>
            <w:tcW w:type="dxa" w:w="831"/>
          </w:tcPr>
          <w:p>
            <w:pPr>
              <w:pStyle w:val="null3"/>
              <w:jc w:val="right"/>
            </w:pPr>
            <w:r>
              <w:rPr/>
              <w:t>1.00</w:t>
            </w:r>
          </w:p>
        </w:tc>
        <w:tc>
          <w:tcPr>
            <w:tcW w:type="dxa" w:w="831"/>
          </w:tcPr>
          <w:p>
            <w:pPr>
              <w:pStyle w:val="null3"/>
              <w:jc w:val="right"/>
            </w:pPr>
            <w:r>
              <w:rPr/>
              <w:t>1,420,000.00</w:t>
            </w:r>
          </w:p>
        </w:tc>
        <w:tc>
          <w:tcPr>
            <w:tcW w:type="dxa" w:w="831"/>
          </w:tcPr>
          <w:p>
            <w:pPr>
              <w:pStyle w:val="null3"/>
            </w:pPr>
            <w:r>
              <w:rPr/>
              <w:t>套</w:t>
            </w:r>
          </w:p>
        </w:tc>
        <w:tc>
          <w:tcPr>
            <w:tcW w:type="dxa" w:w="831"/>
          </w:tcPr>
          <w:p>
            <w:pPr>
              <w:pStyle w:val="null3"/>
            </w:pPr>
            <w:r>
              <w:rPr/>
              <w:t>工业</w:t>
            </w:r>
          </w:p>
        </w:tc>
        <w:tc>
          <w:tcPr>
            <w:tcW w:type="dxa" w:w="831"/>
          </w:tcPr>
          <w:p>
            <w:pPr>
              <w:pStyle w:val="null3"/>
            </w:pPr>
            <w:r>
              <w:rPr/>
              <w:t>否</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标的名称：西安工业大学高速摄像机采购项目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left"/>
            </w:pPr>
            <w:r>
              <w:rPr>
                <w:rFonts w:ascii="simsun" w:hAnsi="simsun" w:cs="simsun" w:eastAsia="simsun"/>
                <w:sz w:val="21"/>
                <w:shd w:fill="FFFFFF" w:val="clear"/>
              </w:rPr>
              <w:t>一、</w:t>
            </w:r>
            <w:r>
              <w:rPr>
                <w:rFonts w:ascii="simsun" w:hAnsi="simsun" w:cs="simsun" w:eastAsia="simsun"/>
                <w:sz w:val="21"/>
                <w:shd w:fill="FFFFFF" w:val="clear"/>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438"/>
              <w:gridCol w:w="837"/>
              <w:gridCol w:w="525"/>
              <w:gridCol w:w="751"/>
            </w:tblGrid>
            <w:tr>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20"/>
                    </w:rPr>
                    <w:t>序号</w:t>
                  </w:r>
                </w:p>
              </w:tc>
              <w:tc>
                <w:tcPr>
                  <w:tcW w:type="dxa" w:w="8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20"/>
                    </w:rPr>
                    <w:t>设备名称</w:t>
                  </w:r>
                </w:p>
              </w:tc>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20"/>
                    </w:rPr>
                    <w:t>数量（套）</w:t>
                  </w:r>
                </w:p>
              </w:tc>
              <w:tc>
                <w:tcPr>
                  <w:tcW w:type="dxa" w:w="7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20"/>
                    </w:rPr>
                    <w:t>备注</w:t>
                  </w:r>
                </w:p>
              </w:tc>
            </w:tr>
            <w:tr>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20"/>
                    </w:rPr>
                    <w:t>1</w:t>
                  </w:r>
                </w:p>
              </w:tc>
              <w:tc>
                <w:tcPr>
                  <w:tcW w:type="dxa" w:w="8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20"/>
                    </w:rPr>
                    <w:t>高速摄像机</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20"/>
                    </w:rPr>
                    <w:t>1</w:t>
                  </w:r>
                </w:p>
              </w:tc>
              <w:tc>
                <w:tcPr>
                  <w:tcW w:type="dxa" w:w="7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simsun" w:hAnsi="simsun" w:cs="simsun" w:eastAsia="simsun"/>
                      <w:sz w:val="20"/>
                    </w:rPr>
                    <w:t>已通过财政核准，允许采购进口设备</w:t>
                  </w:r>
                </w:p>
              </w:tc>
            </w:tr>
          </w:tbl>
          <w:p>
            <w:pPr>
              <w:pStyle w:val="null3"/>
              <w:jc w:val="left"/>
            </w:pPr>
            <w:r>
              <w:rPr>
                <w:rFonts w:ascii="simsun" w:hAnsi="simsun" w:cs="simsun" w:eastAsia="simsun"/>
                <w:sz w:val="21"/>
                <w:shd w:fill="FFFFFF" w:val="clear"/>
              </w:rPr>
              <w:t>二、技术参数</w:t>
            </w:r>
          </w:p>
          <w:p>
            <w:pPr>
              <w:pStyle w:val="null3"/>
              <w:jc w:val="left"/>
            </w:pPr>
            <w:r>
              <w:rPr>
                <w:rFonts w:ascii="simsun" w:hAnsi="simsun" w:cs="simsun" w:eastAsia="simsun"/>
                <w:sz w:val="28"/>
                <w:shd w:fill="FFFFFF" w:val="clear"/>
              </w:rPr>
              <w:t>★</w:t>
            </w:r>
            <w:r>
              <w:rPr>
                <w:rFonts w:ascii="simsun" w:hAnsi="simsun" w:cs="simsun" w:eastAsia="simsun"/>
                <w:sz w:val="21"/>
                <w:shd w:fill="FFFFFF" w:val="clear"/>
              </w:rPr>
              <w:t>1、高速摄像机可实现在300万分辨率不大于9,000帧的拍摄速度，可实现对实验状态高清拍摄，840×606@5,0000fps、330×330@20,0000fps、最高帧速大于200万帧。</w:t>
            </w:r>
          </w:p>
          <w:p>
            <w:pPr>
              <w:pStyle w:val="null3"/>
              <w:jc w:val="left"/>
            </w:pPr>
            <w:r>
              <w:rPr>
                <w:rFonts w:ascii="simsun" w:hAnsi="simsun" w:cs="simsun" w:eastAsia="simsun"/>
                <w:sz w:val="21"/>
                <w:shd w:fill="FFFFFF" w:val="clear"/>
              </w:rPr>
              <w:t>▲2、拍摄帧速支持X轴、Y轴分辨率自定义调节同时拍摄速率及存储时间可调。内置可替换电池支持60分钟无外接电源使用</w:t>
            </w:r>
            <w:r>
              <w:rPr>
                <w:rFonts w:ascii="simsun" w:hAnsi="simsun" w:cs="simsun" w:eastAsia="simsun"/>
                <w:sz w:val="21"/>
                <w:shd w:fill="FFFFFF" w:val="clear"/>
              </w:rPr>
              <w:t>。</w:t>
            </w:r>
          </w:p>
          <w:p>
            <w:pPr>
              <w:pStyle w:val="null3"/>
              <w:jc w:val="left"/>
            </w:pPr>
            <w:r>
              <w:rPr>
                <w:rFonts w:ascii="simsun" w:hAnsi="simsun" w:cs="simsun" w:eastAsia="simsun"/>
                <w:sz w:val="21"/>
                <w:shd w:fill="FFFFFF" w:val="clear"/>
              </w:rPr>
              <w:t>▲3、曝光时间277ns，触发器类型：TTL信号/开关/软件触发等。</w:t>
            </w:r>
          </w:p>
          <w:p>
            <w:pPr>
              <w:pStyle w:val="null3"/>
              <w:jc w:val="left"/>
            </w:pPr>
            <w:r>
              <w:rPr>
                <w:rFonts w:ascii="simsun" w:hAnsi="simsun" w:cs="simsun" w:eastAsia="simsun"/>
                <w:sz w:val="21"/>
                <w:shd w:fill="FFFFFF" w:val="clear"/>
              </w:rPr>
              <w:t>4、相机接口为F-G接口。传感器尺寸大于：27×20 mm;像素尺寸大于13μm</w:t>
            </w:r>
          </w:p>
          <w:p>
            <w:pPr>
              <w:pStyle w:val="null3"/>
              <w:jc w:val="left"/>
            </w:pPr>
            <w:r>
              <w:rPr>
                <w:rFonts w:ascii="simsun" w:hAnsi="simsun" w:cs="simsun" w:eastAsia="simsun"/>
                <w:sz w:val="21"/>
                <w:shd w:fill="FFFFFF" w:val="clear"/>
              </w:rPr>
              <w:t>▲5、内存大于140G，配置内置远程软件可控机械快门</w:t>
            </w:r>
          </w:p>
          <w:p>
            <w:pPr>
              <w:pStyle w:val="null3"/>
              <w:jc w:val="left"/>
            </w:pPr>
            <w:r>
              <w:rPr>
                <w:rFonts w:ascii="simsun" w:hAnsi="simsun" w:cs="simsun" w:eastAsia="simsun"/>
                <w:sz w:val="21"/>
                <w:shd w:fill="FFFFFF" w:val="clear"/>
              </w:rPr>
              <w:t>▲6、设备需具有亮度直方图、相机LED状态指示灯、电子辅助对焦、电子辅助曝光功能。接口带有 HD-SDI、HDMI、USB3.0、 千兆网接口，具有触发、同步、远程电源开关功能</w:t>
            </w:r>
            <w:r>
              <w:rPr>
                <w:rFonts w:ascii="simsun" w:hAnsi="simsun" w:cs="simsun" w:eastAsia="simsun"/>
                <w:sz w:val="21"/>
                <w:shd w:fill="FFFFFF" w:val="clear"/>
              </w:rPr>
              <w:t>。</w:t>
            </w:r>
          </w:p>
          <w:p>
            <w:pPr>
              <w:pStyle w:val="null3"/>
              <w:jc w:val="left"/>
            </w:pPr>
            <w:r>
              <w:rPr>
                <w:rFonts w:ascii="simsun" w:hAnsi="simsun" w:cs="simsun" w:eastAsia="simsun"/>
                <w:sz w:val="21"/>
                <w:shd w:fill="FFFFFF" w:val="clear"/>
              </w:rPr>
              <w:t>7、</w:t>
            </w:r>
            <w:r>
              <w:rPr>
                <w:rFonts w:ascii="simsun" w:hAnsi="simsun" w:cs="simsun" w:eastAsia="simsun"/>
                <w:sz w:val="21"/>
                <w:shd w:fill="FFFFFF" w:val="clear"/>
              </w:rPr>
              <w:t>相机配备外置SSD接口 ，可支持存储设备插拔</w:t>
            </w:r>
            <w:r>
              <w:rPr>
                <w:rFonts w:ascii="simsun" w:hAnsi="simsun" w:cs="simsun" w:eastAsia="simsun"/>
                <w:sz w:val="21"/>
                <w:shd w:fill="FFFFFF" w:val="clear"/>
              </w:rPr>
              <w:t>，</w:t>
            </w:r>
            <w:r>
              <w:rPr>
                <w:rFonts w:ascii="simsun" w:hAnsi="simsun" w:cs="simsun" w:eastAsia="simsun"/>
                <w:sz w:val="21"/>
                <w:shd w:fill="FFFFFF" w:val="clear"/>
              </w:rPr>
              <w:t>配备专业三脚架及云台一套.</w:t>
            </w:r>
          </w:p>
          <w:p>
            <w:pPr>
              <w:pStyle w:val="null3"/>
              <w:jc w:val="left"/>
            </w:pPr>
            <w:r>
              <w:rPr>
                <w:rFonts w:ascii="simsun" w:hAnsi="simsun" w:cs="simsun" w:eastAsia="simsun"/>
                <w:sz w:val="21"/>
                <w:shd w:fill="FFFFFF" w:val="clear"/>
              </w:rPr>
              <w:t>光纤成像束：</w:t>
            </w:r>
          </w:p>
          <w:p>
            <w:pPr>
              <w:pStyle w:val="null3"/>
              <w:jc w:val="left"/>
            </w:pPr>
            <w:r>
              <w:rPr>
                <w:rFonts w:ascii="simsun" w:hAnsi="simsun" w:cs="simsun" w:eastAsia="simsun"/>
                <w:sz w:val="21"/>
                <w:shd w:fill="FFFFFF" w:val="clear"/>
              </w:rPr>
              <w:t>▲1、光纤具有成像功能，两通道成像；每一个单独成像通道≥16万个成像点，并且长度≥2m。</w:t>
            </w:r>
          </w:p>
          <w:p>
            <w:pPr>
              <w:pStyle w:val="null3"/>
              <w:jc w:val="left"/>
            </w:pPr>
            <w:r>
              <w:rPr>
                <w:rFonts w:ascii="simsun" w:hAnsi="simsun" w:cs="simsun" w:eastAsia="simsun"/>
                <w:sz w:val="21"/>
                <w:shd w:fill="FFFFFF" w:val="clear"/>
              </w:rPr>
              <w:t>2、能够实现多角度端角度及视场可调。</w:t>
            </w:r>
          </w:p>
          <w:p>
            <w:pPr>
              <w:pStyle w:val="null3"/>
              <w:jc w:val="left"/>
            </w:pPr>
            <w:r>
              <w:rPr>
                <w:rFonts w:ascii="simsun" w:hAnsi="simsun" w:cs="simsun" w:eastAsia="simsun"/>
                <w:sz w:val="21"/>
                <w:shd w:fill="FFFFFF" w:val="clear"/>
              </w:rPr>
              <w:t>3、能够兼顾多种尺寸毫米级到一米级别的样品尺寸。整套具有多角度观察及测量功能。</w:t>
            </w:r>
          </w:p>
          <w:p>
            <w:pPr>
              <w:pStyle w:val="null3"/>
              <w:jc w:val="left"/>
            </w:pPr>
            <w:r>
              <w:rPr>
                <w:rFonts w:ascii="simsun" w:hAnsi="simsun" w:cs="simsun" w:eastAsia="simsun"/>
                <w:sz w:val="21"/>
                <w:shd w:fill="FFFFFF" w:val="clear"/>
              </w:rPr>
              <w:t>4、配备100mm微距放大镜头及50mm标准镜头各2套以及对应的安装调节装置。</w:t>
            </w:r>
          </w:p>
          <w:p>
            <w:pPr>
              <w:pStyle w:val="null3"/>
              <w:jc w:val="left"/>
            </w:pPr>
            <w:r>
              <w:rPr>
                <w:rFonts w:ascii="simsun" w:hAnsi="simsun" w:cs="simsun" w:eastAsia="simsun"/>
                <w:sz w:val="21"/>
                <w:shd w:fill="FFFFFF" w:val="clear"/>
              </w:rPr>
              <w:t>▲5、40W小区域目标光源1支，距离20cm时，亮度≥85000LUX。</w:t>
            </w:r>
          </w:p>
          <w:p>
            <w:pPr>
              <w:pStyle w:val="null3"/>
              <w:jc w:val="left"/>
            </w:pPr>
            <w:r>
              <w:rPr>
                <w:rFonts w:ascii="simsun" w:hAnsi="simsun" w:cs="simsun" w:eastAsia="simsun"/>
                <w:sz w:val="21"/>
                <w:shd w:fill="FFFFFF" w:val="clear"/>
              </w:rPr>
              <w:t>6、要求亮度双全亮模式在室温摄氏25℃时, 灯头30分钟后温度≤45℃, 保持同温度可连续开机</w:t>
            </w:r>
            <w:r>
              <w:rPr>
                <w:rFonts w:ascii="simsun" w:hAnsi="simsun" w:cs="simsun" w:eastAsia="simsun"/>
                <w:sz w:val="21"/>
                <w:shd w:fill="FFFFFF" w:val="clear"/>
              </w:rPr>
              <w:t>大于</w:t>
            </w:r>
            <w:r>
              <w:rPr>
                <w:rFonts w:ascii="simsun" w:hAnsi="simsun" w:cs="simsun" w:eastAsia="simsun"/>
                <w:sz w:val="21"/>
                <w:shd w:fill="FFFFFF" w:val="clear"/>
              </w:rPr>
              <w:t>72小時</w:t>
            </w:r>
            <w:r>
              <w:rPr>
                <w:rFonts w:ascii="simsun" w:hAnsi="simsun" w:cs="simsun" w:eastAsia="simsun"/>
                <w:sz w:val="21"/>
                <w:shd w:fill="FFFFFF" w:val="clear"/>
              </w:rPr>
              <w:t>。</w:t>
            </w:r>
          </w:p>
          <w:p>
            <w:pPr>
              <w:pStyle w:val="null3"/>
              <w:jc w:val="left"/>
            </w:pPr>
            <w:r>
              <w:rPr>
                <w:rFonts w:ascii="simsun" w:hAnsi="simsun" w:cs="simsun" w:eastAsia="simsun"/>
                <w:sz w:val="21"/>
                <w:shd w:fill="FFFFFF" w:val="clear"/>
              </w:rPr>
              <w:t>二、专业分析软件技术要求：</w:t>
            </w:r>
          </w:p>
          <w:p>
            <w:pPr>
              <w:pStyle w:val="null3"/>
              <w:jc w:val="left"/>
            </w:pPr>
            <w:r>
              <w:rPr>
                <w:rFonts w:ascii="simsun" w:hAnsi="simsun" w:cs="simsun" w:eastAsia="simsun"/>
                <w:sz w:val="21"/>
                <w:shd w:fill="FFFFFF" w:val="clear"/>
              </w:rPr>
              <w:t>▲1、可完成全画幅振动非接触测量，包括振动频率（频率误差小于1%）、振幅同时包含位移、速度、加速度、幅值提取，网格划分、振动矢量方向演示、基于Polymax算法的模态分析、相位识别等动力学核心物理量的测量，可动态调整参数并实时响应</w:t>
            </w:r>
            <w:r>
              <w:rPr>
                <w:rFonts w:ascii="simsun" w:hAnsi="simsun" w:cs="simsun" w:eastAsia="simsun"/>
                <w:sz w:val="21"/>
                <w:shd w:fill="FFFFFF" w:val="clear"/>
              </w:rPr>
              <w:t>。</w:t>
            </w:r>
          </w:p>
          <w:p>
            <w:pPr>
              <w:pStyle w:val="null3"/>
              <w:jc w:val="left"/>
            </w:pPr>
            <w:r>
              <w:rPr>
                <w:rFonts w:ascii="simsun" w:hAnsi="simsun" w:cs="simsun" w:eastAsia="simsun"/>
                <w:sz w:val="21"/>
                <w:shd w:fill="FFFFFF" w:val="clear"/>
              </w:rPr>
              <w:t>▲2、可识别微小运动放大和增强，可实现肉眼不可见的微小振动（运动）的显微增强，将肉眼不可见的振动源观测，裂纹扩展、故障定位等实现所见即所得的效果</w:t>
            </w:r>
            <w:r>
              <w:rPr>
                <w:rFonts w:ascii="simsun" w:hAnsi="simsun" w:cs="simsun" w:eastAsia="simsun"/>
                <w:sz w:val="21"/>
                <w:shd w:fill="FFFFFF" w:val="clear"/>
              </w:rPr>
              <w:t>。</w:t>
            </w:r>
          </w:p>
          <w:p>
            <w:pPr>
              <w:pStyle w:val="null3"/>
              <w:jc w:val="left"/>
            </w:pPr>
            <w:r>
              <w:rPr>
                <w:rFonts w:ascii="simsun" w:hAnsi="simsun" w:cs="simsun" w:eastAsia="simsun"/>
                <w:sz w:val="21"/>
                <w:shd w:fill="FFFFFF" w:val="clear"/>
              </w:rPr>
              <w:t>3、支持光流蒙层技术，让重点区域异常震动清晰展示。</w:t>
            </w:r>
          </w:p>
          <w:p>
            <w:pPr>
              <w:pStyle w:val="null3"/>
              <w:jc w:val="left"/>
            </w:pPr>
            <w:r>
              <w:rPr>
                <w:rFonts w:ascii="simsun" w:hAnsi="simsun" w:cs="simsun" w:eastAsia="simsun"/>
                <w:sz w:val="21"/>
                <w:shd w:fill="FFFFFF" w:val="clear"/>
              </w:rPr>
              <w:t>4、可针对薄壁结构振动、冲击破坏、不对中、结构松动、阻尼失效、管路异常振动、流固耦合振动、桥梁建筑结构振动等进行大视场快速测量。</w:t>
            </w:r>
          </w:p>
          <w:p>
            <w:pPr>
              <w:pStyle w:val="null3"/>
              <w:jc w:val="both"/>
            </w:pPr>
            <w:r>
              <w:rPr>
                <w:rFonts w:ascii="simsun" w:hAnsi="simsun" w:cs="simsun" w:eastAsia="simsun"/>
                <w:sz w:val="21"/>
              </w:rPr>
              <w:t>5、支持低速状态的实时监控和自定义监控参数进行状态判别；软件支持多种高速相机型号。</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合同签订后 90 日内货到采购人指定地点； 安装调试时间：合同签订后7日内； 质保期：全部设备终验完成后 3 年。</w:t>
      </w:r>
    </w:p>
    <w:p>
      <w:pPr>
        <w:pStyle w:val="null3"/>
        <w:outlineLvl w:val="3"/>
      </w:pPr>
      <w:r>
        <w:rPr>
          <w:sz w:val="24"/>
          <w:b/>
        </w:rPr>
        <w:t>3.4.2交货地点</w:t>
      </w:r>
    </w:p>
    <w:p>
      <w:pPr>
        <w:pStyle w:val="null3"/>
      </w:pPr>
      <w:r>
        <w:rPr/>
        <w:t>采购包1：</w:t>
      </w:r>
    </w:p>
    <w:p>
      <w:pPr>
        <w:pStyle w:val="null3"/>
      </w:pPr>
      <w:r>
        <w:rPr/>
        <w:t>货到西安工业大学指定地点。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进口设备：技术协议签订后，15日内，采购人通过委托的外贸公司向中标供应商指定的境外厂商开具100%不可撤销即期跟单信用证。货到采购人指定地点后，信用证90%的合同货款凭外贸合同约定单据及西安工业大学出具的开箱点货报告原件解付；剩余10%合同尾款凭西安工业大学出具的设备终验验收报告原件解付；国产设备：货到西安工业大学指定地点经验收合格后，采购人15日内支付成交金额的100%</w:t>
      </w:r>
      <w:r>
        <w:rPr/>
        <w:t xml:space="preserve"> ，达到付款条件起 </w:t>
      </w:r>
      <w:r>
        <w:rPr/>
        <w:t>15</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1、交付检验：所供货物到货后，甲方和乙方指定人员共同参加开箱检验，乙方负责开箱，甲乙双方及时对货物名称、厂家、数量、品种、型号、规格、参数、功能需求等（乙方协助）进行核对、检验。若货物与合同约定不符，甲方有权拒绝接收，乙方应无条件退换货直至合格，并承担逾期交货的违约责任，赔偿甲方损失。 2、初验：货物通过试运行测试后进入试运行，试运行不少于30工作日。由乙方向甲方（用户）提供详细的试运行报告，报告中至少应详细记录各种实测、运行数据。项目试运行且通过乙方自测后提交甲方（用户）进行初验。验收内容按试运行报告，现场查看货物运行情况。初验合格后，甲方（用户）填写初验验收报告。 3、整体验收即终验：该项目初验合格后，甲方根据供应商提供的初验验收报告，组织甲方相关人员或甲方专家组成验收小组对设备进行最终验收。验收依据为本合同文本、招投标文件和国内相应的标准、规范。验收合格后，甲方填写终验验收单，作为付款依据。验收不合格的，限期整改，整改过程中产生的费用和货物发生的一切损失由乙方承担；整改超过二次的，甲方有权单方解除本合同，乙方应无条件退还已收取的全部合同价款，并按合同总价20%向甲方支付违约金，违约金不足弥补甲方损失的，由乙方负责赔偿，货款尾款甲方有权不予支付。 3. 技术服务及培训（未按约完成技术服务及培训的下述条款，采购人有权扣除履约保证金总金额的5%-10%）： 乙方免费派一名原厂应用工程师前往甲方现场进行应用培训，对甲方进行5人以上的仪器操作和日常维护的现场培训，包括仪器原理、使用方法和维护方法等，培训时间计划表和培训大纲经双方协商确定，培训至甲方能够独立掌握仪器操作及日常维护。</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(1) 投标货物生产商必须在境内设有售后服务中心； (2) 投标方必须提供明确的售后承诺和售后服务方案； (3) 质保期：仪器设备质保期3年，质保期自买方验收签字之日起计算；质保期内的零部件、配件和人工等均为免费；质保期内，责任工程师不少于2次回访，免费提供不小于1次维修保养服务，免费提供维修所用的全部零部件； (4) 设备质保期满前1个月，卖方免费提供一次全面的检查、维护，并写出正式报告，如发现潜在问题，应负责排除； (5) 维保服务：质保期结束以后，责任工程师每年定期回访客户不少于2次，及时为设备进行检查和问诊；</w:t>
      </w:r>
    </w:p>
    <w:p>
      <w:pPr>
        <w:pStyle w:val="null3"/>
        <w:outlineLvl w:val="3"/>
      </w:pPr>
      <w:r>
        <w:rPr>
          <w:sz w:val="24"/>
          <w:b/>
        </w:rPr>
        <w:t>3.4.8违约责任与解决争议的方法</w:t>
      </w:r>
    </w:p>
    <w:p>
      <w:pPr>
        <w:pStyle w:val="null3"/>
      </w:pPr>
      <w:r>
        <w:rPr/>
        <w:t>采购包1：</w:t>
      </w:r>
    </w:p>
    <w:p>
      <w:pPr>
        <w:pStyle w:val="null3"/>
      </w:pPr>
      <w:r>
        <w:rPr/>
        <w:t>按招标文件、投标文件及合同要求</w:t>
      </w:r>
    </w:p>
    <w:p>
      <w:pPr>
        <w:pStyle w:val="null3"/>
        <w:jc w:val="left"/>
        <w:outlineLvl w:val="2"/>
      </w:pPr>
      <w:r>
        <w:rPr>
          <w:sz w:val="28"/>
          <w:b/>
        </w:rPr>
        <w:t>3.5其他要求</w:t>
      </w:r>
    </w:p>
    <w:p>
      <w:pPr>
        <w:pStyle w:val="null3"/>
      </w:pPr>
      <w:r>
        <w:rPr/>
        <w:t>1、标的清单具体内容根据法律规定公布主要标的的名称、规格型号、数 量、单价。 本项目主要标的：同核心产品 2、为顺利推进政府采购电子化交易平台应用工作，投标人需要在线提交所有通 过电子化交易平台实施的政府采购项目的投标文件，同时，线下提交投标文件正本壹份、副本贰份、电子版壹份（U盘一份标 明投标人名称，随正本密封）。若电子投标文件与纸质投标文件不一致的，以电子投标文件为准；若正本和副本不符，以正本为准。线下递交文件时间：详见本项目招标公告文件截止时间；线下递交文件地点：西安市莲湖区环城西路南段元晟合中心6层。 3、投标保证金注意事项：（1）投标保证金须从投标人户名支付，如从个人户名或非投标人户名支付，将被拒绝，视为自动放弃投标权利（该个人是供应商的情形除外）；投标保证金缴纳时间：开标时间之前；以保函形式交纳投标保证金的，投标人应在投标截止时间前将保函扫描成清晰的PDF文件，发送至邮箱2559647209@qq.com（邮件命名：项目编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3）投标保证金以采购代理机构到账凭证为准，投标人无需更换交纳凭证，由采购代理机构统一提供； （4）未按指定账户提交的，我公司将退回，投标人须在文件递交截止时间前按照指定账户再次提交。 4、中标人无正当理由 拒签合同的，或在接到中标通知书规定的时间内，借故拖延、拒签合同者，采购人取消其中标资格，其投标保证金不予退还； 给采购人造成的损失超过投标保证金数额的，中标人还应对超过部分予以赔偿。同时报请政府采购监督机构通报全省，取消其进入政府采购市场的资格，并按规定予以处罚。 5、其他要求： （1）本项目允许采购进口产品。 如果因信息不对称等原因，仍有满足需求的国内产品要求参与采购竞争的，采购人及其委托的采购代理机构不对其加以限制，按照公平竞争原则实施采购。 （2）“进口产品”是指通过中国海关报关验放进入中国境内且产自关境外的产品。 供应商应当按磋商文件规定的供货及服务要求、责任范围和合同条件，以人民币进行报价。 报价包含全套货物抵达用户现场，安装验收直至投入使用期间，所需费用。报价包含但不限于人工费、辅材费、税费、安装调试费、培训费等（上述费用包含在总报价中但不得在分项价格表中单独列出）全部内容。 因采购人具有科教免税资格，进口设备可以报免税报价，报价需含外贸代理服务费（本类设备能否免税，供应商需在海关免税目录中自行查询确认）。不在教科文减免范围的设备应按含税开展报价。免税报价包含外贸代理服务费。（供应商所供设备如均为国产设备，需在中标后开具受益人为西安工业大学的预付款保函，有效期不短于全部货物抵达采购人指定地点所约定时间，具体以合同签订为准。） （3）支付条件相关要求： 国产设备： 货到西安工业大学指定地点经验收合格后，采购人15日内支付成交金额的100%； 进口设备： 采购人通过委托的外贸公司向中标供应商指定的境外厂商开具100%不可撤销即期跟单信用证。货到采购人指定地点后，信用证90%的合同货款凭外贸合同约定单据及西安工业大学出具的开箱点货报告原件解付；剩余10%合同尾款凭西安工业大学出具的设备终验验收报告原件解付。 预付款保函（采购人有要求） 预付款保函期限：半年（根据到货期需要可以适当延长时限）。 预付款保函受益人：西安工业大学。 预付款保函形式：外贸代理公司/中标供应商出具银行成交等额预付款保函原件，采购人可支付成交预付款的100%，货到采购人指定地点后，采购人退还预付款保函原件。开具预付款保函所产生的相关费用均由中标供应商承担。收到中标通知书后2日内，中标供应商应携带相关资料前往西安工业大学进行合同签订准备。因供应商原因导致的未顺利签订合同或无法付款造成损失，均由供应商承担。本项目投标有效期为120日历日，中标单位投标有效期自动延长至本项目履约结束后。 （4）收到中标通知书后2日内，中标供应商应携带相关资料前往西安工业大学进行合同签订准备。因供应商原因导致的未顺利签订合同或无法付款造成损失，均由供应商承担。本项目投标有效期为120日历日，中标单位投标有效期自动延长至本项目履约结束后。 （5）在合同履行过程中，如发生合同纠纷，合同双方应按照中华人民共和国法律解释，按照《中华人民共和国民法典》规定及合同条款约定进行处理。本项目已通过进口产品论证，投标文件中接受外文资料，但主要部分仍应尽量对应翻译成中文并附在相关外文资料后面。因无对应翻译或不一致产生的问题，按不利于供应商的原则进行处理。本项目不强制要求文件第2.4.4知识产权第二条要求。 （6）文件条款不一致以本要求为准。</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2023年11月1日以来任意一个月的纳税证明或完税证明，纳税证明或完税证明上应有代收机构或税务机关的公章或业务专用章；其他组织和自然人提供自2023年11月1日以来任意一个月缴纳税收的凭据；依法免税的投标人应提供相关文件证明 ③社会保障资金缴纳证明：提供自2023年11月1日以来任意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以上②-③项，提供“陕西省政府采购供应商信用承诺书”的，可不再提供其他证明文件。</w:t>
            </w:r>
          </w:p>
        </w:tc>
        <w:tc>
          <w:tcPr>
            <w:tcW w:type="dxa" w:w="1661"/>
          </w:tcPr>
          <w:p>
            <w:pPr>
              <w:pStyle w:val="null3"/>
            </w:pPr>
            <w:r>
              <w:rPr/>
              <w:t>投标函 2资格证明文件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法人提供会计师事务所出具的有效的2023年度审计报告（成立时间至提交投标文件截止时间不足一年的可提供成立后任意时段的资产负债表），或提交自2024年5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w:t>
            </w:r>
          </w:p>
        </w:tc>
        <w:tc>
          <w:tcPr>
            <w:tcW w:type="dxa" w:w="1661"/>
          </w:tcPr>
          <w:p>
            <w:pPr>
              <w:pStyle w:val="null3"/>
            </w:pPr>
            <w:r>
              <w:rPr/>
              <w:t>2资格证明文件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2资格证明文件</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本项目的特定资格要求</w:t>
            </w:r>
          </w:p>
        </w:tc>
        <w:tc>
          <w:tcPr>
            <w:tcW w:type="dxa" w:w="3322"/>
          </w:tcPr>
          <w:p>
            <w:pPr>
              <w:pStyle w:val="null3"/>
            </w:pPr>
            <w:r>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t>2资格证明文件</w:t>
            </w:r>
          </w:p>
        </w:tc>
      </w:tr>
      <w:tr>
        <w:tc>
          <w:tcPr>
            <w:tcW w:type="dxa" w:w="831"/>
          </w:tcPr>
          <w:p>
            <w:pPr>
              <w:pStyle w:val="null3"/>
            </w:pPr>
            <w:r>
              <w:rPr/>
              <w:t>2</w:t>
            </w:r>
          </w:p>
        </w:tc>
        <w:tc>
          <w:tcPr>
            <w:tcW w:type="dxa" w:w="2492"/>
          </w:tcPr>
          <w:p>
            <w:pPr>
              <w:pStyle w:val="null3"/>
            </w:pPr>
            <w:r>
              <w:rPr/>
              <w:t>法定代表人授权委托书</w:t>
            </w:r>
          </w:p>
        </w:tc>
        <w:tc>
          <w:tcPr>
            <w:tcW w:type="dxa" w:w="3322"/>
          </w:tcPr>
          <w:p>
            <w:pPr>
              <w:pStyle w:val="null3"/>
            </w:pPr>
            <w:r>
              <w:rPr/>
              <w:t>法定代表人参加投标的，须出示身份证；法定代表人授权本单位他人参加投标的，须提供法定代表人授权委托书及被授权人身份证复印件。</w:t>
            </w:r>
          </w:p>
        </w:tc>
        <w:tc>
          <w:tcPr>
            <w:tcW w:type="dxa" w:w="1661"/>
          </w:tcPr>
          <w:p>
            <w:pPr>
              <w:pStyle w:val="null3"/>
            </w:pPr>
            <w:r>
              <w:rPr/>
              <w:t>2资格证明文件</w:t>
            </w:r>
          </w:p>
        </w:tc>
      </w:tr>
      <w:tr>
        <w:tc>
          <w:tcPr>
            <w:tcW w:type="dxa" w:w="831"/>
          </w:tcPr>
          <w:p>
            <w:pPr>
              <w:pStyle w:val="null3"/>
            </w:pPr>
            <w:r>
              <w:rPr/>
              <w:t>3</w:t>
            </w:r>
          </w:p>
        </w:tc>
        <w:tc>
          <w:tcPr>
            <w:tcW w:type="dxa" w:w="2492"/>
          </w:tcPr>
          <w:p>
            <w:pPr>
              <w:pStyle w:val="null3"/>
            </w:pPr>
            <w:r>
              <w:rPr/>
              <w:t>本项目不接受联合体投标</w:t>
            </w:r>
          </w:p>
        </w:tc>
        <w:tc>
          <w:tcPr>
            <w:tcW w:type="dxa" w:w="3322"/>
          </w:tcPr>
          <w:p>
            <w:pPr>
              <w:pStyle w:val="null3"/>
            </w:pPr>
            <w:r>
              <w:rPr/>
              <w:t>本项目不接受联合体投标，不允许分包。投标人应提供《非联合体不分包投标声明》。</w:t>
            </w:r>
          </w:p>
        </w:tc>
        <w:tc>
          <w:tcPr>
            <w:tcW w:type="dxa" w:w="1661"/>
          </w:tcPr>
          <w:p>
            <w:pPr>
              <w:pStyle w:val="null3"/>
            </w:pPr>
            <w:r>
              <w:rPr/>
              <w:t>2资格证明文件</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投标文件的初步符合性审查</w:t>
            </w:r>
          </w:p>
        </w:tc>
        <w:tc>
          <w:tcPr>
            <w:tcW w:type="dxa" w:w="3322"/>
          </w:tcPr>
          <w:p>
            <w:pPr>
              <w:pStyle w:val="null3"/>
            </w:pPr>
            <w:r>
              <w:rPr/>
              <w:t>有下列情形之一的，应在符合性审查时按照无效投标处理： (1)投标文件未按照招标文件规定要求签署、盖章的； (2)不满足本招标文件中“交货时间、交货地点、采购资金的支付方式及约定、质量保修范围和保修期”的实质性条款要 求的； (3)投标有效期不足的或无有效期的（有效期前后不一致等情形可以由评标委员会发起澄清）； (4)报价超过招标文件中规定的预算金额或最高限价的；(5)法律、法规和招标文件规定的其他无效情形。</w:t>
            </w:r>
          </w:p>
        </w:tc>
        <w:tc>
          <w:tcPr>
            <w:tcW w:type="dxa" w:w="1661"/>
          </w:tcPr>
          <w:p>
            <w:pPr>
              <w:pStyle w:val="null3"/>
            </w:pPr>
            <w:r>
              <w:rPr/>
              <w:t>开标一览表 1分项价格表 投标函 中小企业声明函 残疾人福利性单位声明函 5技术响应与偏离表 标的清单 投标文件封面 2资格证明文件 4承诺书 监狱企业的证明文件 3商务部分偏离表</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w:t>
            </w:r>
          </w:p>
        </w:tc>
        <w:tc>
          <w:tcPr>
            <w:tcW w:type="dxa" w:w="2492"/>
          </w:tcPr>
          <w:p>
            <w:pPr>
              <w:pStyle w:val="null3"/>
            </w:pPr>
            <w:r>
              <w:rPr/>
              <w:t>基本分40分：完全符合、响应招标文件要求，且配置内容全面、完整，没有负偏离计40分；技术参数中标“★”项为实质性要求，不满足按无效文件处理；“▲”号参数为重要技术指标，负偏离一项扣3分，非“▲”号参数每负偏离一项扣1.8分。 “★”“▲”号指标必须提供佐证材料（包括但不限于检测报告或产品彩页或带网址链接的官网截图或盖厂家公章的技术参数说明或盖厂家公章功能截图等技术支持性文件），否则视为负偏离。</w:t>
            </w:r>
          </w:p>
        </w:tc>
        <w:tc>
          <w:tcPr>
            <w:tcW w:type="dxa" w:w="831"/>
          </w:tcPr>
          <w:p>
            <w:pPr>
              <w:pStyle w:val="null3"/>
              <w:jc w:val="right"/>
            </w:pPr>
            <w:r>
              <w:rPr/>
              <w:t>40.0000</w:t>
            </w:r>
          </w:p>
        </w:tc>
        <w:tc>
          <w:tcPr>
            <w:tcW w:type="dxa" w:w="831"/>
          </w:tcPr>
          <w:p>
            <w:pPr>
              <w:pStyle w:val="null3"/>
            </w:pPr>
            <w:r>
              <w:rPr/>
              <w:t>客观</w:t>
            </w:r>
          </w:p>
        </w:tc>
        <w:tc>
          <w:tcPr>
            <w:tcW w:type="dxa" w:w="1661"/>
          </w:tcPr>
          <w:p>
            <w:pPr>
              <w:pStyle w:val="null3"/>
            </w:pPr>
            <w:r>
              <w:rPr/>
              <w:t>5技术响应与偏离表</w:t>
            </w:r>
          </w:p>
          <w:p>
            <w:pPr>
              <w:pStyle w:val="null3"/>
            </w:pPr>
            <w:r>
              <w:rPr/>
              <w:t>6技术参数</w:t>
            </w:r>
          </w:p>
        </w:tc>
      </w:tr>
      <w:tr>
        <w:tc>
          <w:tcPr>
            <w:tcW w:type="dxa" w:w="831"/>
            <w:vMerge/>
          </w:tcPr>
          <w:p/>
        </w:tc>
        <w:tc>
          <w:tcPr>
            <w:tcW w:type="dxa" w:w="1661"/>
          </w:tcPr>
          <w:p>
            <w:pPr>
              <w:pStyle w:val="null3"/>
            </w:pPr>
            <w:r>
              <w:rPr/>
              <w:t>需求理解</w:t>
            </w:r>
          </w:p>
        </w:tc>
        <w:tc>
          <w:tcPr>
            <w:tcW w:type="dxa" w:w="2492"/>
          </w:tcPr>
          <w:p>
            <w:pPr>
              <w:pStyle w:val="null3"/>
            </w:pPr>
            <w:r>
              <w:rPr/>
              <w:t>针对本项目采购人要求的服务内容有完整、明确的需求理解，解读全面，掌握相关项目情况，贴近项目，贴合需求满足招标文件要求，无瑕疵：4分； 方案内容存在1处瑕疵3分； 方案内容存在2处瑕疵2分； 内容存在3处瑕疵：1分； 未提供方案或不满足招标文件要求或内容存在4处及以上瑕疵：0分；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7需求理解</w:t>
            </w:r>
          </w:p>
        </w:tc>
      </w:tr>
      <w:tr>
        <w:tc>
          <w:tcPr>
            <w:tcW w:type="dxa" w:w="831"/>
            <w:vMerge/>
          </w:tcPr>
          <w:p/>
        </w:tc>
        <w:tc>
          <w:tcPr>
            <w:tcW w:type="dxa" w:w="1661"/>
          </w:tcPr>
          <w:p>
            <w:pPr>
              <w:pStyle w:val="null3"/>
            </w:pPr>
            <w:r>
              <w:rPr/>
              <w:t>整体实施方案</w:t>
            </w:r>
          </w:p>
        </w:tc>
        <w:tc>
          <w:tcPr>
            <w:tcW w:type="dxa" w:w="2492"/>
          </w:tcPr>
          <w:p>
            <w:pPr>
              <w:pStyle w:val="null3"/>
            </w:pPr>
            <w:r>
              <w:rPr/>
              <w:t>针对本项目提供完整、具体可行的 整体实施方案。 满足招标文件要求，无瑕疵：7分； 内容存在1处瑕疵：5分； 内容存在2处瑕疵：3分； 内容存在3处瑕疵：1分； 未提供方案或不满足招标文件要求或内容存在5处及以上瑕疵：0分；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8整体实施方案</w:t>
            </w:r>
          </w:p>
        </w:tc>
      </w:tr>
      <w:tr>
        <w:tc>
          <w:tcPr>
            <w:tcW w:type="dxa" w:w="831"/>
            <w:vMerge/>
          </w:tcPr>
          <w:p/>
        </w:tc>
        <w:tc>
          <w:tcPr>
            <w:tcW w:type="dxa" w:w="1661"/>
          </w:tcPr>
          <w:p>
            <w:pPr>
              <w:pStyle w:val="null3"/>
            </w:pPr>
            <w:r>
              <w:rPr/>
              <w:t>质量保障措施</w:t>
            </w:r>
          </w:p>
        </w:tc>
        <w:tc>
          <w:tcPr>
            <w:tcW w:type="dxa" w:w="2492"/>
          </w:tcPr>
          <w:p>
            <w:pPr>
              <w:pStyle w:val="null3"/>
            </w:pPr>
            <w:r>
              <w:rPr/>
              <w:t>供应商针对本项目提供完整、具体可行的质量保障措施。 满足招标文件要求，无瑕疵：3分； 内容存在1处瑕疵：2分； 内容存在2处瑕疵：1分； 未提供方案或不满足招标文件要求或内容存在3处及以上瑕疵：0分；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9质量保障措施</w:t>
            </w:r>
          </w:p>
        </w:tc>
      </w:tr>
      <w:tr>
        <w:tc>
          <w:tcPr>
            <w:tcW w:type="dxa" w:w="831"/>
            <w:vMerge/>
          </w:tcPr>
          <w:p/>
        </w:tc>
        <w:tc>
          <w:tcPr>
            <w:tcW w:type="dxa" w:w="1661"/>
          </w:tcPr>
          <w:p>
            <w:pPr>
              <w:pStyle w:val="null3"/>
            </w:pPr>
            <w:r>
              <w:rPr/>
              <w:t>供货组织方案</w:t>
            </w:r>
          </w:p>
        </w:tc>
        <w:tc>
          <w:tcPr>
            <w:tcW w:type="dxa" w:w="2492"/>
          </w:tcPr>
          <w:p>
            <w:pPr>
              <w:pStyle w:val="null3"/>
            </w:pPr>
            <w:r>
              <w:rPr/>
              <w:t>投标人针对本项目有具体的供货组织方案，方案应至少包括但不限于详细的人员、财力调配、运输、派送措施及设备验收方案，以及确保按时发货、运货、安装的时效保障措施等，就其方案是否合理科学，措施得当，是否针对本项目供货组织方案实施提出重点、难点及其解决方案等进行综合评审赋分。 满足招标文件要求，无瑕疵：4分； 方案内容存在1处瑕疵3分； 方案内容存在2处瑕疵2分； 内容存在3处瑕疵：1分； 未提供方案或不满足招标文件要求或内容存在4处及以上瑕疵：0分；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10供货组织方案</w:t>
            </w:r>
          </w:p>
        </w:tc>
      </w:tr>
      <w:tr>
        <w:tc>
          <w:tcPr>
            <w:tcW w:type="dxa" w:w="831"/>
            <w:vMerge/>
          </w:tcPr>
          <w:p/>
        </w:tc>
        <w:tc>
          <w:tcPr>
            <w:tcW w:type="dxa" w:w="1661"/>
          </w:tcPr>
          <w:p>
            <w:pPr>
              <w:pStyle w:val="null3"/>
            </w:pPr>
            <w:r>
              <w:rPr/>
              <w:t>业绩</w:t>
            </w:r>
          </w:p>
        </w:tc>
        <w:tc>
          <w:tcPr>
            <w:tcW w:type="dxa" w:w="2492"/>
          </w:tcPr>
          <w:p>
            <w:pPr>
              <w:pStyle w:val="null3"/>
            </w:pPr>
            <w:r>
              <w:rPr/>
              <w:t>提供投标人2021年1月1日至今同类项目合同(以合同签订日期为准)，每提供1个得1分，最高得4分。 备注：投标文件中提供合同复印件加盖公章。</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11业绩</w:t>
            </w:r>
          </w:p>
        </w:tc>
      </w:tr>
      <w:tr>
        <w:tc>
          <w:tcPr>
            <w:tcW w:type="dxa" w:w="831"/>
            <w:vMerge/>
          </w:tcPr>
          <w:p/>
        </w:tc>
        <w:tc>
          <w:tcPr>
            <w:tcW w:type="dxa" w:w="1661"/>
          </w:tcPr>
          <w:p>
            <w:pPr>
              <w:pStyle w:val="null3"/>
            </w:pPr>
            <w:r>
              <w:rPr/>
              <w:t>售后服务方案</w:t>
            </w:r>
          </w:p>
        </w:tc>
        <w:tc>
          <w:tcPr>
            <w:tcW w:type="dxa" w:w="2492"/>
          </w:tcPr>
          <w:p>
            <w:pPr>
              <w:pStyle w:val="null3"/>
            </w:pPr>
            <w:r>
              <w:rPr/>
              <w:t>投标人针对本项目有具体的售后服务方案，方案应至少包括但不限于售后服务计划，相应的物力、人力、场所保障（保障及时有效的完成售后服务），定期的维保维护计划，针对高校特点提供的针对性培训计划及方案，售后考核方案及承诺，安全应急预案等，就其方案是否合理科学，措施得当赋分。 满足招标文件要求，无瑕疵：4分； 方案内容存在1处瑕疵3分； 方案内容存在2处瑕疵2分； 内容存在3处瑕疵：1分； 未提供方案或不满足招标文件要求或内容存在4处及以上瑕疵：0分；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12售后服务</w:t>
            </w:r>
          </w:p>
        </w:tc>
      </w:tr>
      <w:tr>
        <w:tc>
          <w:tcPr>
            <w:tcW w:type="dxa" w:w="831"/>
            <w:vMerge/>
          </w:tcPr>
          <w:p/>
        </w:tc>
        <w:tc>
          <w:tcPr>
            <w:tcW w:type="dxa" w:w="1661"/>
          </w:tcPr>
          <w:p>
            <w:pPr>
              <w:pStyle w:val="null3"/>
            </w:pPr>
            <w:r>
              <w:rPr/>
              <w:t>培训方案</w:t>
            </w:r>
          </w:p>
        </w:tc>
        <w:tc>
          <w:tcPr>
            <w:tcW w:type="dxa" w:w="2492"/>
          </w:tcPr>
          <w:p>
            <w:pPr>
              <w:pStyle w:val="null3"/>
            </w:pPr>
            <w:r>
              <w:rPr/>
              <w:t>投标人针对本项目有具体的培训方案，方案应至少包括但不限于培训服务计划，硬件保障、场所保障，针对高校特点提供的针对性培训计划及方案。就其方案是否合理科学，措施得当进行综合评审赋分。 满足招标文件要求，无瑕疵：3分； 方案内容存在1处瑕疵2分； 方案内容存在2处瑕疵1分；未提供方案或内容存在3处及以上瑕疵：0分；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13培训方案</w:t>
            </w:r>
          </w:p>
        </w:tc>
      </w:tr>
      <w:tr>
        <w:tc>
          <w:tcPr>
            <w:tcW w:type="dxa" w:w="831"/>
            <w:vMerge/>
          </w:tcPr>
          <w:p/>
        </w:tc>
        <w:tc>
          <w:tcPr>
            <w:tcW w:type="dxa" w:w="1661"/>
          </w:tcPr>
          <w:p>
            <w:pPr>
              <w:pStyle w:val="null3"/>
            </w:pPr>
            <w:r>
              <w:rPr/>
              <w:t>节能环保</w:t>
            </w:r>
          </w:p>
        </w:tc>
        <w:tc>
          <w:tcPr>
            <w:tcW w:type="dxa" w:w="2492"/>
          </w:tcPr>
          <w:p>
            <w:pPr>
              <w:pStyle w:val="null3"/>
            </w:pPr>
            <w:r>
              <w:rPr/>
              <w:t>供应商投标产品中每有一项为节能产品或环境标志产品经国家认证的得1分。（以经国家确定的认证机构出具的、处于有效期内的节能产品、环境标志产品 认证证书为准。）</w:t>
            </w:r>
          </w:p>
        </w:tc>
        <w:tc>
          <w:tcPr>
            <w:tcW w:type="dxa" w:w="831"/>
          </w:tcPr>
          <w:p>
            <w:pPr>
              <w:pStyle w:val="null3"/>
              <w:jc w:val="right"/>
            </w:pPr>
            <w:r>
              <w:rPr/>
              <w:t>1.0000</w:t>
            </w:r>
          </w:p>
        </w:tc>
        <w:tc>
          <w:tcPr>
            <w:tcW w:type="dxa" w:w="831"/>
          </w:tcPr>
          <w:p>
            <w:pPr>
              <w:pStyle w:val="null3"/>
            </w:pPr>
            <w:r>
              <w:rPr/>
              <w:t>客观</w:t>
            </w:r>
          </w:p>
        </w:tc>
        <w:tc>
          <w:tcPr>
            <w:tcW w:type="dxa" w:w="1661"/>
          </w:tcPr>
          <w:p>
            <w:pPr>
              <w:pStyle w:val="null3"/>
            </w:pPr>
            <w:r>
              <w:rPr/>
              <w:t>14节能环保</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满足招标文件要求且投标价格最低的投标报价为评标基准价，其价格分为满分30分。其他供应商的价格分统一按照下列公式计算：投标报价得分=（评标基准价/投标报价）×30 符合招标文件规定的小微企业、监狱企业、残疾人福利性单位优惠的供应商，价格给予10%的扣除，用扣除后的价格参与评审。</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详见附件：1分项价格表</w:t>
      </w:r>
    </w:p>
    <w:p>
      <w:pPr>
        <w:pStyle w:val="null3"/>
        <w:ind w:firstLine="960"/>
      </w:pPr>
      <w:r>
        <w:rPr/>
        <w:t>详见附件：2资格证明文件</w:t>
      </w:r>
    </w:p>
    <w:p>
      <w:pPr>
        <w:pStyle w:val="null3"/>
        <w:ind w:firstLine="960"/>
      </w:pPr>
      <w:r>
        <w:rPr/>
        <w:t>详见附件：3商务部分偏离表</w:t>
      </w:r>
    </w:p>
    <w:p>
      <w:pPr>
        <w:pStyle w:val="null3"/>
        <w:ind w:firstLine="960"/>
      </w:pPr>
      <w:r>
        <w:rPr/>
        <w:t>详见附件：4承诺书</w:t>
      </w:r>
    </w:p>
    <w:p>
      <w:pPr>
        <w:pStyle w:val="null3"/>
        <w:ind w:firstLine="960"/>
      </w:pPr>
      <w:r>
        <w:rPr/>
        <w:t>详见附件：5技术响应与偏离表</w:t>
      </w:r>
    </w:p>
    <w:p>
      <w:pPr>
        <w:pStyle w:val="null3"/>
        <w:ind w:firstLine="960"/>
      </w:pPr>
      <w:r>
        <w:rPr/>
        <w:t>详见附件：6技术参数</w:t>
      </w:r>
    </w:p>
    <w:p>
      <w:pPr>
        <w:pStyle w:val="null3"/>
        <w:ind w:firstLine="960"/>
      </w:pPr>
      <w:r>
        <w:rPr/>
        <w:t>详见附件：7需求理解</w:t>
      </w:r>
    </w:p>
    <w:p>
      <w:pPr>
        <w:pStyle w:val="null3"/>
        <w:ind w:firstLine="960"/>
      </w:pPr>
      <w:r>
        <w:rPr/>
        <w:t>详见附件：8整体实施方案</w:t>
      </w:r>
    </w:p>
    <w:p>
      <w:pPr>
        <w:pStyle w:val="null3"/>
        <w:ind w:firstLine="960"/>
      </w:pPr>
      <w:r>
        <w:rPr/>
        <w:t>详见附件：9质量保障措施</w:t>
      </w:r>
    </w:p>
    <w:p>
      <w:pPr>
        <w:pStyle w:val="null3"/>
        <w:ind w:firstLine="960"/>
      </w:pPr>
      <w:r>
        <w:rPr/>
        <w:t>详见附件：10供货组织方案</w:t>
      </w:r>
    </w:p>
    <w:p>
      <w:pPr>
        <w:pStyle w:val="null3"/>
        <w:ind w:firstLine="960"/>
      </w:pPr>
      <w:r>
        <w:rPr/>
        <w:t>详见附件：11业绩</w:t>
      </w:r>
    </w:p>
    <w:p>
      <w:pPr>
        <w:pStyle w:val="null3"/>
        <w:ind w:firstLine="960"/>
      </w:pPr>
      <w:r>
        <w:rPr/>
        <w:t>详见附件：12售后服务</w:t>
      </w:r>
    </w:p>
    <w:p>
      <w:pPr>
        <w:pStyle w:val="null3"/>
        <w:ind w:firstLine="960"/>
      </w:pPr>
      <w:r>
        <w:rPr/>
        <w:t>详见附件：13培训方案</w:t>
      </w:r>
    </w:p>
    <w:p>
      <w:pPr>
        <w:pStyle w:val="null3"/>
        <w:ind w:firstLine="960"/>
      </w:pPr>
      <w:r>
        <w:rPr/>
        <w:t>详见附件：14节能环保</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