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版本号：241216001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全聚焦相控阵设备采购项目</w:t>
      </w:r>
    </w:p>
    <w:p>
      <w:pPr>
        <w:pStyle w:val="null3"/>
        <w:jc w:val="center"/>
        <w:outlineLvl w:val="2"/>
      </w:pPr>
      <w:r>
        <w:rPr>
          <w:sz w:val="28"/>
          <w:b/>
        </w:rPr>
        <w:t>采购项目编号：</w:t>
      </w:r>
      <w:r>
        <w:rPr>
          <w:sz w:val="28"/>
          <w:b/>
        </w:rPr>
        <w:t>SZT2024-SN-SC-ZC-HW-1204</w:t>
      </w:r>
      <w:r>
        <w:br/>
      </w:r>
      <w:r>
        <w:br/>
      </w:r>
      <w:r>
        <w:br/>
      </w:r>
    </w:p>
    <w:p>
      <w:pPr>
        <w:pStyle w:val="null3"/>
        <w:jc w:val="center"/>
        <w:outlineLvl w:val="2"/>
      </w:pPr>
      <w:r>
        <w:rPr>
          <w:sz w:val="28"/>
          <w:b/>
        </w:rPr>
        <w:t>西安工业大学</w:t>
      </w:r>
    </w:p>
    <w:p>
      <w:pPr>
        <w:pStyle w:val="null3"/>
        <w:jc w:val="center"/>
        <w:outlineLvl w:val="2"/>
      </w:pPr>
      <w:r>
        <w:rPr>
          <w:sz w:val="28"/>
          <w:b/>
        </w:rPr>
        <w:t>陕西中技招标有限公司</w:t>
      </w:r>
      <w:r>
        <w:rPr>
          <w:sz w:val="28"/>
          <w:b/>
        </w:rPr>
        <w:t>共同编制</w:t>
      </w:r>
    </w:p>
    <w:p>
      <w:pPr>
        <w:pStyle w:val="null3"/>
        <w:jc w:val="center"/>
        <w:outlineLvl w:val="2"/>
      </w:pPr>
      <w:r>
        <w:rPr>
          <w:sz w:val="28"/>
          <w:b/>
        </w:rPr>
        <w:t>2024年12月16日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陕西中技招标有限公司</w:t>
      </w:r>
      <w:r>
        <w:rPr/>
        <w:t>（以下简称“代理机构”）受</w:t>
      </w:r>
      <w:r>
        <w:rPr/>
        <w:t>西安工业大学</w:t>
      </w:r>
      <w:r>
        <w:rPr/>
        <w:t>委托，拟对</w:t>
      </w:r>
      <w:r>
        <w:rPr/>
        <w:t>全聚焦相控阵设备采购项目</w:t>
      </w:r>
      <w:r>
        <w:rPr/>
        <w:t>进行国内公开招标，兹邀请符合本次招标要求的供应商参加投标。</w:t>
      </w:r>
    </w:p>
    <w:p>
      <w:pPr>
        <w:pStyle w:val="null3"/>
        <w:outlineLvl w:val="2"/>
      </w:pPr>
      <w:r>
        <w:rPr>
          <w:sz w:val="28"/>
          <w:b/>
        </w:rPr>
        <w:t>一、采购项目编号：</w:t>
      </w:r>
      <w:r>
        <w:rPr>
          <w:sz w:val="28"/>
          <w:b/>
        </w:rPr>
        <w:t>SZT2024-SN-SC-ZC-HW-1204</w:t>
      </w:r>
    </w:p>
    <w:p>
      <w:pPr>
        <w:pStyle w:val="null3"/>
        <w:outlineLvl w:val="2"/>
      </w:pPr>
      <w:r>
        <w:rPr>
          <w:sz w:val="28"/>
          <w:b/>
        </w:rPr>
        <w:t>二、采购项目名称：</w:t>
      </w:r>
      <w:r>
        <w:rPr>
          <w:sz w:val="28"/>
          <w:b/>
        </w:rPr>
        <w:t>全聚焦相控阵设备采购项目</w:t>
      </w:r>
    </w:p>
    <w:p>
      <w:pPr>
        <w:pStyle w:val="null3"/>
        <w:outlineLvl w:val="2"/>
      </w:pPr>
      <w:r>
        <w:rPr>
          <w:sz w:val="28"/>
          <w:b/>
        </w:rPr>
        <w:t>三、招标项目简介</w:t>
      </w:r>
    </w:p>
    <w:p>
      <w:pPr>
        <w:pStyle w:val="null3"/>
        <w:ind w:firstLine="480"/>
      </w:pPr>
      <w:r>
        <w:rPr/>
        <w:t>本项目拟采购全聚焦相控阵设备一套，用于粉末冶金制件注射、烧结工艺中产品内部气泡分布的形态与位置，以满足粉末冶金产品质量特性形成机理的科学研究需求。</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授权要求：法定代表人授权代表参加投标的，须出具法定代表人授权书及授权代表身份证（法定代表人直接参加投标的，须出具法定代表人身份证）。供应商需在项目电子化交易系统中按要求上传相应证明文件并进行电子签章。</w:t>
      </w:r>
    </w:p>
    <w:p>
      <w:pPr>
        <w:pStyle w:val="null3"/>
      </w:pPr>
      <w:r>
        <w:rPr/>
        <w:t>2、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供应商需在项目电子化交易系统中按要求上传相应证明文件并进行电子签章。</w:t>
      </w:r>
    </w:p>
    <w:p>
      <w:pPr>
        <w:pStyle w:val="null3"/>
      </w:pPr>
      <w:r>
        <w:rPr/>
        <w:t>3、本项目不接受联合体投标：本项目不接受联合体投标，不得分包、转包。单位负责人为同一人或者存在直接控股、管理关系的不同供应商，不得参加同一合同项下的投标活动；对列入失信被执行人、政府采购严重违法失信行为记录名单的供应商，拒绝参与本项目投标。供应商需在项目电子化交易系统中按要求上传相应证明文件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西安工业大学</w:t>
      </w:r>
    </w:p>
    <w:p>
      <w:pPr>
        <w:pStyle w:val="null3"/>
      </w:pPr>
      <w:r>
        <w:rPr/>
        <w:t xml:space="preserve"> 地址： </w:t>
      </w:r>
      <w:r>
        <w:rPr/>
        <w:t>未央区学府中路2号</w:t>
      </w:r>
    </w:p>
    <w:p>
      <w:pPr>
        <w:pStyle w:val="null3"/>
      </w:pPr>
      <w:r>
        <w:rPr/>
        <w:t xml:space="preserve"> 邮编： </w:t>
      </w:r>
      <w:r>
        <w:rPr/>
        <w:t>710021</w:t>
      </w:r>
    </w:p>
    <w:p>
      <w:pPr>
        <w:pStyle w:val="null3"/>
      </w:pPr>
      <w:r>
        <w:rPr/>
        <w:t xml:space="preserve"> 联系人： </w:t>
      </w:r>
      <w:r>
        <w:rPr/>
        <w:t>西安工业大学经办</w:t>
      </w:r>
    </w:p>
    <w:p>
      <w:pPr>
        <w:pStyle w:val="null3"/>
      </w:pPr>
      <w:r>
        <w:rPr/>
        <w:t xml:space="preserve"> 联系电话： </w:t>
      </w:r>
      <w:r>
        <w:rPr/>
        <w:t>029-86173142</w:t>
      </w:r>
    </w:p>
    <w:p>
      <w:pPr>
        <w:pStyle w:val="null3"/>
        <w:outlineLvl w:val="2"/>
      </w:pPr>
      <w:r>
        <w:rPr>
          <w:sz w:val="28"/>
          <w:b/>
        </w:rPr>
        <w:t>代理机构：</w:t>
      </w:r>
      <w:r>
        <w:rPr>
          <w:sz w:val="28"/>
          <w:b/>
        </w:rPr>
        <w:t>陕西中技招标有限公司</w:t>
      </w:r>
    </w:p>
    <w:p>
      <w:pPr>
        <w:pStyle w:val="null3"/>
      </w:pPr>
      <w:r>
        <w:rPr/>
        <w:t xml:space="preserve"> 地址： </w:t>
      </w:r>
      <w:r>
        <w:rPr/>
        <w:t>西安市高新区高新四路1号高科广场A座10楼1001室</w:t>
      </w:r>
    </w:p>
    <w:p>
      <w:pPr>
        <w:pStyle w:val="null3"/>
      </w:pPr>
      <w:r>
        <w:rPr/>
        <w:t xml:space="preserve"> 邮编： </w:t>
      </w:r>
      <w:r>
        <w:rPr/>
        <w:t>710075</w:t>
      </w:r>
    </w:p>
    <w:p>
      <w:pPr>
        <w:pStyle w:val="null3"/>
      </w:pPr>
      <w:r>
        <w:rPr/>
        <w:t xml:space="preserve"> 联系人： </w:t>
      </w:r>
      <w:r>
        <w:rPr/>
        <w:t>杨艳、李毓菲、沈肖楠、单博</w:t>
      </w:r>
    </w:p>
    <w:p>
      <w:pPr>
        <w:pStyle w:val="null3"/>
      </w:pPr>
      <w:r>
        <w:rPr/>
        <w:t xml:space="preserve"> 联系电话： </w:t>
      </w:r>
      <w:r>
        <w:rPr/>
        <w:t>029-88364979-821</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采购包1：1,550,000.00元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采购包1保证金金额：30,000.00元</w:t>
            </w:r>
          </w:p>
          <w:p>
            <w:pPr>
              <w:pStyle w:val="null3"/>
            </w:pPr>
            <w:r>
              <w:rPr/>
              <w:t>缴交渠道：转账、支票、汇票等（需通过实体账户、户名及开户行信息）</w:t>
            </w:r>
          </w:p>
          <w:p>
            <w:pPr>
              <w:pStyle w:val="null3"/>
            </w:pPr>
            <w:r>
              <w:rPr/>
              <w:t>开户名称：陕西中技招标有限公司</w:t>
            </w:r>
          </w:p>
          <w:p>
            <w:pPr>
              <w:pStyle w:val="null3"/>
            </w:pPr>
            <w:r>
              <w:rPr/>
              <w:t>开户银行：招商银行西安分行营业部</w:t>
            </w:r>
          </w:p>
          <w:p>
            <w:pPr>
              <w:pStyle w:val="null3"/>
            </w:pPr>
            <w:r>
              <w:rPr/>
              <w:t>银行账号：129916812810001</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120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西安工业大学</w:t>
      </w:r>
      <w:r>
        <w:rPr/>
        <w:t>和</w:t>
      </w:r>
      <w:r>
        <w:rPr/>
        <w:t>陕西中技招标有限公司</w:t>
      </w:r>
      <w:r>
        <w:rPr/>
        <w:t>享有。对招标文件中供应商参加本次政府采购活动应当具备的条件，招标项目技术、服务、商务及其他要求，评标细则及标准由</w:t>
      </w:r>
      <w:r>
        <w:rPr/>
        <w:t>西安工业大学</w:t>
      </w:r>
      <w:r>
        <w:rPr/>
        <w:t>负责解释。除上述招标文件内容，其他内容由</w:t>
      </w:r>
      <w:r>
        <w:rPr/>
        <w:t>陕西中技招标有限公司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西安工业大学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陕西中技招标有限公司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国产产品： 1、初验：货物安装调试合格后，进行试运行测试，通过试运行测试后进入试运行，试运行不少于30工作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20%向甲方支付违约金，违约金不足弥补甲方损失的，由乙方负责赔偿。 进口产品： 1、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20%向甲方支付违约金，违约金不足弥补甲方损失的，由乙方负责赔偿，货款尾款甲方有权不予支付。</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陕西中技招标有限公司</w:t>
      </w:r>
      <w:r>
        <w:rPr/>
        <w:t xml:space="preserve"> 负责答复；供应商对除采购需求外的采购文件的询问、质疑由</w:t>
      </w:r>
      <w:r>
        <w:rPr/>
        <w:t>陕西中技招标有限公司</w:t>
      </w:r>
      <w:r>
        <w:rPr/>
        <w:t xml:space="preserve"> 负责答复；供应商对采购过程、采购结果的询问、质疑由 </w:t>
      </w:r>
      <w:r>
        <w:rPr/>
        <w:t>陕西中技招标有限公司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联系人：戴经理</w:t>
      </w:r>
    </w:p>
    <w:p>
      <w:pPr>
        <w:pStyle w:val="null3"/>
      </w:pPr>
      <w:r>
        <w:rPr/>
        <w:t>联系电话：029-88364979-856</w:t>
      </w:r>
    </w:p>
    <w:p>
      <w:pPr>
        <w:pStyle w:val="null3"/>
      </w:pPr>
      <w:r>
        <w:rPr/>
        <w:t>地址：西安市高新区高新四路1号高科广场A座1001室</w:t>
      </w:r>
    </w:p>
    <w:p>
      <w:pPr>
        <w:pStyle w:val="null3"/>
      </w:pPr>
      <w:r>
        <w:rPr/>
        <w:t>邮编：710075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本项目拟采购全聚焦相控阵设备一套，用于粉末冶金制件注射、烧结工艺中产品内部气泡分布的形态与位置，以满足粉末冶金产品质量特性形成机理的科学研究需求。</w:t>
      </w:r>
    </w:p>
    <w:p>
      <w:pPr>
        <w:pStyle w:val="null3"/>
        <w:outlineLvl w:val="2"/>
      </w:pPr>
      <w:r>
        <w:rPr>
          <w:sz w:val="28"/>
          <w:b/>
        </w:rPr>
        <w:t>3.2采购内容</w:t>
      </w:r>
    </w:p>
    <w:p>
      <w:pPr>
        <w:pStyle w:val="null3"/>
      </w:pPr>
      <w:r>
        <w:rPr/>
        <w:t>采购包1：</w:t>
      </w:r>
    </w:p>
    <w:p>
      <w:pPr>
        <w:pStyle w:val="null3"/>
      </w:pPr>
      <w:r>
        <w:rPr/>
        <w:t>采购包预算金额（元）: 1,550,000.00</w:t>
      </w:r>
    </w:p>
    <w:p>
      <w:pPr>
        <w:pStyle w:val="null3"/>
      </w:pPr>
      <w:r>
        <w:rPr/>
        <w:t>采购包最高限价（元）: 1,550,000.00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西安工业大学全聚焦相控阵设备采购项目</w:t>
            </w:r>
          </w:p>
        </w:tc>
        <w:tc>
          <w:tcPr>
            <w:tcW w:type="dxa" w:w="831"/>
          </w:tcPr>
          <w:p>
            <w:pPr>
              <w:pStyle w:val="null3"/>
              <w:jc w:val="right"/>
            </w:pPr>
            <w:r>
              <w:rPr/>
              <w:t>1.00</w:t>
            </w:r>
          </w:p>
        </w:tc>
        <w:tc>
          <w:tcPr>
            <w:tcW w:type="dxa" w:w="831"/>
          </w:tcPr>
          <w:p>
            <w:pPr>
              <w:pStyle w:val="null3"/>
              <w:jc w:val="right"/>
            </w:pPr>
            <w:r>
              <w:rPr/>
              <w:t>1,550,000.00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是</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标的名称：西安工业大学全聚焦相控阵设备采购项目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0"/>
            </w:pPr>
            <w:r>
              <w:rPr>
                <w:rFonts w:ascii="arial" w:hAnsi="arial" w:cs="arial" w:eastAsia="arial"/>
                <w:sz w:val="21"/>
                <w:b/>
              </w:rPr>
              <w:t>1</w:t>
            </w:r>
            <w:r>
              <w:rPr>
                <w:rFonts w:ascii="arial" w:hAnsi="arial" w:cs="arial" w:eastAsia="arial"/>
                <w:sz w:val="21"/>
                <w:b/>
              </w:rPr>
              <w:t>.技术指标</w:t>
            </w:r>
          </w:p>
          <w:p>
            <w:pPr>
              <w:pStyle w:val="null3"/>
            </w:pPr>
            <w:r>
              <w:rPr>
                <w:rFonts w:ascii="arial" w:hAnsi="arial" w:cs="arial" w:eastAsia="arial"/>
                <w:sz w:val="21"/>
                <w:b/>
              </w:rPr>
              <w:t>该设备具有全聚焦相控阵功能，全聚焦相控阵设备可实现A扫、B扫、C扫、D扫、S扫，以及TOFD扫描视图，可直观地反映出各种内部的缺陷的形态。</w:t>
            </w:r>
          </w:p>
          <w:p>
            <w:pPr>
              <w:pStyle w:val="null3"/>
            </w:pPr>
            <w:r>
              <w:rPr>
                <w:rFonts w:ascii="arial" w:hAnsi="arial" w:cs="arial" w:eastAsia="arial"/>
                <w:sz w:val="21"/>
                <w:b/>
              </w:rPr>
              <w:t>2.系统主机技术要求</w:t>
            </w:r>
          </w:p>
          <w:p>
            <w:pPr>
              <w:pStyle w:val="null3"/>
            </w:pPr>
            <w:r>
              <w:rPr>
                <w:rFonts w:ascii="arial" w:hAnsi="arial" w:cs="arial" w:eastAsia="arial"/>
                <w:sz w:val="21"/>
                <w:b/>
              </w:rPr>
              <w:t>2.1.电源和电池供电两种模式，支持≥4个小时连续操作</w:t>
            </w:r>
          </w:p>
          <w:p>
            <w:pPr>
              <w:pStyle w:val="null3"/>
            </w:pPr>
            <w:r>
              <w:rPr>
                <w:rFonts w:ascii="arial" w:hAnsi="arial" w:cs="arial" w:eastAsia="arial"/>
                <w:sz w:val="21"/>
                <w:b/>
              </w:rPr>
              <w:t>2.2.合金外壳，外置风扇设计。</w:t>
            </w:r>
          </w:p>
          <w:p>
            <w:pPr>
              <w:pStyle w:val="null3"/>
            </w:pPr>
            <w:r>
              <w:rPr>
                <w:rFonts w:ascii="arial" w:hAnsi="arial" w:cs="arial" w:eastAsia="arial"/>
                <w:sz w:val="21"/>
                <w:b/>
              </w:rPr>
              <w:t>2.3 系统通道配置32/128PR-TFM，可加载1个128晶片相控阵探头进行脉冲回波检测，或者32个通道发射同时另外32个通道接收的一发一收检测模式。同时支持常规超声探头：2个脉冲回波或一发一收模式（4个Lemo接口），可支持双通道TOFD检测，通过外部转接可支持多组TOFD通道。</w:t>
            </w:r>
          </w:p>
          <w:p>
            <w:pPr>
              <w:pStyle w:val="null3"/>
            </w:pPr>
            <w:r>
              <w:rPr>
                <w:rFonts w:ascii="arial" w:hAnsi="arial" w:cs="arial" w:eastAsia="arial"/>
                <w:sz w:val="21"/>
                <w:b/>
              </w:rPr>
              <w:t>2.4.系统自我诊断功能</w:t>
            </w:r>
          </w:p>
          <w:p>
            <w:pPr>
              <w:pStyle w:val="null3"/>
            </w:pPr>
            <w:r>
              <w:rPr>
                <w:rFonts w:ascii="arial" w:hAnsi="arial" w:cs="arial" w:eastAsia="arial"/>
                <w:sz w:val="21"/>
                <w:b/>
              </w:rPr>
              <w:t>2.5.  3轴编码输入。</w:t>
            </w:r>
          </w:p>
          <w:p>
            <w:pPr>
              <w:pStyle w:val="null3"/>
            </w:pPr>
            <w:r>
              <w:rPr>
                <w:rFonts w:ascii="arial" w:hAnsi="arial" w:cs="arial" w:eastAsia="arial"/>
                <w:sz w:val="21"/>
                <w:b/>
              </w:rPr>
              <w:t>2.6.测量闸门：4+1同步闸门。</w:t>
            </w:r>
          </w:p>
          <w:p>
            <w:pPr>
              <w:pStyle w:val="null3"/>
            </w:pPr>
            <w:r>
              <w:rPr>
                <w:rFonts w:ascii="arial" w:hAnsi="arial" w:cs="arial" w:eastAsia="arial"/>
                <w:sz w:val="21"/>
                <w:b/>
              </w:rPr>
              <w:t>2.7.数字化频率：≥100MHz。</w:t>
            </w:r>
          </w:p>
          <w:p>
            <w:pPr>
              <w:pStyle w:val="null3"/>
            </w:pPr>
            <w:r>
              <w:rPr>
                <w:rFonts w:ascii="arial" w:hAnsi="arial" w:cs="arial" w:eastAsia="arial"/>
                <w:sz w:val="21"/>
                <w:b/>
              </w:rPr>
              <w:t>▲2.8.支持800%满屏信号显示；增益范围：-6dB-70dB，步进0.1可调。</w:t>
            </w:r>
          </w:p>
          <w:p>
            <w:pPr>
              <w:pStyle w:val="null3"/>
            </w:pPr>
            <w:r>
              <w:rPr>
                <w:rFonts w:ascii="arial" w:hAnsi="arial" w:cs="arial" w:eastAsia="arial"/>
                <w:sz w:val="21"/>
                <w:b/>
              </w:rPr>
              <w:t>▲2.9.脉冲重复频率。（≥40kHz）</w:t>
            </w:r>
          </w:p>
          <w:p>
            <w:pPr>
              <w:pStyle w:val="null3"/>
            </w:pPr>
            <w:r>
              <w:rPr>
                <w:rFonts w:ascii="arial" w:hAnsi="arial" w:cs="arial" w:eastAsia="arial"/>
                <w:sz w:val="21"/>
                <w:b/>
              </w:rPr>
              <w:t>2.10.支持频带宽度：PA:0.5-18MHz (-3dB) UT: 0.5-25MHz (-3dB)。</w:t>
            </w:r>
          </w:p>
          <w:p>
            <w:pPr>
              <w:pStyle w:val="null3"/>
            </w:pPr>
            <w:r>
              <w:rPr>
                <w:rFonts w:ascii="arial" w:hAnsi="arial" w:cs="arial" w:eastAsia="arial"/>
                <w:sz w:val="21"/>
                <w:b/>
              </w:rPr>
              <w:t>▲2.11.相控阵支持双极方波(PA)触发电压≥140V可穿透衰减比较大的材料。</w:t>
            </w:r>
          </w:p>
          <w:p>
            <w:pPr>
              <w:pStyle w:val="null3"/>
            </w:pPr>
            <w:r>
              <w:rPr>
                <w:rFonts w:ascii="arial" w:hAnsi="arial" w:cs="arial" w:eastAsia="arial"/>
                <w:sz w:val="21"/>
                <w:b/>
              </w:rPr>
              <w:t>2.12.波幅分辨率为16位。</w:t>
            </w:r>
          </w:p>
          <w:p>
            <w:pPr>
              <w:pStyle w:val="null3"/>
            </w:pPr>
            <w:r>
              <w:rPr>
                <w:rFonts w:ascii="arial" w:hAnsi="arial" w:cs="arial" w:eastAsia="arial"/>
                <w:sz w:val="21"/>
                <w:b/>
              </w:rPr>
              <w:t>2.13.≥12英寸以上，≥1024*728分辨率多点触摸屏。</w:t>
            </w:r>
          </w:p>
          <w:p>
            <w:pPr>
              <w:pStyle w:val="null3"/>
            </w:pPr>
            <w:r>
              <w:rPr>
                <w:rFonts w:ascii="arial" w:hAnsi="arial" w:cs="arial" w:eastAsia="arial"/>
                <w:sz w:val="21"/>
                <w:b/>
              </w:rPr>
              <w:t>2.14.支持单个数据文件≥2Gb，内置≥256G 固态硬盘。</w:t>
            </w:r>
          </w:p>
          <w:p>
            <w:pPr>
              <w:pStyle w:val="null3"/>
            </w:pPr>
            <w:r>
              <w:rPr>
                <w:rFonts w:ascii="arial" w:hAnsi="arial" w:cs="arial" w:eastAsia="arial"/>
                <w:sz w:val="21"/>
                <w:b/>
              </w:rPr>
              <w:t>▲2.15.具有实时高分辨率全聚焦计算(TFM)功能，全聚焦模式下256000个像素点，TFM帧频率最大110 Hz (65K点的帧分辨率)。</w:t>
            </w:r>
          </w:p>
          <w:p>
            <w:pPr>
              <w:pStyle w:val="null3"/>
            </w:pPr>
            <w:r>
              <w:rPr>
                <w:rFonts w:ascii="arial" w:hAnsi="arial" w:cs="arial" w:eastAsia="arial"/>
                <w:sz w:val="21"/>
                <w:b/>
              </w:rPr>
              <w:t>2.16.支持2D阵列探头进行脉冲回波，一发一收或多探头配置，无需任何额外的辅助软件。</w:t>
            </w:r>
          </w:p>
          <w:p>
            <w:pPr>
              <w:pStyle w:val="null3"/>
            </w:pPr>
            <w:r>
              <w:rPr>
                <w:rFonts w:ascii="arial" w:hAnsi="arial" w:cs="arial" w:eastAsia="arial"/>
                <w:sz w:val="21"/>
                <w:b/>
              </w:rPr>
              <w:t>2.17.在检测过程中实现耦合监控。</w:t>
            </w:r>
          </w:p>
          <w:p>
            <w:pPr>
              <w:pStyle w:val="null3"/>
            </w:pPr>
            <w:r>
              <w:rPr>
                <w:rFonts w:ascii="arial" w:hAnsi="arial" w:cs="arial" w:eastAsia="arial"/>
                <w:sz w:val="21"/>
                <w:b/>
              </w:rPr>
              <w:t>2.18.电脑端软件可以通过网线远程控制主机进行设置、采集和分析。</w:t>
            </w:r>
          </w:p>
          <w:p>
            <w:pPr>
              <w:pStyle w:val="null3"/>
            </w:pPr>
            <w:r>
              <w:rPr>
                <w:rFonts w:ascii="arial" w:hAnsi="arial" w:cs="arial" w:eastAsia="arial"/>
                <w:sz w:val="21"/>
                <w:b/>
              </w:rPr>
              <w:t>3.分析软件和仿真技术要求</w:t>
            </w:r>
          </w:p>
          <w:p>
            <w:pPr>
              <w:pStyle w:val="null3"/>
            </w:pPr>
            <w:r>
              <w:rPr>
                <w:rFonts w:ascii="arial" w:hAnsi="arial" w:cs="arial" w:eastAsia="arial"/>
                <w:sz w:val="21"/>
                <w:b/>
              </w:rPr>
              <w:t>分析软件</w:t>
            </w:r>
          </w:p>
          <w:p>
            <w:pPr>
              <w:pStyle w:val="null3"/>
            </w:pPr>
            <w:r>
              <w:rPr>
                <w:rFonts w:ascii="arial" w:hAnsi="arial" w:cs="arial" w:eastAsia="arial"/>
                <w:sz w:val="21"/>
                <w:b/>
              </w:rPr>
              <w:t>3.1.分析软件内置在设备中使用，有永久使用权限。</w:t>
            </w:r>
          </w:p>
          <w:p>
            <w:pPr>
              <w:pStyle w:val="null3"/>
            </w:pPr>
            <w:r>
              <w:rPr>
                <w:rFonts w:ascii="arial" w:hAnsi="arial" w:cs="arial" w:eastAsia="arial"/>
                <w:sz w:val="21"/>
                <w:b/>
              </w:rPr>
              <w:t>3.2.支持全聚焦相控阵、普通相控阵和TOFD同时检测并同步显示。</w:t>
            </w:r>
          </w:p>
          <w:p>
            <w:pPr>
              <w:pStyle w:val="null3"/>
            </w:pPr>
            <w:r>
              <w:rPr>
                <w:rFonts w:ascii="arial" w:hAnsi="arial" w:cs="arial" w:eastAsia="arial"/>
                <w:sz w:val="21"/>
                <w:b/>
              </w:rPr>
              <w:t>3.3.软件支持A扫描、B扫描、C扫描、D扫描、S扫描、TOFD扫描、极坐标视图显示等成像方式，并能实现多种方式组合显示，能对工件厚度与多次反射回波进行设置，可同屏显示或按需显示。</w:t>
            </w:r>
          </w:p>
          <w:p>
            <w:pPr>
              <w:pStyle w:val="null3"/>
            </w:pPr>
            <w:r>
              <w:rPr>
                <w:rFonts w:ascii="arial" w:hAnsi="arial" w:cs="arial" w:eastAsia="arial"/>
                <w:sz w:val="21"/>
                <w:b/>
              </w:rPr>
              <w:t>3.4.能够实现对采集检测数据在多显示方式上快速测定缺陷位置、长度、高度和波幅等信息，并形成检测缺陷数据表。</w:t>
            </w:r>
          </w:p>
          <w:p>
            <w:pPr>
              <w:pStyle w:val="null3"/>
            </w:pPr>
            <w:r>
              <w:rPr>
                <w:rFonts w:ascii="arial" w:hAnsi="arial" w:cs="arial" w:eastAsia="arial"/>
                <w:sz w:val="21"/>
                <w:b/>
              </w:rPr>
              <w:t>3.5.具有射频相位分析和FFT（快速傅立叶变换）缺陷分析功能。</w:t>
            </w:r>
          </w:p>
          <w:p>
            <w:pPr>
              <w:pStyle w:val="null3"/>
            </w:pPr>
            <w:r>
              <w:rPr>
                <w:rFonts w:ascii="arial" w:hAnsi="arial" w:cs="arial" w:eastAsia="arial"/>
                <w:sz w:val="21"/>
                <w:b/>
              </w:rPr>
              <w:t>3.6.具有C扫描数据分割、合并功能，具有自动数据融合功能、软增益、软闸门和自动缺陷分析等功能。</w:t>
            </w:r>
          </w:p>
          <w:p>
            <w:pPr>
              <w:pStyle w:val="null3"/>
            </w:pPr>
            <w:r>
              <w:rPr>
                <w:rFonts w:ascii="arial" w:hAnsi="arial" w:cs="arial" w:eastAsia="arial"/>
                <w:sz w:val="21"/>
                <w:b/>
              </w:rPr>
              <w:t>3.7.软件具有聚焦法则计算器，具备线聚焦和同声程聚焦。</w:t>
            </w:r>
          </w:p>
          <w:p>
            <w:pPr>
              <w:pStyle w:val="null3"/>
            </w:pPr>
            <w:r>
              <w:rPr>
                <w:rFonts w:ascii="arial" w:hAnsi="arial" w:cs="arial" w:eastAsia="arial"/>
                <w:sz w:val="21"/>
                <w:b/>
              </w:rPr>
              <w:t>3.8.检测过程中设置专用闸门进行耦合数据采集，进行自动耦合监控；</w:t>
            </w:r>
          </w:p>
          <w:p>
            <w:pPr>
              <w:pStyle w:val="null3"/>
            </w:pPr>
            <w:r>
              <w:rPr>
                <w:rFonts w:ascii="arial" w:hAnsi="arial" w:cs="arial" w:eastAsia="arial"/>
                <w:sz w:val="21"/>
                <w:b/>
              </w:rPr>
              <w:t>▲3.9.具备自串列检测功能。</w:t>
            </w:r>
          </w:p>
          <w:p>
            <w:pPr>
              <w:pStyle w:val="null3"/>
            </w:pPr>
            <w:r>
              <w:rPr>
                <w:rFonts w:ascii="arial" w:hAnsi="arial" w:cs="arial" w:eastAsia="arial"/>
                <w:sz w:val="21"/>
                <w:b/>
              </w:rPr>
              <w:t>▲3.10.主机内置分析软件能够进行探头声场仿真计算。</w:t>
            </w:r>
          </w:p>
          <w:p>
            <w:pPr>
              <w:pStyle w:val="null3"/>
            </w:pPr>
            <w:r>
              <w:rPr>
                <w:rFonts w:ascii="arial" w:hAnsi="arial" w:cs="arial" w:eastAsia="arial"/>
                <w:sz w:val="21"/>
                <w:b/>
              </w:rPr>
              <w:t>仿真软件</w:t>
            </w:r>
          </w:p>
          <w:p>
            <w:pPr>
              <w:pStyle w:val="null3"/>
            </w:pPr>
            <w:r>
              <w:rPr>
                <w:rFonts w:ascii="arial" w:hAnsi="arial" w:cs="arial" w:eastAsia="arial"/>
                <w:sz w:val="21"/>
                <w:b/>
              </w:rPr>
              <w:t>▲3.11.使用CIVA作为仿真软件。</w:t>
            </w:r>
          </w:p>
          <w:p>
            <w:pPr>
              <w:pStyle w:val="null3"/>
            </w:pPr>
            <w:r>
              <w:rPr>
                <w:rFonts w:ascii="arial" w:hAnsi="arial" w:cs="arial" w:eastAsia="arial"/>
                <w:sz w:val="21"/>
                <w:b/>
              </w:rPr>
              <w:t>3.12.支持两种类型的计算：声场模拟和检测仿真，支持声场计算和波束传播路径重构。</w:t>
            </w:r>
          </w:p>
          <w:p>
            <w:pPr>
              <w:pStyle w:val="null3"/>
            </w:pPr>
            <w:r>
              <w:rPr>
                <w:rFonts w:ascii="arial" w:hAnsi="arial" w:cs="arial" w:eastAsia="arial"/>
                <w:sz w:val="21"/>
                <w:b/>
              </w:rPr>
              <w:t>▲3.13.具有材料库，包含空气、水、树脂、铝、钛、铁等常见材料；材料密度，声速等可以自定义。</w:t>
            </w:r>
          </w:p>
          <w:p>
            <w:pPr>
              <w:pStyle w:val="null3"/>
            </w:pPr>
            <w:r>
              <w:rPr>
                <w:rFonts w:ascii="arial" w:hAnsi="arial" w:cs="arial" w:eastAsia="arial"/>
                <w:sz w:val="21"/>
                <w:b/>
              </w:rPr>
              <w:t>3.14.可生成2D声场平面图和1D声压分布曲线。</w:t>
            </w:r>
          </w:p>
          <w:p>
            <w:pPr>
              <w:pStyle w:val="null3"/>
            </w:pPr>
            <w:r>
              <w:rPr>
                <w:rFonts w:ascii="arial" w:hAnsi="arial" w:cs="arial" w:eastAsia="arial"/>
                <w:sz w:val="21"/>
                <w:b/>
              </w:rPr>
              <w:t>▲3.15.具有生成声束传播动画。</w:t>
            </w:r>
          </w:p>
          <w:p>
            <w:pPr>
              <w:pStyle w:val="null3"/>
            </w:pPr>
            <w:r>
              <w:rPr>
                <w:rFonts w:ascii="arial" w:hAnsi="arial" w:cs="arial" w:eastAsia="arial"/>
                <w:sz w:val="21"/>
                <w:b/>
              </w:rPr>
              <w:t>▲3.16.支持缺陷响应。</w:t>
            </w:r>
          </w:p>
          <w:p>
            <w:pPr>
              <w:pStyle w:val="null3"/>
            </w:pPr>
            <w:r>
              <w:rPr>
                <w:rFonts w:ascii="arial" w:hAnsi="arial" w:cs="arial" w:eastAsia="arial"/>
                <w:sz w:val="21"/>
                <w:b/>
              </w:rPr>
              <w:t>3.17.建模刻槽和横孔类型缺陷并计算波形转换的影响。</w:t>
            </w:r>
          </w:p>
          <w:p>
            <w:pPr>
              <w:pStyle w:val="null3"/>
            </w:pPr>
            <w:r>
              <w:rPr>
                <w:rFonts w:ascii="arial" w:hAnsi="arial" w:cs="arial" w:eastAsia="arial"/>
                <w:sz w:val="21"/>
                <w:b/>
              </w:rPr>
              <w:t>4.柔性绘图成像扫查装置和传感器技术要求</w:t>
            </w:r>
          </w:p>
          <w:p>
            <w:pPr>
              <w:pStyle w:val="null3"/>
            </w:pPr>
            <w:r>
              <w:rPr>
                <w:rFonts w:ascii="arial" w:hAnsi="arial" w:cs="arial" w:eastAsia="arial"/>
                <w:sz w:val="21"/>
                <w:b/>
              </w:rPr>
              <w:t>▲4.1.扫查装置采用柔性设计，可根据使用现场条件调节大小。</w:t>
            </w:r>
          </w:p>
          <w:p>
            <w:pPr>
              <w:pStyle w:val="null3"/>
            </w:pPr>
            <w:r>
              <w:rPr>
                <w:rFonts w:ascii="arial" w:hAnsi="arial" w:cs="arial" w:eastAsia="arial"/>
                <w:sz w:val="21"/>
                <w:b/>
              </w:rPr>
              <w:t>▲4.2.扫查装置一次绘图成像范围≥1.5米*1.5米。</w:t>
            </w:r>
          </w:p>
          <w:p>
            <w:pPr>
              <w:pStyle w:val="null3"/>
            </w:pPr>
            <w:r>
              <w:rPr>
                <w:rFonts w:ascii="arial" w:hAnsi="arial" w:cs="arial" w:eastAsia="arial"/>
                <w:sz w:val="21"/>
                <w:b/>
              </w:rPr>
              <w:t>4.3.扫查装置可任意安装在金属或非金属材料平面上。</w:t>
            </w:r>
          </w:p>
          <w:p>
            <w:pPr>
              <w:pStyle w:val="null3"/>
            </w:pPr>
            <w:r>
              <w:rPr>
                <w:rFonts w:ascii="arial" w:hAnsi="arial" w:cs="arial" w:eastAsia="arial"/>
                <w:sz w:val="21"/>
                <w:b/>
              </w:rPr>
              <w:t>4.4.传感器单元数量32个并配有耐磨层。</w:t>
            </w:r>
          </w:p>
          <w:p>
            <w:pPr>
              <w:pStyle w:val="null3"/>
            </w:pPr>
            <w:r>
              <w:rPr>
                <w:rFonts w:ascii="arial" w:hAnsi="arial" w:cs="arial" w:eastAsia="arial"/>
                <w:sz w:val="21"/>
                <w:b/>
              </w:rPr>
              <w:t>5.数据记录和分析设备</w:t>
            </w:r>
          </w:p>
          <w:p>
            <w:pPr>
              <w:pStyle w:val="null3"/>
            </w:pPr>
            <w:r>
              <w:rPr>
                <w:rFonts w:ascii="arial" w:hAnsi="arial" w:cs="arial" w:eastAsia="arial"/>
                <w:sz w:val="21"/>
                <w:b/>
              </w:rPr>
              <w:t xml:space="preserve">     对检测数据完成记录与分析。</w:t>
            </w:r>
          </w:p>
          <w:p>
            <w:pPr>
              <w:pStyle w:val="null3"/>
            </w:pPr>
            <w:r>
              <w:rPr>
                <w:rFonts w:ascii="arial" w:hAnsi="arial" w:cs="arial" w:eastAsia="arial"/>
                <w:sz w:val="21"/>
                <w:b/>
              </w:rPr>
              <w:t>6.系统的组成</w:t>
            </w:r>
          </w:p>
          <w:p>
            <w:pPr>
              <w:pStyle w:val="null3"/>
            </w:pPr>
            <w:r>
              <w:rPr>
                <w:rFonts w:ascii="arial" w:hAnsi="arial" w:cs="arial" w:eastAsia="arial"/>
                <w:sz w:val="21"/>
                <w:b/>
              </w:rPr>
              <w:t>6.1.相控阵主机1台（包含内置分析软件）。</w:t>
            </w:r>
          </w:p>
          <w:p>
            <w:pPr>
              <w:pStyle w:val="null3"/>
            </w:pPr>
            <w:r>
              <w:rPr>
                <w:rFonts w:ascii="arial" w:hAnsi="arial" w:cs="arial" w:eastAsia="arial"/>
                <w:sz w:val="21"/>
                <w:b/>
              </w:rPr>
              <w:t>6.2.CIVA仿真软件1套。</w:t>
            </w:r>
          </w:p>
          <w:p>
            <w:pPr>
              <w:pStyle w:val="null3"/>
            </w:pPr>
            <w:r>
              <w:rPr>
                <w:rFonts w:ascii="arial" w:hAnsi="arial" w:cs="arial" w:eastAsia="arial"/>
                <w:sz w:val="21"/>
                <w:b/>
              </w:rPr>
              <w:t>6.3.柔性绘图成像扫查装置1套。</w:t>
            </w:r>
          </w:p>
          <w:p>
            <w:pPr>
              <w:pStyle w:val="null3"/>
            </w:pPr>
            <w:r>
              <w:rPr>
                <w:rFonts w:ascii="arial" w:hAnsi="arial" w:cs="arial" w:eastAsia="arial"/>
                <w:sz w:val="21"/>
                <w:b/>
              </w:rPr>
              <w:t>6.4.传感器一套。</w:t>
            </w:r>
          </w:p>
          <w:p>
            <w:pPr>
              <w:pStyle w:val="null3"/>
            </w:pPr>
            <w:r>
              <w:rPr>
                <w:rFonts w:ascii="arial" w:hAnsi="arial" w:cs="arial" w:eastAsia="arial"/>
                <w:sz w:val="21"/>
                <w:b/>
              </w:rPr>
              <w:t>6.5.数据记录和分析设备1套。</w:t>
            </w:r>
          </w:p>
          <w:p>
            <w:pPr>
              <w:pStyle w:val="null3"/>
            </w:pPr>
            <w:r>
              <w:rPr>
                <w:rFonts w:ascii="arial" w:hAnsi="arial" w:cs="arial" w:eastAsia="arial"/>
                <w:sz w:val="21"/>
                <w:b/>
              </w:rPr>
              <w:t>7.环境要求</w:t>
            </w:r>
          </w:p>
          <w:p>
            <w:pPr>
              <w:pStyle w:val="null3"/>
            </w:pPr>
            <w:r>
              <w:rPr>
                <w:rFonts w:ascii="arial" w:hAnsi="arial" w:cs="arial" w:eastAsia="arial"/>
                <w:sz w:val="21"/>
                <w:b/>
              </w:rPr>
              <w:t>7.1.操作温度范围: -10°C 到 45°C</w:t>
            </w:r>
          </w:p>
          <w:p>
            <w:pPr>
              <w:pStyle w:val="null3"/>
            </w:pPr>
            <w:r>
              <w:rPr>
                <w:rFonts w:ascii="arial" w:hAnsi="arial" w:cs="arial" w:eastAsia="arial"/>
                <w:sz w:val="21"/>
                <w:b/>
              </w:rPr>
              <w:t>7.2.储藏温度范围: -40°C 到70°C</w:t>
            </w:r>
          </w:p>
          <w:p>
            <w:pPr>
              <w:pStyle w:val="null3"/>
            </w:pPr>
            <w:r>
              <w:rPr>
                <w:rFonts w:ascii="arial" w:hAnsi="arial" w:cs="arial" w:eastAsia="arial"/>
                <w:sz w:val="21"/>
                <w:b/>
              </w:rPr>
              <w:t>7.3.相对湿度: 80% 无凝结</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1、交货日期：自合同生效后90日历日，安装日期：交货后 7个日历日内。 甲方在设备安装环境不完全具备的条件下，可要求延期交货，乙方应无条件同意。乙方发货前需书面告知甲方，并征求甲方同意。 2、乙方向甲方交货时应移交每套设备的全套档案资料（包括产品合格证、使用说明书、保修卡、技术资料等），否则视为未交货。 3、乙方交货时应为甲方（用户）免费指导和培训设备的操作与维护。 4、乙方逾期完成安装调试的，每逾期一日应向甲方支付违约金1万元，违约金不足以弥补损失的，应继续赔偿甲方损失。相应的安装调试所需工具和标准样品由中标供应商或制造商提供。 5、乙方安装调试结束后提供设备运行报告，再向甲方申请进行设备初验。</w:t>
      </w:r>
    </w:p>
    <w:p>
      <w:pPr>
        <w:pStyle w:val="null3"/>
        <w:outlineLvl w:val="3"/>
      </w:pPr>
      <w:r>
        <w:rPr>
          <w:sz w:val="24"/>
          <w:b/>
        </w:rPr>
        <w:t>3.4.2交货地点</w:t>
      </w:r>
    </w:p>
    <w:p>
      <w:pPr>
        <w:pStyle w:val="null3"/>
      </w:pPr>
      <w:r>
        <w:rPr/>
        <w:t>采购包1：</w:t>
      </w:r>
    </w:p>
    <w:p>
      <w:pPr>
        <w:pStyle w:val="null3"/>
      </w:pPr>
      <w:r>
        <w:rPr/>
        <w:t>西安工业大学指定地点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15日内支付成交金额的100%</w:t>
      </w:r>
      <w:r>
        <w:rPr/>
        <w:t xml:space="preserve"> ，达到付款条件起 </w:t>
      </w:r>
      <w:r>
        <w:rPr/>
        <w:t>15</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国产产品： 1、初验：货物安装调试合格后，进行试运行测试，通过试运行测试后进入试运行，试运行不少于30工作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20%向甲方支付违约金，违约金不足弥补甲方损失的，由乙方负责赔偿。 进口产品： 1、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20%向甲方支付违约金，违约金不足弥补甲方损失的，由乙方负责赔偿，货款尾款甲方有权不予支付。</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1、设备质保期（保修期）为4年，自设备终验合格之日起开始计算。 2、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免费回访，及时为设备进行检查和问诊。质保期满后乙方继续承担仪器的终身维护，对甲方提供支持，如回答甲方提出的问题、排除甲方的软、硬件故障等，并按成本价格酌情收取部件维修或更换费用。</w:t>
      </w:r>
    </w:p>
    <w:p>
      <w:pPr>
        <w:pStyle w:val="null3"/>
        <w:outlineLvl w:val="3"/>
      </w:pPr>
      <w:r>
        <w:rPr>
          <w:sz w:val="24"/>
          <w:b/>
        </w:rPr>
        <w:t>3.4.8违约责任与解决争议的方法</w:t>
      </w:r>
    </w:p>
    <w:p>
      <w:pPr>
        <w:pStyle w:val="null3"/>
      </w:pPr>
      <w:r>
        <w:rPr/>
        <w:t>采购包1：</w:t>
      </w:r>
    </w:p>
    <w:p>
      <w:pPr>
        <w:pStyle w:val="null3"/>
      </w:pPr>
      <w:r>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20%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20%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20%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sz w:val="28"/>
          <w:b/>
        </w:rPr>
        <w:t>3.5其他要求</w:t>
      </w:r>
    </w:p>
    <w:p>
      <w:pPr>
        <w:pStyle w:val="null3"/>
      </w:pPr>
      <w:r>
        <w:rPr/>
        <w:t>一、项目说明： 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二、投标有效期： 本项目投标有效期为从开标之日起120日历天。中标供应商的投标文件有效期自动延长合同履行完毕。 三、合同签订时限要求： 中标公告发出2日内，中标供应商凭中标通知书到西安工业大学签订合同。 四、报价说明：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五、支付条件相关要求： 1、国产设备： 货到西安工业大学指定地点经验收合格后，采购人15日内支付成交金额的100%； 2、进口设备： 采购人通过委托的外贸公司向中标供应商指定的境外厂商开具100%不可撤销即期跟单信用证。货到采购人指定地点后，信用证90%的合同货款凭外贸合同约定单据及西安工业大学出具的开箱点货报告原件解付；剩余10%合同尾款凭西安工业大学出具的设备终验验收报告原件解付。 3、预付款保函（采购人要求） 预付款保函期限：半年（根据到货期需要可以适当延长时限）。 预付款保函受益人：西安工业大学。 预付款保函形式：外贸代理公司/中标供应商出具银行成交等额预付款保函原件，采购人可支付成交预付款的100%，货到采购人指定地点后，采购人退还预付款保函原件。开具预付款保函所产生的相关费用均由中标供应商承担。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2、具有良好的商业信誉和健全的财务会计制度（提供2023年度财务审计报告或开标前近12个月内的银行资信证明或财政部门认可的政府采购专业担保机构出具的担保函）；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5、参加政府采购活动前三年内，在经营活动中没有重大违法记录（格式详见附件）；供应商需在项目电子化交易系统中按要求上传相应证明文件并进行电子签章。</w:t>
            </w:r>
          </w:p>
        </w:tc>
        <w:tc>
          <w:tcPr>
            <w:tcW w:type="dxa" w:w="1661"/>
          </w:tcPr>
          <w:p>
            <w:pPr>
              <w:pStyle w:val="null3"/>
            </w:pPr>
            <w:r>
              <w:rPr/>
              <w:t>投标函 供应商资格证明文件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提供2023年度财务审计报告或开标前近12个月内的银行资信证明或财政部门认可的政府采购专业担保机构出具的担保函）。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投标文件封面</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法定代表人授权要求</w:t>
            </w:r>
          </w:p>
        </w:tc>
        <w:tc>
          <w:tcPr>
            <w:tcW w:type="dxa" w:w="3322"/>
          </w:tcPr>
          <w:p>
            <w:pPr>
              <w:pStyle w:val="null3"/>
            </w:pPr>
            <w:r>
              <w:rPr/>
              <w:t>法定代表人授权代表参加投标的，须出具法定代表人授权书及授权代表身份证（法定代表人直接参加投标的，须出具法定代表人身份证）。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2</w:t>
            </w:r>
          </w:p>
        </w:tc>
        <w:tc>
          <w:tcPr>
            <w:tcW w:type="dxa" w:w="2492"/>
          </w:tcPr>
          <w:p>
            <w:pPr>
              <w:pStyle w:val="null3"/>
            </w:pPr>
            <w:r>
              <w:rPr/>
              <w:t>进口产品授权要求</w:t>
            </w:r>
          </w:p>
        </w:tc>
        <w:tc>
          <w:tcPr>
            <w:tcW w:type="dxa" w:w="3322"/>
          </w:tcPr>
          <w:p>
            <w:pPr>
              <w:pStyle w:val="null3"/>
            </w:pPr>
            <w:r>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本项目不接受联合体投标</w:t>
            </w:r>
          </w:p>
        </w:tc>
        <w:tc>
          <w:tcPr>
            <w:tcW w:type="dxa" w:w="3322"/>
          </w:tcPr>
          <w:p>
            <w:pPr>
              <w:pStyle w:val="null3"/>
            </w:pPr>
            <w:r>
              <w:rPr/>
              <w:t>本项目不接受联合体投标，不得分包、转包。单位负责人为同一人或者存在直接控股、管理关系的不同供应商，不得参加同一合同项下的投标活动；对列入失信被执行人、政府采购严重违法失信行为记录名单的供应商，拒绝参与本项目投标。供应商需在项目电子化交易系统中按要求上传相应证明文件并进行电子签章。</w:t>
            </w:r>
          </w:p>
        </w:tc>
        <w:tc>
          <w:tcPr>
            <w:tcW w:type="dxa" w:w="1661"/>
          </w:tcPr>
          <w:p>
            <w:pPr>
              <w:pStyle w:val="null3"/>
            </w:pPr>
            <w:r>
              <w:rPr/>
              <w:t>供应商资格证明文件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交货期是否响应</w:t>
            </w:r>
          </w:p>
        </w:tc>
        <w:tc>
          <w:tcPr>
            <w:tcW w:type="dxa" w:w="3322"/>
          </w:tcPr>
          <w:p>
            <w:pPr>
              <w:pStyle w:val="null3"/>
            </w:pPr>
            <w:r>
              <w:rPr/>
              <w:t>交货期是否按招标文件要求的各项节点响应</w:t>
            </w:r>
          </w:p>
        </w:tc>
        <w:tc>
          <w:tcPr>
            <w:tcW w:type="dxa" w:w="1661"/>
          </w:tcPr>
          <w:p>
            <w:pPr>
              <w:pStyle w:val="null3"/>
            </w:pPr>
            <w:r>
              <w:rPr/>
              <w:t>商务要求偏离表 开标记录表</w:t>
            </w:r>
          </w:p>
        </w:tc>
      </w:tr>
      <w:tr>
        <w:tc>
          <w:tcPr>
            <w:tcW w:type="dxa" w:w="831"/>
          </w:tcPr>
          <w:p>
            <w:pPr>
              <w:pStyle w:val="null3"/>
            </w:pPr>
            <w:r>
              <w:rPr/>
              <w:t>3</w:t>
            </w:r>
          </w:p>
        </w:tc>
        <w:tc>
          <w:tcPr>
            <w:tcW w:type="dxa" w:w="2492"/>
          </w:tcPr>
          <w:p>
            <w:pPr>
              <w:pStyle w:val="null3"/>
            </w:pPr>
            <w:r>
              <w:rPr/>
              <w:t>安装期是否响应</w:t>
            </w:r>
          </w:p>
        </w:tc>
        <w:tc>
          <w:tcPr>
            <w:tcW w:type="dxa" w:w="3322"/>
          </w:tcPr>
          <w:p>
            <w:pPr>
              <w:pStyle w:val="null3"/>
            </w:pPr>
            <w:r>
              <w:rPr/>
              <w:t>安装期是否按招标文件要求的各项节点响应</w:t>
            </w:r>
          </w:p>
        </w:tc>
        <w:tc>
          <w:tcPr>
            <w:tcW w:type="dxa" w:w="1661"/>
          </w:tcPr>
          <w:p>
            <w:pPr>
              <w:pStyle w:val="null3"/>
            </w:pPr>
            <w:r>
              <w:rPr/>
              <w:t>商务要求偏离表 开标记录表</w:t>
            </w:r>
          </w:p>
        </w:tc>
      </w:tr>
      <w:tr>
        <w:tc>
          <w:tcPr>
            <w:tcW w:type="dxa" w:w="831"/>
          </w:tcPr>
          <w:p>
            <w:pPr>
              <w:pStyle w:val="null3"/>
            </w:pPr>
            <w:r>
              <w:rPr/>
              <w:t>4</w:t>
            </w:r>
          </w:p>
        </w:tc>
        <w:tc>
          <w:tcPr>
            <w:tcW w:type="dxa" w:w="2492"/>
          </w:tcPr>
          <w:p>
            <w:pPr>
              <w:pStyle w:val="null3"/>
            </w:pPr>
            <w:r>
              <w:rPr/>
              <w:t>质保期是否响应</w:t>
            </w:r>
          </w:p>
        </w:tc>
        <w:tc>
          <w:tcPr>
            <w:tcW w:type="dxa" w:w="3322"/>
          </w:tcPr>
          <w:p>
            <w:pPr>
              <w:pStyle w:val="null3"/>
            </w:pPr>
            <w:r>
              <w:rPr/>
              <w:t>质保期是否按照招标文件的相关要求响应</w:t>
            </w:r>
          </w:p>
        </w:tc>
        <w:tc>
          <w:tcPr>
            <w:tcW w:type="dxa" w:w="1661"/>
          </w:tcPr>
          <w:p>
            <w:pPr>
              <w:pStyle w:val="null3"/>
            </w:pPr>
            <w:r>
              <w:rPr/>
              <w:t>商务要求偏离表 开标记录表</w:t>
            </w:r>
          </w:p>
        </w:tc>
      </w:tr>
      <w:tr>
        <w:tc>
          <w:tcPr>
            <w:tcW w:type="dxa" w:w="831"/>
          </w:tcPr>
          <w:p>
            <w:pPr>
              <w:pStyle w:val="null3"/>
            </w:pPr>
            <w:r>
              <w:rPr/>
              <w:t>5</w:t>
            </w:r>
          </w:p>
        </w:tc>
        <w:tc>
          <w:tcPr>
            <w:tcW w:type="dxa" w:w="2492"/>
          </w:tcPr>
          <w:p>
            <w:pPr>
              <w:pStyle w:val="null3"/>
            </w:pPr>
            <w:r>
              <w:rPr/>
              <w:t>付款方式是否响应</w:t>
            </w:r>
          </w:p>
        </w:tc>
        <w:tc>
          <w:tcPr>
            <w:tcW w:type="dxa" w:w="3322"/>
          </w:tcPr>
          <w:p>
            <w:pPr>
              <w:pStyle w:val="null3"/>
            </w:pPr>
            <w:r>
              <w:rPr/>
              <w:t>付款方式是否响应招标文件的要求</w:t>
            </w:r>
          </w:p>
        </w:tc>
        <w:tc>
          <w:tcPr>
            <w:tcW w:type="dxa" w:w="1661"/>
          </w:tcPr>
          <w:p>
            <w:pPr>
              <w:pStyle w:val="null3"/>
            </w:pPr>
            <w:r>
              <w:rPr/>
              <w:t>商务要求偏离表 开标记录表</w:t>
            </w:r>
          </w:p>
        </w:tc>
      </w:tr>
      <w:tr>
        <w:tc>
          <w:tcPr>
            <w:tcW w:type="dxa" w:w="831"/>
          </w:tcPr>
          <w:p>
            <w:pPr>
              <w:pStyle w:val="null3"/>
            </w:pPr>
            <w:r>
              <w:rPr/>
              <w:t>6</w:t>
            </w:r>
          </w:p>
        </w:tc>
        <w:tc>
          <w:tcPr>
            <w:tcW w:type="dxa" w:w="2492"/>
          </w:tcPr>
          <w:p>
            <w:pPr>
              <w:pStyle w:val="null3"/>
            </w:pPr>
            <w:r>
              <w:rPr/>
              <w:t>投标保证金是否按要求缴纳</w:t>
            </w:r>
          </w:p>
        </w:tc>
        <w:tc>
          <w:tcPr>
            <w:tcW w:type="dxa" w:w="3322"/>
          </w:tcPr>
          <w:p>
            <w:pPr>
              <w:pStyle w:val="null3"/>
            </w:pPr>
            <w:r>
              <w:rPr/>
              <w:t>投标保证金是否按要求缴纳</w:t>
            </w:r>
          </w:p>
        </w:tc>
        <w:tc>
          <w:tcPr>
            <w:tcW w:type="dxa" w:w="1661"/>
          </w:tcPr>
          <w:p>
            <w:pPr>
              <w:pStyle w:val="null3"/>
            </w:pPr>
            <w:r>
              <w:rPr/>
              <w:t>商务要求偏离表 投标保证金缴纳凭证</w:t>
            </w:r>
          </w:p>
        </w:tc>
      </w:tr>
      <w:tr>
        <w:tc>
          <w:tcPr>
            <w:tcW w:type="dxa" w:w="831"/>
          </w:tcPr>
          <w:p>
            <w:pPr>
              <w:pStyle w:val="null3"/>
            </w:pPr>
            <w:r>
              <w:rPr/>
              <w:t>7</w:t>
            </w:r>
          </w:p>
        </w:tc>
        <w:tc>
          <w:tcPr>
            <w:tcW w:type="dxa" w:w="2492"/>
          </w:tcPr>
          <w:p>
            <w:pPr>
              <w:pStyle w:val="null3"/>
            </w:pPr>
            <w:r>
              <w:rPr/>
              <w:t>投标报价是否超过采购预算或最高限价</w:t>
            </w:r>
          </w:p>
        </w:tc>
        <w:tc>
          <w:tcPr>
            <w:tcW w:type="dxa" w:w="3322"/>
          </w:tcPr>
          <w:p>
            <w:pPr>
              <w:pStyle w:val="null3"/>
            </w:pPr>
            <w:r>
              <w:rPr/>
              <w:t>投标报价是否超过采购预算或最高限价</w:t>
            </w:r>
          </w:p>
        </w:tc>
        <w:tc>
          <w:tcPr>
            <w:tcW w:type="dxa" w:w="1661"/>
          </w:tcPr>
          <w:p>
            <w:pPr>
              <w:pStyle w:val="null3"/>
            </w:pPr>
            <w:r>
              <w:rPr/>
              <w:t>商务要求偏离表 开标一览表 开标记录表 标的清单</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技术方案中各项设备及软件功能的技术参数响应清晰明确，符合使用要求，技术指标和性能完全响应招标文件要求，满足使用需求，计40分。结合规格、技术参数偏离表的响应证明材料，按招标文件内配置最低要求，带“▲”号指标项每出现1个负偏离扣3分，非“▲”号指标项每出现1个负偏离，扣2分，供应商须按招标文件要求提供带“▲”号指标项的证明材料（包括但不限于加盖厂商公章的技术参数说明、产品彩页、检测报告和功能截图等技术支持性文件），否则自行承担未提供证明材料导致技术参数被视为负偏离的风险。</w:t>
            </w:r>
          </w:p>
        </w:tc>
        <w:tc>
          <w:tcPr>
            <w:tcW w:type="dxa" w:w="831"/>
          </w:tcPr>
          <w:p>
            <w:pPr>
              <w:pStyle w:val="null3"/>
              <w:jc w:val="right"/>
            </w:pPr>
            <w:r>
              <w:rPr/>
              <w:t>40.0000</w:t>
            </w:r>
          </w:p>
        </w:tc>
        <w:tc>
          <w:tcPr>
            <w:tcW w:type="dxa" w:w="831"/>
          </w:tcPr>
          <w:p>
            <w:pPr>
              <w:pStyle w:val="null3"/>
            </w:pPr>
            <w:r>
              <w:rPr/>
              <w:t>客观</w:t>
            </w:r>
          </w:p>
        </w:tc>
        <w:tc>
          <w:tcPr>
            <w:tcW w:type="dxa" w:w="1661"/>
          </w:tcPr>
          <w:p>
            <w:pPr>
              <w:pStyle w:val="null3"/>
            </w:pPr>
            <w:r>
              <w:rPr/>
              <w:t>规格、技术参数偏离表</w:t>
            </w:r>
          </w:p>
          <w:p>
            <w:pPr>
              <w:pStyle w:val="null3"/>
            </w:pPr>
            <w:r>
              <w:rPr/>
              <w:t>货物简要说明一览表</w:t>
            </w:r>
          </w:p>
        </w:tc>
      </w:tr>
      <w:tr>
        <w:tc>
          <w:tcPr>
            <w:tcW w:type="dxa" w:w="831"/>
            <w:vMerge/>
          </w:tcPr>
          <w:p/>
        </w:tc>
        <w:tc>
          <w:tcPr>
            <w:tcW w:type="dxa" w:w="1661"/>
          </w:tcPr>
          <w:p>
            <w:pPr>
              <w:pStyle w:val="null3"/>
            </w:pPr>
            <w:r>
              <w:rPr/>
              <w:t>产品质量保障</w:t>
            </w:r>
          </w:p>
        </w:tc>
        <w:tc>
          <w:tcPr>
            <w:tcW w:type="dxa" w:w="2492"/>
          </w:tcPr>
          <w:p>
            <w:pPr>
              <w:pStyle w:val="null3"/>
            </w:pPr>
            <w:r>
              <w:rPr/>
              <w:t>投标产品技术工艺先进，性能稳定，方便操作，安全可靠，符合国际、国内相关标准或行业标准，整体配置具有合理性、一致性、兼容性，产品品牌、型号、产地明确，备品配件供应有保障，有具体可行的质量保证承诺，保证使用单位能熟练操作维护和正常使用。 选型方案先进可靠，质量保证承诺详尽得6分； 选型方案全部满足采购需求，有质量保证承诺得4分；选型方案部分满足采购需求，有质量保证承诺得2分，未提供或选型导致严重负偏离得0分。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货物简要说明一览表</w:t>
            </w:r>
          </w:p>
          <w:p>
            <w:pPr>
              <w:pStyle w:val="null3"/>
            </w:pPr>
            <w:r>
              <w:rPr/>
              <w:t>供应商认为有必要说明的其他资料</w:t>
            </w:r>
          </w:p>
        </w:tc>
      </w:tr>
      <w:tr>
        <w:tc>
          <w:tcPr>
            <w:tcW w:type="dxa" w:w="831"/>
            <w:vMerge/>
          </w:tcPr>
          <w:p/>
        </w:tc>
        <w:tc>
          <w:tcPr>
            <w:tcW w:type="dxa" w:w="1661"/>
          </w:tcPr>
          <w:p>
            <w:pPr>
              <w:pStyle w:val="null3"/>
            </w:pPr>
            <w:r>
              <w:rPr/>
              <w:t>整体实施方案</w:t>
            </w:r>
          </w:p>
        </w:tc>
        <w:tc>
          <w:tcPr>
            <w:tcW w:type="dxa" w:w="2492"/>
          </w:tcPr>
          <w:p>
            <w:pPr>
              <w:pStyle w:val="null3"/>
            </w:pPr>
            <w:r>
              <w:rPr/>
              <w:t>供应商针对本项目时间合理性，提供具体可行的实施方案，具体的供货组织安排，详细的人员、财力调配、运输、派送措施及设备到货后验收、实施进度及保证措施、设备安装、人员组成及人员调配、安装调试等，根据方案的完整全面， 实施方案组织合理，调配运输方案清晰明确，进度保障措施先进可靠，能够切实保障项目时效性的得6分； 实施方案组织合理，有较为详细的调配运输方案，进度保障措施可靠，基本能够保障项目时效性的得4分； 实施方案组织基本合理，运输方案不够详尽，有一定的进度保障措施，具备保障项目时效性的承诺的得2分； 未提供或无法证明可以达到时效要求的得0分。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拟配备团队情况</w:t>
            </w:r>
          </w:p>
          <w:p>
            <w:pPr>
              <w:pStyle w:val="null3"/>
            </w:pPr>
            <w:r>
              <w:rPr/>
              <w:t>实施方案</w:t>
            </w:r>
          </w:p>
          <w:p>
            <w:pPr>
              <w:pStyle w:val="null3"/>
            </w:pPr>
            <w:r>
              <w:rPr/>
              <w:t>供应商认为有必要说明的其他资料</w:t>
            </w:r>
          </w:p>
        </w:tc>
      </w:tr>
      <w:tr>
        <w:tc>
          <w:tcPr>
            <w:tcW w:type="dxa" w:w="831"/>
            <w:vMerge/>
          </w:tcPr>
          <w:p/>
        </w:tc>
        <w:tc>
          <w:tcPr>
            <w:tcW w:type="dxa" w:w="1661"/>
          </w:tcPr>
          <w:p>
            <w:pPr>
              <w:pStyle w:val="null3"/>
            </w:pPr>
            <w:r>
              <w:rPr/>
              <w:t>培训方案</w:t>
            </w:r>
          </w:p>
        </w:tc>
        <w:tc>
          <w:tcPr>
            <w:tcW w:type="dxa" w:w="2492"/>
          </w:tcPr>
          <w:p>
            <w:pPr>
              <w:pStyle w:val="null3"/>
            </w:pPr>
            <w:r>
              <w:rPr/>
              <w:t>针对本项目具有可行的技术培训方案，培训采购人指定的技术人员和管理人员，制定培训课程计划表，列出每种培训的地点和时间，培训内容应包括所提供产品的原理和技术性能、操作维护方法、安装调试、排除故障等各个方面，培训的具体日期及人数由使用单位确定。 培训方案明确，培训内容完整，计划安排清晰可靠得6分； 培训方案不够明确，培训内容基本完整，计划安排清晰得4分； 培训内容较完整，计划安排基本清晰得2分； 未提供或培训内容缺失得0分。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拟配备团队情况</w:t>
            </w:r>
          </w:p>
          <w:p>
            <w:pPr>
              <w:pStyle w:val="null3"/>
            </w:pPr>
            <w:r>
              <w:rPr/>
              <w:t>供应商认为有必要说明的其他资料</w:t>
            </w:r>
          </w:p>
          <w:p>
            <w:pPr>
              <w:pStyle w:val="null3"/>
            </w:pPr>
            <w:r>
              <w:rPr/>
              <w:t>实施方案</w:t>
            </w:r>
          </w:p>
        </w:tc>
      </w:tr>
      <w:tr>
        <w:tc>
          <w:tcPr>
            <w:tcW w:type="dxa" w:w="831"/>
            <w:vMerge/>
          </w:tcPr>
          <w:p/>
        </w:tc>
        <w:tc>
          <w:tcPr>
            <w:tcW w:type="dxa" w:w="1661"/>
          </w:tcPr>
          <w:p>
            <w:pPr>
              <w:pStyle w:val="null3"/>
            </w:pPr>
            <w:r>
              <w:rPr/>
              <w:t>售后服务</w:t>
            </w:r>
          </w:p>
        </w:tc>
        <w:tc>
          <w:tcPr>
            <w:tcW w:type="dxa" w:w="2492"/>
          </w:tcPr>
          <w:p>
            <w:pPr>
              <w:pStyle w:val="null3"/>
            </w:pPr>
            <w:r>
              <w:rPr/>
              <w:t>具有相应的物力、人力保障，能够保证产、供、销，服务正常运转，运维期间服务人员的的工作内容及服务方式，有详细的在设备（产品）发生故障后解决故障办法、补救措施等方面的措施或方案，提供详细的售后服务方案及售后服务承诺等，进行赋分。 售后服务方案清晰明确，承诺完整得6分；售后服务方案存在部分偏差，但承诺基本完整得4分； 售后服务方案存在部分偏差，承诺未覆盖上述内容得2分； 未提供或售后服务方案过于简略无法满足使用需求的得0分。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服务承诺</w:t>
            </w:r>
          </w:p>
          <w:p>
            <w:pPr>
              <w:pStyle w:val="null3"/>
            </w:pPr>
            <w:r>
              <w:rPr/>
              <w:t>拟配备团队情况</w:t>
            </w:r>
          </w:p>
          <w:p>
            <w:pPr>
              <w:pStyle w:val="null3"/>
            </w:pPr>
            <w:r>
              <w:rPr/>
              <w:t>供应商认为有必要说明的其他资料</w:t>
            </w:r>
          </w:p>
          <w:p>
            <w:pPr>
              <w:pStyle w:val="null3"/>
            </w:pPr>
            <w:r>
              <w:rPr/>
              <w:t>实施方案</w:t>
            </w:r>
          </w:p>
        </w:tc>
      </w:tr>
      <w:tr>
        <w:tc>
          <w:tcPr>
            <w:tcW w:type="dxa" w:w="831"/>
            <w:vMerge/>
          </w:tcPr>
          <w:p/>
        </w:tc>
        <w:tc>
          <w:tcPr>
            <w:tcW w:type="dxa" w:w="1661"/>
          </w:tcPr>
          <w:p>
            <w:pPr>
              <w:pStyle w:val="null3"/>
            </w:pPr>
            <w:r>
              <w:rPr/>
              <w:t>节能环保</w:t>
            </w:r>
          </w:p>
        </w:tc>
        <w:tc>
          <w:tcPr>
            <w:tcW w:type="dxa" w:w="2492"/>
          </w:tcPr>
          <w:p>
            <w:pPr>
              <w:pStyle w:val="null3"/>
            </w:pPr>
            <w:r>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货物简要说明一览表</w:t>
            </w:r>
          </w:p>
        </w:tc>
      </w:tr>
      <w:tr>
        <w:tc>
          <w:tcPr>
            <w:tcW w:type="dxa" w:w="831"/>
            <w:vMerge/>
          </w:tcPr>
          <w:p/>
        </w:tc>
        <w:tc>
          <w:tcPr>
            <w:tcW w:type="dxa" w:w="1661"/>
          </w:tcPr>
          <w:p>
            <w:pPr>
              <w:pStyle w:val="null3"/>
            </w:pPr>
            <w:r>
              <w:rPr/>
              <w:t>业绩</w:t>
            </w:r>
          </w:p>
        </w:tc>
        <w:tc>
          <w:tcPr>
            <w:tcW w:type="dxa" w:w="2492"/>
          </w:tcPr>
          <w:p>
            <w:pPr>
              <w:pStyle w:val="null3"/>
            </w:pPr>
            <w:r>
              <w:rPr/>
              <w:t>提供供应商2021年1月1日至今同类项目业绩（以合同签订时间为准），提供合同复印件（扫描件）加盖供应商公章，每份有效业绩计1分，最高得5分。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项目业绩一览表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满足招标文件要求且投标价格最低的投标报价为评标基准价，其价格分为满分30分。其他供应商的价格分统一按照下列公式计算：投标报价得分=（评标基准价/投标报价）×30 符合招标文件规定的小微企业、监狱企业、残疾人福利性单位优惠的供应商，价格给予10%的扣除，用扣除后的价格参与评审。</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开标记录表</w:t>
            </w:r>
          </w:p>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开标记录表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详见附件：服务承诺</w:t>
      </w:r>
    </w:p>
    <w:p>
      <w:pPr>
        <w:pStyle w:val="null3"/>
        <w:ind w:firstLine="960"/>
      </w:pPr>
      <w:r>
        <w:rPr/>
        <w:t>详见附件：供应商认为有必要说明的其他资料</w:t>
      </w:r>
    </w:p>
    <w:p>
      <w:pPr>
        <w:pStyle w:val="null3"/>
        <w:ind w:firstLine="960"/>
      </w:pPr>
      <w:r>
        <w:rPr/>
        <w:t>详见附件：供应商资格证明文件</w:t>
      </w:r>
    </w:p>
    <w:p>
      <w:pPr>
        <w:pStyle w:val="null3"/>
        <w:ind w:firstLine="960"/>
      </w:pPr>
      <w:r>
        <w:rPr/>
        <w:t>详见附件：规格、技术参数偏离表</w:t>
      </w:r>
    </w:p>
    <w:p>
      <w:pPr>
        <w:pStyle w:val="null3"/>
        <w:ind w:firstLine="960"/>
      </w:pPr>
      <w:r>
        <w:rPr/>
        <w:t>详见附件：货物简要说明一览表</w:t>
      </w:r>
    </w:p>
    <w:p>
      <w:pPr>
        <w:pStyle w:val="null3"/>
        <w:ind w:firstLine="960"/>
      </w:pPr>
      <w:r>
        <w:rPr/>
        <w:t>详见附件：开标记录表</w:t>
      </w:r>
    </w:p>
    <w:p>
      <w:pPr>
        <w:pStyle w:val="null3"/>
        <w:ind w:firstLine="960"/>
      </w:pPr>
      <w:r>
        <w:rPr/>
        <w:t>详见附件：拟配备团队情况</w:t>
      </w:r>
    </w:p>
    <w:p>
      <w:pPr>
        <w:pStyle w:val="null3"/>
        <w:ind w:firstLine="960"/>
      </w:pPr>
      <w:r>
        <w:rPr/>
        <w:t>详见附件：商务要求偏离表</w:t>
      </w:r>
    </w:p>
    <w:p>
      <w:pPr>
        <w:pStyle w:val="null3"/>
        <w:ind w:firstLine="960"/>
      </w:pPr>
      <w:r>
        <w:rPr/>
        <w:t>详见附件：实施方案</w:t>
      </w:r>
    </w:p>
    <w:p>
      <w:pPr>
        <w:pStyle w:val="null3"/>
        <w:ind w:firstLine="960"/>
      </w:pPr>
      <w:r>
        <w:rPr/>
        <w:t>详见附件：投标保证金缴纳凭证</w:t>
      </w:r>
    </w:p>
    <w:p>
      <w:pPr>
        <w:pStyle w:val="null3"/>
        <w:ind w:firstLine="960"/>
      </w:pPr>
      <w:r>
        <w:rPr/>
        <w:t>详见附件：项目业绩一览表</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详见附件：进口设备采购协议（模板）.docx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