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版本号：241213001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VR可视化智能物流操作平台建设项目</w:t>
      </w:r>
    </w:p>
    <w:p>
      <w:pPr>
        <w:pStyle w:val="null3"/>
        <w:jc w:val="center"/>
        <w:outlineLvl w:val="2"/>
      </w:pPr>
      <w:r>
        <w:rPr>
          <w:sz w:val="28"/>
          <w:b/>
        </w:rPr>
        <w:t>采购项目编号：</w:t>
      </w:r>
      <w:r>
        <w:rPr>
          <w:sz w:val="28"/>
          <w:b/>
        </w:rPr>
        <w:t>CT-ZB00-296-2024</w:t>
      </w:r>
      <w:r>
        <w:br/>
      </w:r>
      <w:r>
        <w:br/>
      </w:r>
      <w:r>
        <w:br/>
      </w:r>
    </w:p>
    <w:p>
      <w:pPr>
        <w:pStyle w:val="null3"/>
        <w:jc w:val="center"/>
        <w:outlineLvl w:val="2"/>
      </w:pPr>
      <w:r>
        <w:rPr>
          <w:sz w:val="28"/>
          <w:b/>
        </w:rPr>
        <w:t>陕西工业职业技术学院</w:t>
      </w:r>
    </w:p>
    <w:p>
      <w:pPr>
        <w:pStyle w:val="null3"/>
        <w:jc w:val="center"/>
        <w:outlineLvl w:val="2"/>
      </w:pPr>
      <w:r>
        <w:rPr>
          <w:sz w:val="28"/>
          <w:b/>
        </w:rPr>
        <w:t>中昕国际项目管理有限公司</w:t>
      </w:r>
      <w:r>
        <w:rPr>
          <w:sz w:val="28"/>
          <w:b/>
        </w:rPr>
        <w:t>共同编制</w:t>
      </w:r>
    </w:p>
    <w:p>
      <w:pPr>
        <w:pStyle w:val="null3"/>
        <w:jc w:val="center"/>
        <w:outlineLvl w:val="2"/>
      </w:pPr>
      <w:r>
        <w:rPr>
          <w:sz w:val="28"/>
          <w:b/>
        </w:rPr>
        <w:t>2024年12月13日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中昕国际项目管理有限公司</w:t>
      </w:r>
      <w:r>
        <w:rPr/>
        <w:t>（以下简称“代理机构”）受</w:t>
      </w:r>
      <w:r>
        <w:rPr/>
        <w:t>陕西工业职业技术学院</w:t>
      </w:r>
      <w:r>
        <w:rPr/>
        <w:t>委托，拟对</w:t>
      </w:r>
      <w:r>
        <w:rPr/>
        <w:t>VR可视化智能物流操作平台建设项目</w:t>
      </w:r>
      <w:r>
        <w:rPr/>
        <w:t>采用竞争性磋商采购方式进行采购，兹邀请供应商参加本项目的竞争性磋商。</w:t>
      </w:r>
    </w:p>
    <w:p>
      <w:pPr>
        <w:pStyle w:val="null3"/>
        <w:outlineLvl w:val="2"/>
      </w:pPr>
      <w:r>
        <w:rPr>
          <w:sz w:val="28"/>
          <w:b/>
        </w:rPr>
        <w:t>一、项目编号：</w:t>
      </w:r>
      <w:r>
        <w:rPr>
          <w:sz w:val="28"/>
          <w:b/>
        </w:rPr>
        <w:t>CT-ZB00-296-2024</w:t>
      </w:r>
    </w:p>
    <w:p>
      <w:pPr>
        <w:pStyle w:val="null3"/>
        <w:outlineLvl w:val="2"/>
      </w:pPr>
      <w:r>
        <w:rPr>
          <w:sz w:val="28"/>
          <w:b/>
        </w:rPr>
        <w:t>二、项目名称：</w:t>
      </w:r>
      <w:r>
        <w:rPr>
          <w:sz w:val="28"/>
          <w:b/>
        </w:rPr>
        <w:t>VR可视化智能物流操作平台建设项目</w:t>
      </w:r>
    </w:p>
    <w:p>
      <w:pPr>
        <w:pStyle w:val="null3"/>
        <w:outlineLvl w:val="2"/>
      </w:pPr>
      <w:r>
        <w:rPr>
          <w:sz w:val="28"/>
          <w:b/>
        </w:rPr>
        <w:t>三、磋商项目简介</w:t>
      </w:r>
    </w:p>
    <w:p>
      <w:pPr>
        <w:pStyle w:val="null3"/>
        <w:ind w:firstLine="480"/>
      </w:pPr>
      <w:r>
        <w:rPr/>
        <w:t>VR可视化智能物流操作平台建设项目深度契合国家新能源汽车产业链，陕西航空产业链和陕西文旅及农产品产业链，聚焦生产物流、智慧仓配等产业链规划，以科技创新为引擎，有效提升教学效果，加强学生技术技能水平，实现复合型人才培养，形成集“教、学、研、创”于一体的实训平台，进而打造一流的物流教学与实践环境。 本项目依托虚拟现实等前沿技术，结合数字化技术，将智慧冷链VR虚拟仿真、物流博物馆VR探索、智慧生产物流管控3D实训、智慧物流仓储作业3D虚拟仿真、国际多式联运实操训练等多元内容融为一体，实现教学方法、教学模式、教学理念新变革，较好的满足财经商贸类高质量人才培养，更好的服务区域经济发展。</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pPr>
        <w:pStyle w:val="null3"/>
      </w:pPr>
      <w:r>
        <w:rPr/>
        <w:t>2、法定代表人或授权代表：法定代表人参加磋商时，提供本人身份证；授权代表参加磋商时，提供法定代表人授权书和被授权人身份证；供应商需在项目电子化交易系统中按要求上传相应证明文件并进行电子签章。</w:t>
      </w:r>
    </w:p>
    <w:p>
      <w:pPr>
        <w:pStyle w:val="null3"/>
      </w:pPr>
      <w:r>
        <w:rPr/>
        <w:t>3、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t>4、供应商提供具有履行合同所必需的设备和专业技术能力的承诺：供应商提供具有履行合同所必需的设备和专业技术能力的承诺，供应商需在项目电子化交易系统中按要求上传相应证明文件并进行电子签章。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t>5、供应商应提供健全的财务会计制度的证明材料：提供2022年度或2023年度经审计的财务报告或开标前三个月内开户银行开具的资信证明及基本存款账户信息；供应商需在项目电子化交易系统中按要求上传相应证明文件并进行电子签章。</w:t>
      </w:r>
    </w:p>
    <w:p>
      <w:pPr>
        <w:pStyle w:val="null3"/>
      </w:pPr>
      <w:r>
        <w:rPr/>
        <w:t>6、税收证明：提供2024年1月1日以来已缴纳任意一个月完税凭证或税务机关开具的完税证明（任意税种）；依法免税的应提供相关文件证明；供应商需在项目电子化交易系统中按要求上传相应证明文件并进行电子签章。</w:t>
      </w:r>
    </w:p>
    <w:p>
      <w:pPr>
        <w:pStyle w:val="null3"/>
      </w:pPr>
      <w:r>
        <w:rPr/>
        <w:t>7、社会保障资金缴纳证：：提供2024年1月1日以来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t>8、单位负责人为同一人或者存在直接控股、管理关系的不同供应商不得参加同一合同项下的政府采购活动； 为本项目提供整体设计、规范编制或者项目管理、监理、检测等服务的供应商，不得再参加该采购项目的其他采购活动：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t>9、信用查询：供应商不得为“信用中国”网站（www.creditchina.gov.cn）或“中国执信公开网”中被列入失信被执行人、重大税收违法案件当事人名单和中国政府采购网（www.ccgp.gov.cn）被列入政府采购严重违法失信行为记录名单的单位。供应商需在项目电子化交易系统中按要求上传相应证明文件并进行电子签章。开标时将由代理机构进行现场查询。</w:t>
      </w:r>
    </w:p>
    <w:p>
      <w:pPr>
        <w:pStyle w:val="null3"/>
      </w:pPr>
      <w:r>
        <w:rPr/>
        <w:t>10、本项目不接受联合体磋商：本项目不接受联合体磋商，供应商需在项目电子化交易系统中按要求上传相应承诺文件 并进行电子签章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陕西工业职业技术学院</w:t>
      </w:r>
    </w:p>
    <w:p>
      <w:pPr>
        <w:pStyle w:val="null3"/>
      </w:pPr>
      <w:r>
        <w:rPr/>
        <w:t xml:space="preserve"> 地址： </w:t>
      </w:r>
      <w:r>
        <w:rPr/>
        <w:t>陕西省咸阳市渭城区文汇西路12号</w:t>
      </w:r>
    </w:p>
    <w:p>
      <w:pPr>
        <w:pStyle w:val="null3"/>
      </w:pPr>
      <w:r>
        <w:rPr/>
        <w:t xml:space="preserve"> 邮编： </w:t>
      </w:r>
      <w:r>
        <w:rPr/>
        <w:t>712000</w:t>
      </w:r>
    </w:p>
    <w:p>
      <w:pPr>
        <w:pStyle w:val="null3"/>
      </w:pPr>
      <w:r>
        <w:rPr/>
        <w:t xml:space="preserve"> 联系人： </w:t>
      </w:r>
      <w:r>
        <w:rPr/>
        <w:t>王老师</w:t>
      </w:r>
    </w:p>
    <w:p>
      <w:pPr>
        <w:pStyle w:val="null3"/>
      </w:pPr>
      <w:r>
        <w:rPr/>
        <w:t xml:space="preserve"> 联系电话： </w:t>
      </w:r>
      <w:r>
        <w:rPr/>
        <w:t>029-33152066</w:t>
      </w:r>
    </w:p>
    <w:p>
      <w:pPr>
        <w:pStyle w:val="null3"/>
        <w:outlineLvl w:val="3"/>
      </w:pPr>
      <w:r>
        <w:rPr>
          <w:sz w:val="24"/>
          <w:b/>
        </w:rPr>
        <w:t>代理机构：</w:t>
      </w:r>
      <w:r>
        <w:rPr>
          <w:sz w:val="24"/>
          <w:b/>
        </w:rPr>
        <w:t>中昕国际项目管理有限公司</w:t>
      </w:r>
    </w:p>
    <w:p>
      <w:pPr>
        <w:pStyle w:val="null3"/>
      </w:pPr>
      <w:r>
        <w:rPr/>
        <w:t xml:space="preserve"> 地址： </w:t>
      </w:r>
      <w:r>
        <w:rPr/>
        <w:t>陕西省西安市未央区西安经济技术开发区凤城十二路首创禧悦里25幢A座16层</w:t>
      </w:r>
    </w:p>
    <w:p>
      <w:pPr>
        <w:pStyle w:val="null3"/>
      </w:pPr>
      <w:r>
        <w:rPr/>
        <w:t xml:space="preserve"> 邮编： </w:t>
      </w:r>
      <w:r>
        <w:rPr/>
        <w:t>710000</w:t>
      </w:r>
    </w:p>
    <w:p>
      <w:pPr>
        <w:pStyle w:val="null3"/>
      </w:pPr>
      <w:r>
        <w:rPr/>
        <w:t xml:space="preserve"> 联系人： </w:t>
      </w:r>
      <w:r>
        <w:rPr/>
        <w:t>王涛、夏西晶</w:t>
      </w:r>
    </w:p>
    <w:p>
      <w:pPr>
        <w:pStyle w:val="null3"/>
      </w:pPr>
      <w:r>
        <w:rPr/>
        <w:t xml:space="preserve"> 联系电话： </w:t>
      </w:r>
      <w:r>
        <w:rPr/>
        <w:t>18229063298</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采购包1：1,748,000.00元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如有</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说明：中标/成交通知书发出之日起 5 日内乙方以转账方式向甲方指定账户支付合同款的5 %作 为履约保证金，经甲方最终书面验收合格后，乙方向甲方申请全额无息退还。</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参照国家计委颁发的《招标代理服务收费管理暂行办法》（计价格[2002 ]1980号）、国家发展和改革委员会办公厅颁发的《关于招标代理服务收费有关问题的通知》（发改办价格[2003]857号）的有关规定执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陕西工业职业技术学院</w:t>
      </w:r>
      <w:r>
        <w:rPr/>
        <w:t>和</w:t>
      </w:r>
      <w:r>
        <w:rPr/>
        <w:t>中昕国际项目管理有限公司</w:t>
      </w:r>
      <w:r>
        <w:rPr/>
        <w:t>享有。对磋商文件中供应商参加本次政府采购活动应当具备的条件，磋商项目技术、服务、商务及其他要求，评审细则及标准由</w:t>
      </w:r>
      <w:r>
        <w:rPr/>
        <w:t>陕西工业职业技术学院</w:t>
      </w:r>
      <w:r>
        <w:rPr/>
        <w:t>负责解释。除上述磋商文件内容，其他内容由</w:t>
      </w:r>
      <w:r>
        <w:rPr/>
        <w:t>中昕国际项目管理有限公司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中昕国际项目管理有限公司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符合采购人需求，符合磋商文件要求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中昕国际项目管理有限公司</w:t>
      </w:r>
      <w:r>
        <w:rPr/>
        <w:t xml:space="preserve"> 负责答复；供应商对采购过程的询问、质疑由</w:t>
      </w:r>
      <w:r>
        <w:rPr/>
        <w:t>中昕国际项目管理有限公司</w:t>
      </w:r>
      <w:r>
        <w:rPr/>
        <w:t xml:space="preserve"> 负责答复；供应商对采购结果的询问、质疑由 </w:t>
      </w:r>
      <w:r>
        <w:rPr/>
        <w:t>中昕国际项目管理有限公司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联系人：王涛、夏西晶</w:t>
      </w:r>
    </w:p>
    <w:p>
      <w:pPr>
        <w:pStyle w:val="null3"/>
      </w:pPr>
      <w:r>
        <w:rPr/>
        <w:t>联系电话：18229063298</w:t>
      </w:r>
    </w:p>
    <w:p>
      <w:pPr>
        <w:pStyle w:val="null3"/>
      </w:pPr>
      <w:r>
        <w:rPr/>
        <w:t>地址：陕西省西安市未央区西安经济技术开发区凤城十二路首创禧悦里25幢A座16层</w:t>
      </w:r>
    </w:p>
    <w:p>
      <w:pPr>
        <w:pStyle w:val="null3"/>
      </w:pPr>
      <w:r>
        <w:rPr/>
        <w:t>邮编：710000</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VR可视化智能物流操作平台建设项目深度契合国家新能源汽车产业链，陕西航空产业链和陕西文旅及农产品产业链，聚焦生产物流、智慧仓配等产业链规划，以科技创新为引擎，有效提升教学效果，加强学生技术技能水平，实现复合型人才培养，形成集“教、学、研、创”于一体的实训平台，进而打造一流的物流教学与实践环境。 本项目依托虚拟现实等前沿技术，结合数字化技术，将智慧冷链VR虚拟仿真、物流博物馆VR探索、智慧生产物流管控3D实训、智慧物流仓储作业3D虚拟仿真、国际多式联运实操训练等多元内容融为一体，实现教学方法、教学模式、教学理念新变革，较好的满足财经商贸类高质量人才培养，更好的服务区域经济发展。</w:t>
      </w:r>
    </w:p>
    <w:p>
      <w:pPr>
        <w:pStyle w:val="null3"/>
        <w:outlineLvl w:val="2"/>
      </w:pPr>
      <w:r>
        <w:rPr>
          <w:sz w:val="28"/>
          <w:b/>
        </w:rPr>
        <w:t>3.2采购内容</w:t>
      </w:r>
    </w:p>
    <w:p>
      <w:pPr>
        <w:pStyle w:val="null3"/>
      </w:pPr>
      <w:r>
        <w:rPr/>
        <w:t>采购包1：</w:t>
      </w:r>
    </w:p>
    <w:p>
      <w:pPr>
        <w:pStyle w:val="null3"/>
      </w:pPr>
      <w:r>
        <w:rPr/>
        <w:t>采购包预算金额（元）: 1,748,000.00</w:t>
      </w:r>
    </w:p>
    <w:p>
      <w:pPr>
        <w:pStyle w:val="null3"/>
      </w:pPr>
      <w:r>
        <w:rPr/>
        <w:t>采购包最高限价（元）: 1,748,000.00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VR可视化智能物流操作平台</w:t>
            </w:r>
          </w:p>
        </w:tc>
        <w:tc>
          <w:tcPr>
            <w:tcW w:type="dxa" w:w="831"/>
          </w:tcPr>
          <w:p>
            <w:pPr>
              <w:pStyle w:val="null3"/>
              <w:jc w:val="right"/>
            </w:pPr>
            <w:r>
              <w:rPr/>
              <w:t>1.00</w:t>
            </w:r>
          </w:p>
        </w:tc>
        <w:tc>
          <w:tcPr>
            <w:tcW w:type="dxa" w:w="831"/>
          </w:tcPr>
          <w:p>
            <w:pPr>
              <w:pStyle w:val="null3"/>
              <w:jc w:val="right"/>
            </w:pPr>
            <w:r>
              <w:rPr/>
              <w:t>1,748,000.00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标的名称：VR可视化智能物流操作平台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智慧物流</w:t>
            </w:r>
            <w:r>
              <w:rPr>
                <w:rFonts w:ascii="仿宋_gb2312" w:hAnsi="仿宋_gb2312" w:cs="仿宋_gb2312" w:eastAsia="仿宋_gb2312"/>
                <w:sz w:val="24"/>
                <w:b/>
              </w:rPr>
              <w:t>VR虚拟仿真操作平台</w:t>
            </w:r>
          </w:p>
          <w:p>
            <w:pPr>
              <w:pStyle w:val="null3"/>
              <w:jc w:val="both"/>
            </w:pPr>
            <w:r>
              <w:rPr/>
              <w:t xml:space="preserve"> </w:t>
            </w:r>
          </w:p>
          <w:p>
            <w:pPr>
              <w:pStyle w:val="null3"/>
              <w:jc w:val="both"/>
            </w:pPr>
            <w:r>
              <w:rPr>
                <w:rFonts w:ascii="仿宋_gb2312" w:hAnsi="仿宋_gb2312" w:cs="仿宋_gb2312" w:eastAsia="仿宋_gb2312"/>
                <w:sz w:val="21"/>
              </w:rPr>
              <w:t>功能模块</w:t>
            </w:r>
            <w:r>
              <w:rPr>
                <w:rFonts w:ascii="仿宋_gb2312" w:hAnsi="仿宋_gb2312" w:cs="仿宋_gb2312" w:eastAsia="仿宋_gb2312"/>
                <w:sz w:val="21"/>
              </w:rPr>
              <w:t>1：VR操作平台</w:t>
            </w:r>
          </w:p>
          <w:p>
            <w:pPr>
              <w:pStyle w:val="null3"/>
              <w:jc w:val="both"/>
            </w:pPr>
            <w:r>
              <w:rPr>
                <w:rFonts w:ascii="仿宋_gb2312" w:hAnsi="仿宋_gb2312" w:cs="仿宋_gb2312" w:eastAsia="仿宋_gb2312"/>
                <w:sz w:val="21"/>
              </w:rPr>
              <w:t>一、平台参数：</w:t>
            </w:r>
          </w:p>
          <w:p>
            <w:pPr>
              <w:pStyle w:val="null3"/>
              <w:jc w:val="both"/>
            </w:pPr>
            <w:r>
              <w:rPr>
                <w:rFonts w:ascii="仿宋_gb2312" w:hAnsi="仿宋_gb2312" w:cs="仿宋_gb2312" w:eastAsia="仿宋_gb2312"/>
                <w:sz w:val="21"/>
              </w:rPr>
              <w:t>1.需采用一体化、模块化整体结构设计、符合人体工程学设计；机体全钢结构、表面采用高温喷塑工艺，多种颜色可选；主机体独立排气风扇；外观端庄典雅;造型美观大方;流线造型、现代感强；</w:t>
            </w:r>
          </w:p>
          <w:p>
            <w:pPr>
              <w:pStyle w:val="null3"/>
              <w:jc w:val="both"/>
            </w:pPr>
            <w:r>
              <w:rPr>
                <w:rFonts w:ascii="仿宋_gb2312" w:hAnsi="仿宋_gb2312" w:cs="仿宋_gb2312" w:eastAsia="仿宋_gb2312"/>
                <w:sz w:val="21"/>
              </w:rPr>
              <w:t>2.产品外形美观，显示器采用高清液晶面板，显示器尺寸不低于55寸，分辨率不低于1921*1080，显示器宽窄比例不低于16：9；</w:t>
            </w:r>
          </w:p>
          <w:p>
            <w:pPr>
              <w:pStyle w:val="null3"/>
              <w:jc w:val="both"/>
            </w:pPr>
            <w:r>
              <w:rPr>
                <w:rFonts w:ascii="仿宋_gb2312" w:hAnsi="仿宋_gb2312" w:cs="仿宋_gb2312" w:eastAsia="仿宋_gb2312"/>
                <w:sz w:val="21"/>
              </w:rPr>
              <w:t>3.设备应能够保护体验者体验过程中不会超出安全区域外，扶手下方应不少于8个立柱，坚固耐用，在体验的同时，也保护了体验的安全，护栏扶手以及立柱均设置有LED灯光系统；</w:t>
            </w:r>
          </w:p>
          <w:p>
            <w:pPr>
              <w:pStyle w:val="null3"/>
              <w:jc w:val="both"/>
            </w:pPr>
            <w:r>
              <w:rPr>
                <w:rFonts w:ascii="仿宋_gb2312" w:hAnsi="仿宋_gb2312" w:cs="仿宋_gb2312" w:eastAsia="仿宋_gb2312"/>
                <w:sz w:val="21"/>
              </w:rPr>
              <w:t>4.操作平台顶部需设置有平衡翼固定激光感应系统，显示器两边设有手柄挂钩；</w:t>
            </w:r>
          </w:p>
          <w:p>
            <w:pPr>
              <w:pStyle w:val="null3"/>
              <w:jc w:val="both"/>
            </w:pPr>
            <w:r>
              <w:rPr>
                <w:rFonts w:ascii="仿宋_gb2312" w:hAnsi="仿宋_gb2312" w:cs="仿宋_gb2312" w:eastAsia="仿宋_gb2312"/>
                <w:sz w:val="21"/>
              </w:rPr>
              <w:t>5.多媒体组件：立体功效，内磁式音箱不少于2个；</w:t>
            </w:r>
          </w:p>
          <w:p>
            <w:pPr>
              <w:pStyle w:val="null3"/>
              <w:jc w:val="both"/>
            </w:pPr>
            <w:r>
              <w:rPr>
                <w:rFonts w:ascii="仿宋_gb2312" w:hAnsi="仿宋_gb2312" w:cs="仿宋_gb2312" w:eastAsia="仿宋_gb2312"/>
                <w:sz w:val="21"/>
              </w:rPr>
              <w:t>6.散热：内置不少于12V散热风扇，效果良好；</w:t>
            </w:r>
          </w:p>
          <w:p>
            <w:pPr>
              <w:pStyle w:val="null3"/>
              <w:jc w:val="both"/>
            </w:pPr>
            <w:r>
              <w:rPr>
                <w:rFonts w:ascii="仿宋_gb2312" w:hAnsi="仿宋_gb2312" w:cs="仿宋_gb2312" w:eastAsia="仿宋_gb2312"/>
                <w:sz w:val="21"/>
              </w:rPr>
              <w:t>7.平台需设置复位开关：无需开机柜，直接外置复位开关机，方便快捷；需内置安全可靠的电源外引线及插座；满足板材厚度：≥冷扎钢板1.5mm；</w:t>
            </w:r>
          </w:p>
          <w:p>
            <w:pPr>
              <w:pStyle w:val="null3"/>
              <w:jc w:val="both"/>
            </w:pPr>
            <w:r>
              <w:rPr>
                <w:rFonts w:ascii="仿宋_gb2312" w:hAnsi="仿宋_gb2312" w:cs="仿宋_gb2312" w:eastAsia="仿宋_gb2312"/>
                <w:sz w:val="21"/>
              </w:rPr>
              <w:t>8.表面涂层应为高温喷塑；</w:t>
            </w:r>
          </w:p>
          <w:p>
            <w:pPr>
              <w:pStyle w:val="null3"/>
              <w:jc w:val="both"/>
            </w:pPr>
            <w:r>
              <w:rPr>
                <w:rFonts w:ascii="仿宋_gb2312" w:hAnsi="仿宋_gb2312" w:cs="仿宋_gb2312" w:eastAsia="仿宋_gb2312"/>
                <w:sz w:val="21"/>
              </w:rPr>
              <w:t>9.光源应不低于蓝色5050高亮度led 12V/30A高功率双供电系统；</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VR行走平台控制终端参数需满足以下条件：</w:t>
            </w:r>
          </w:p>
          <w:p>
            <w:pPr>
              <w:pStyle w:val="null3"/>
              <w:jc w:val="both"/>
            </w:pPr>
            <w:r>
              <w:rPr>
                <w:rFonts w:ascii="仿宋_gb2312" w:hAnsi="仿宋_gb2312" w:cs="仿宋_gb2312" w:eastAsia="仿宋_gb2312"/>
                <w:sz w:val="21"/>
              </w:rPr>
              <w:t>1.CPU：不低于Core I5-10400F；</w:t>
            </w:r>
          </w:p>
          <w:p>
            <w:pPr>
              <w:pStyle w:val="null3"/>
              <w:jc w:val="both"/>
            </w:pPr>
            <w:r>
              <w:rPr>
                <w:rFonts w:ascii="仿宋_gb2312" w:hAnsi="仿宋_gb2312" w:cs="仿宋_gb2312" w:eastAsia="仿宋_gb2312"/>
                <w:sz w:val="21"/>
              </w:rPr>
              <w:t>2.内存：不少于16G运行内存；</w:t>
            </w:r>
          </w:p>
          <w:p>
            <w:pPr>
              <w:pStyle w:val="null3"/>
              <w:jc w:val="both"/>
            </w:pPr>
            <w:r>
              <w:rPr>
                <w:rFonts w:ascii="仿宋_gb2312" w:hAnsi="仿宋_gb2312" w:cs="仿宋_gb2312" w:eastAsia="仿宋_gb2312"/>
                <w:sz w:val="21"/>
              </w:rPr>
              <w:t>3.硬盘：≥512 SSD硬盘；</w:t>
            </w:r>
          </w:p>
          <w:p>
            <w:pPr>
              <w:pStyle w:val="null3"/>
              <w:jc w:val="both"/>
            </w:pPr>
            <w:r>
              <w:rPr>
                <w:rFonts w:ascii="仿宋_gb2312" w:hAnsi="仿宋_gb2312" w:cs="仿宋_gb2312" w:eastAsia="仿宋_gb2312"/>
                <w:sz w:val="21"/>
              </w:rPr>
              <w:t>4.随机应用：具有设计与分析应用软件的性能优化功能，通过整合针对单线程与多线程应用软件使用模式的资源，最终实现更为流畅的操作体验优化后可使主流的设计软件有明显性能提升，所提供的性能优化整体解决方案软件需同时提供硬件性能监控和警报功能。</w:t>
            </w:r>
          </w:p>
          <w:p>
            <w:pPr>
              <w:pStyle w:val="null3"/>
              <w:jc w:val="both"/>
            </w:pPr>
            <w:r>
              <w:rPr>
                <w:rFonts w:ascii="仿宋_gb2312" w:hAnsi="仿宋_gb2312" w:cs="仿宋_gb2312" w:eastAsia="仿宋_gb2312"/>
                <w:sz w:val="21"/>
              </w:rPr>
              <w:t>三、虚拟头盔显示设备参数：</w:t>
            </w:r>
          </w:p>
          <w:p>
            <w:pPr>
              <w:pStyle w:val="null3"/>
              <w:jc w:val="both"/>
            </w:pPr>
            <w:r>
              <w:rPr>
                <w:rFonts w:ascii="仿宋_gb2312" w:hAnsi="仿宋_gb2312" w:cs="仿宋_gb2312" w:eastAsia="仿宋_gb2312"/>
                <w:sz w:val="21"/>
              </w:rPr>
              <w:t>1.屏幕：≥3.4英寸AMOLED，显示屏≥2个；</w:t>
            </w:r>
          </w:p>
          <w:p>
            <w:pPr>
              <w:pStyle w:val="null3"/>
              <w:jc w:val="both"/>
            </w:pPr>
            <w:r>
              <w:rPr>
                <w:rFonts w:ascii="仿宋_gb2312" w:hAnsi="仿宋_gb2312" w:cs="仿宋_gb2312" w:eastAsia="仿宋_gb2312"/>
                <w:sz w:val="21"/>
              </w:rPr>
              <w:t>2.视场角：≥110度；</w:t>
            </w:r>
          </w:p>
          <w:p>
            <w:pPr>
              <w:pStyle w:val="null3"/>
              <w:jc w:val="both"/>
            </w:pPr>
            <w:r>
              <w:rPr>
                <w:rFonts w:ascii="仿宋_gb2312" w:hAnsi="仿宋_gb2312" w:cs="仿宋_gb2312" w:eastAsia="仿宋_gb2312"/>
                <w:sz w:val="21"/>
              </w:rPr>
              <w:t>3.刷新率：≥90Hz；</w:t>
            </w:r>
          </w:p>
          <w:p>
            <w:pPr>
              <w:pStyle w:val="null3"/>
              <w:jc w:val="both"/>
            </w:pPr>
            <w:r>
              <w:rPr>
                <w:rFonts w:ascii="仿宋_gb2312" w:hAnsi="仿宋_gb2312" w:cs="仿宋_gb2312" w:eastAsia="仿宋_gb2312"/>
                <w:sz w:val="21"/>
              </w:rPr>
              <w:t>4.分辨率 双眼：≥2880*1700；</w:t>
            </w:r>
          </w:p>
          <w:p>
            <w:pPr>
              <w:pStyle w:val="null3"/>
              <w:jc w:val="both"/>
            </w:pPr>
            <w:r>
              <w:rPr>
                <w:rFonts w:ascii="仿宋_gb2312" w:hAnsi="仿宋_gb2312" w:cs="仿宋_gb2312" w:eastAsia="仿宋_gb2312"/>
                <w:sz w:val="21"/>
              </w:rPr>
              <w:t>5.传感器：头戴式设备：G-sensor校正，gyroscope陀螺仪，proximity距离感测器，瞳距校正感测器；</w:t>
            </w:r>
          </w:p>
          <w:p>
            <w:pPr>
              <w:pStyle w:val="null3"/>
              <w:jc w:val="both"/>
            </w:pPr>
            <w:r>
              <w:rPr>
                <w:rFonts w:ascii="仿宋_gb2312" w:hAnsi="仿宋_gb2312" w:cs="仿宋_gb2312" w:eastAsia="仿宋_gb2312"/>
                <w:sz w:val="21"/>
              </w:rPr>
              <w:t>6.操作手柄：陀螺仪，G-sensor校正，霍尔传感器，触摸传感器；</w:t>
            </w:r>
          </w:p>
          <w:p>
            <w:pPr>
              <w:pStyle w:val="null3"/>
              <w:jc w:val="both"/>
            </w:pPr>
            <w:r>
              <w:rPr>
                <w:rFonts w:ascii="仿宋_gb2312" w:hAnsi="仿宋_gb2312" w:cs="仿宋_gb2312" w:eastAsia="仿宋_gb2312"/>
                <w:sz w:val="21"/>
              </w:rPr>
              <w:t>7.音频输入：内置麦克风；</w:t>
            </w:r>
          </w:p>
          <w:p>
            <w:pPr>
              <w:pStyle w:val="null3"/>
              <w:jc w:val="both"/>
            </w:pPr>
            <w:r>
              <w:rPr>
                <w:rFonts w:ascii="仿宋_gb2312" w:hAnsi="仿宋_gb2312" w:cs="仿宋_gb2312" w:eastAsia="仿宋_gb2312"/>
                <w:sz w:val="21"/>
              </w:rPr>
              <w:t>8.接口应满足不少于1个USB3.0接口，不少于1个Displayport1.2*1接口；</w:t>
            </w:r>
          </w:p>
          <w:p>
            <w:pPr>
              <w:pStyle w:val="null3"/>
              <w:jc w:val="both"/>
            </w:pPr>
            <w:r>
              <w:rPr>
                <w:rFonts w:ascii="仿宋_gb2312" w:hAnsi="仿宋_gb2312" w:cs="仿宋_gb2312" w:eastAsia="仿宋_gb2312"/>
                <w:sz w:val="21"/>
              </w:rPr>
              <w:t>9.VR操作平台需求数量不少于2台。</w:t>
            </w:r>
          </w:p>
          <w:p>
            <w:pPr>
              <w:pStyle w:val="null3"/>
              <w:jc w:val="both"/>
            </w:pPr>
            <w:r>
              <w:rPr>
                <w:rFonts w:ascii="仿宋_gb2312" w:hAnsi="仿宋_gb2312" w:cs="仿宋_gb2312" w:eastAsia="仿宋_gb2312"/>
                <w:sz w:val="21"/>
              </w:rPr>
              <w:t>功能模块</w:t>
            </w:r>
            <w:r>
              <w:rPr>
                <w:rFonts w:ascii="仿宋_gb2312" w:hAnsi="仿宋_gb2312" w:cs="仿宋_gb2312" w:eastAsia="仿宋_gb2312"/>
                <w:sz w:val="21"/>
              </w:rPr>
              <w:t>2：智慧冷链VR虚拟仿真</w:t>
            </w:r>
          </w:p>
          <w:p>
            <w:pPr>
              <w:pStyle w:val="null3"/>
              <w:jc w:val="both"/>
            </w:pPr>
            <w:r>
              <w:rPr>
                <w:rFonts w:ascii="仿宋_gb2312" w:hAnsi="仿宋_gb2312" w:cs="仿宋_gb2312" w:eastAsia="仿宋_gb2312"/>
                <w:sz w:val="21"/>
              </w:rPr>
              <w:t>一、功能需求</w:t>
            </w:r>
          </w:p>
          <w:p>
            <w:pPr>
              <w:pStyle w:val="null3"/>
              <w:jc w:val="both"/>
            </w:pPr>
            <w:r>
              <w:rPr>
                <w:rFonts w:ascii="仿宋_gb2312" w:hAnsi="仿宋_gb2312" w:cs="仿宋_gb2312" w:eastAsia="仿宋_gb2312"/>
                <w:sz w:val="21"/>
              </w:rPr>
              <w:t>需满足采用虚拟仿真技术结合</w:t>
            </w:r>
            <w:r>
              <w:rPr>
                <w:rFonts w:ascii="仿宋_gb2312" w:hAnsi="仿宋_gb2312" w:cs="仿宋_gb2312" w:eastAsia="仿宋_gb2312"/>
                <w:sz w:val="21"/>
              </w:rPr>
              <w:t>VR显示设备对现代化冷库进行全景模拟，包括冷链仓库环境、场景、冷库设备、仓库布局介绍，冷库作业流程收货作业、入库作业、补货作业、出库作业、配送作业、退货作业、盘点作业交互操作，冷库管理等冷库核心知识内容学习。</w:t>
            </w:r>
          </w:p>
          <w:p>
            <w:pPr>
              <w:pStyle w:val="null3"/>
              <w:jc w:val="both"/>
            </w:pPr>
            <w:r>
              <w:rPr>
                <w:rFonts w:ascii="仿宋_gb2312" w:hAnsi="仿宋_gb2312" w:cs="仿宋_gb2312" w:eastAsia="仿宋_gb2312"/>
                <w:sz w:val="21"/>
              </w:rPr>
              <w:t>1.产品应具备仿真真实冷链企业冷库的功能。</w:t>
            </w:r>
          </w:p>
          <w:p>
            <w:pPr>
              <w:pStyle w:val="null3"/>
              <w:jc w:val="both"/>
            </w:pPr>
            <w:r>
              <w:rPr>
                <w:rFonts w:ascii="仿宋_gb2312" w:hAnsi="仿宋_gb2312" w:cs="仿宋_gb2312" w:eastAsia="仿宋_gb2312"/>
                <w:sz w:val="21"/>
              </w:rPr>
              <w:t>2.产品应结合虚拟现实头盔全景沉浸式展示。</w:t>
            </w:r>
          </w:p>
          <w:p>
            <w:pPr>
              <w:pStyle w:val="null3"/>
              <w:jc w:val="both"/>
            </w:pPr>
            <w:r>
              <w:rPr>
                <w:rFonts w:ascii="仿宋_gb2312" w:hAnsi="仿宋_gb2312" w:cs="仿宋_gb2312" w:eastAsia="仿宋_gb2312"/>
                <w:sz w:val="21"/>
              </w:rPr>
              <w:t>3.软件结合情景化教学，高仿真真实冷链企业仓库场景中进行企业认知、相关知识学习。</w:t>
            </w:r>
          </w:p>
          <w:p>
            <w:pPr>
              <w:pStyle w:val="null3"/>
              <w:jc w:val="both"/>
            </w:pPr>
            <w:r>
              <w:rPr>
                <w:rFonts w:ascii="仿宋_gb2312" w:hAnsi="仿宋_gb2312" w:cs="仿宋_gb2312" w:eastAsia="仿宋_gb2312"/>
                <w:sz w:val="21"/>
              </w:rPr>
              <w:t>4.软件对冷库设备、布局、冷库作业流程、冷链物流管理等冷链相关核心知识剖析展示并结合虚拟场景进行实际操作，软件提供搬运车、叉车等相关设备操作。</w:t>
            </w:r>
          </w:p>
          <w:p>
            <w:pPr>
              <w:pStyle w:val="null3"/>
              <w:jc w:val="both"/>
            </w:pPr>
            <w:r>
              <w:rPr>
                <w:rFonts w:ascii="仿宋_gb2312" w:hAnsi="仿宋_gb2312" w:cs="仿宋_gb2312" w:eastAsia="仿宋_gb2312"/>
                <w:sz w:val="21"/>
              </w:rPr>
              <w:t>二、模块功能要求</w:t>
            </w:r>
          </w:p>
          <w:p>
            <w:pPr>
              <w:pStyle w:val="null3"/>
              <w:jc w:val="both"/>
            </w:pPr>
            <w:r>
              <w:rPr>
                <w:rFonts w:ascii="仿宋_gb2312" w:hAnsi="仿宋_gb2312" w:cs="仿宋_gb2312" w:eastAsia="仿宋_gb2312"/>
                <w:sz w:val="21"/>
              </w:rPr>
              <w:t>1.软件包含整体冷链园区周边场景设施，包括冷链仓库园区大门、自动伸缩门、门卫室、冷链入口多车道公路、路灯、围墙、绿化设施、路牌等。</w:t>
            </w:r>
          </w:p>
          <w:p>
            <w:pPr>
              <w:pStyle w:val="null3"/>
              <w:jc w:val="both"/>
            </w:pPr>
            <w:r>
              <w:rPr>
                <w:rFonts w:ascii="仿宋_gb2312" w:hAnsi="仿宋_gb2312" w:cs="仿宋_gb2312" w:eastAsia="仿宋_gb2312"/>
                <w:sz w:val="21"/>
              </w:rPr>
              <w:t>2.软件能提供虚拟真实冷链企业冷库场景包含总体园区面积不低于40000平米、冷库区域面积不低于18000平米、停车区停车位不低于130个、冷库月台数量不低于30个、穿堂区不低于2000平米，配送点包含配送点周围城市系统、道路不低于4条、建筑不低于40栋。</w:t>
            </w:r>
          </w:p>
          <w:p>
            <w:pPr>
              <w:pStyle w:val="null3"/>
              <w:jc w:val="both"/>
            </w:pPr>
            <w:r>
              <w:rPr>
                <w:rFonts w:ascii="仿宋_gb2312" w:hAnsi="仿宋_gb2312" w:cs="仿宋_gb2312" w:eastAsia="仿宋_gb2312"/>
                <w:sz w:val="21"/>
              </w:rPr>
              <w:t>3.软件应包含多种冷链设备：至少包含冰衣机、制冰机、冷库冷风机、重型货架、推车、电动地牛、地牛、叉车、托盘、打包机、封口机、集装箱冷藏车、柜式冷藏车等。</w:t>
            </w:r>
          </w:p>
          <w:p>
            <w:pPr>
              <w:pStyle w:val="null3"/>
              <w:jc w:val="both"/>
            </w:pPr>
            <w:r>
              <w:rPr>
                <w:rFonts w:ascii="仿宋_gb2312" w:hAnsi="仿宋_gb2312" w:cs="仿宋_gb2312" w:eastAsia="仿宋_gb2312"/>
                <w:sz w:val="21"/>
              </w:rPr>
              <w:t>4.软件应包含多种冷库以及冷库内部区域布局，主要包括保鲜库、冷藏库、冷冻库、速冻库、缓冲区、设备存放区、加工区、穿堂等，软件能提供相关冷库以及区域认知知识面板，操作者可以通过VR交互手柄进行知识点的学习，包含保鲜库定义、温度与保鲜储藏的关系，冷冻库定义与作用、冷库分类、冷库组成等。</w:t>
            </w:r>
          </w:p>
          <w:p>
            <w:pPr>
              <w:pStyle w:val="null3"/>
              <w:jc w:val="both"/>
            </w:pPr>
            <w:r>
              <w:rPr>
                <w:rFonts w:ascii="仿宋_gb2312" w:hAnsi="仿宋_gb2312" w:cs="仿宋_gb2312" w:eastAsia="仿宋_gb2312"/>
                <w:sz w:val="21"/>
              </w:rPr>
              <w:t>5.软件需提供冷库墙体、地面三维模型展示，操作者可以选择结构中任意一层进行分解、合并进而深入剖析冷库结构。软件需提供冷库经理、制冷操作工、冷库管理员、冷库理货员、冷库搬运工着装角色以及相关角色的岗位职能。</w:t>
            </w:r>
          </w:p>
          <w:p>
            <w:pPr>
              <w:pStyle w:val="null3"/>
              <w:jc w:val="both"/>
            </w:pPr>
            <w:r>
              <w:rPr>
                <w:rFonts w:ascii="仿宋_gb2312" w:hAnsi="仿宋_gb2312" w:cs="仿宋_gb2312" w:eastAsia="仿宋_gb2312"/>
                <w:sz w:val="21"/>
              </w:rPr>
              <w:t>6.冷链物流流程应采用图文形式提供库内作业流程包括入库作业、分拣、出库作业，分拣包含熟食、油炸类、叶菜类、鲜鱼类、青果类等进行不定量商品重量检验；出库作业进行装车确认，重点展示鱼、虾产品出入库；禽类产品出入库流程；肉类出入库流程。</w:t>
            </w:r>
          </w:p>
          <w:p>
            <w:pPr>
              <w:pStyle w:val="null3"/>
              <w:jc w:val="both"/>
            </w:pPr>
            <w:r>
              <w:rPr>
                <w:rFonts w:ascii="仿宋_gb2312" w:hAnsi="仿宋_gb2312" w:cs="仿宋_gb2312" w:eastAsia="仿宋_gb2312"/>
                <w:sz w:val="21"/>
              </w:rPr>
              <w:t>7.应提供冷库作业流程仿真模拟收货作业、入库作业、补货作业、出库作业、配送作业、退货作业、盘点作业、温度控制通过虚拟操作完成相关作业流程。</w:t>
            </w:r>
          </w:p>
          <w:p>
            <w:pPr>
              <w:pStyle w:val="null3"/>
              <w:jc w:val="both"/>
            </w:pPr>
            <w:r>
              <w:rPr>
                <w:rFonts w:ascii="仿宋_gb2312" w:hAnsi="仿宋_gb2312" w:cs="仿宋_gb2312" w:eastAsia="仿宋_gb2312"/>
                <w:sz w:val="21"/>
              </w:rPr>
              <w:t>▲7.1收货作业能够实现驾驶托盘搬运车从冷藏车卸货，操作信息系统打印货物接收单给送货司机确认收货，本内容提供重置功能，供多次操作。</w:t>
            </w:r>
          </w:p>
          <w:p>
            <w:pPr>
              <w:pStyle w:val="null3"/>
              <w:jc w:val="both"/>
            </w:pPr>
            <w:r>
              <w:rPr>
                <w:rFonts w:ascii="仿宋_gb2312" w:hAnsi="仿宋_gb2312" w:cs="仿宋_gb2312" w:eastAsia="仿宋_gb2312"/>
                <w:sz w:val="21"/>
              </w:rPr>
              <w:t>7.2入库作业能够实现接收入库任务，把暂存区整托货物入库至重型货架相应库位，本内容提供重置功能，供多次操作。</w:t>
            </w:r>
          </w:p>
          <w:p>
            <w:pPr>
              <w:pStyle w:val="null3"/>
              <w:jc w:val="both"/>
            </w:pPr>
            <w:r>
              <w:rPr>
                <w:rFonts w:ascii="仿宋_gb2312" w:hAnsi="仿宋_gb2312" w:cs="仿宋_gb2312" w:eastAsia="仿宋_gb2312"/>
                <w:sz w:val="21"/>
              </w:rPr>
              <w:t>7.3补货作业能够实现操作者控制叉车把存储位货物移至相应拣货位，本内容提供重置功能，供多次操作。</w:t>
            </w:r>
          </w:p>
          <w:p>
            <w:pPr>
              <w:pStyle w:val="null3"/>
              <w:jc w:val="both"/>
            </w:pPr>
            <w:r>
              <w:rPr>
                <w:rFonts w:ascii="仿宋_gb2312" w:hAnsi="仿宋_gb2312" w:cs="仿宋_gb2312" w:eastAsia="仿宋_gb2312"/>
                <w:sz w:val="21"/>
              </w:rPr>
              <w:t>7.4出库作业能够实现接收出库任务，按照出库数量进行整托和拣货出库，本内容提供重置功能，供多次操作。</w:t>
            </w:r>
          </w:p>
          <w:p>
            <w:pPr>
              <w:pStyle w:val="null3"/>
              <w:jc w:val="both"/>
            </w:pPr>
            <w:r>
              <w:rPr>
                <w:rFonts w:ascii="仿宋_gb2312" w:hAnsi="仿宋_gb2312" w:cs="仿宋_gb2312" w:eastAsia="仿宋_gb2312"/>
                <w:sz w:val="21"/>
              </w:rPr>
              <w:t>▲7.5配送作业能够实现按照配送任务把出货暂存区货物使用托盘搬运车进行装车操作，软件提供托盘搬运车第一人称视角操作，通过手柄控制货物的升降和移动；冷藏车封车运输到指定配送点进行卸货，本内容提供重置功能，供多次操作。</w:t>
            </w:r>
          </w:p>
          <w:p>
            <w:pPr>
              <w:pStyle w:val="null3"/>
              <w:jc w:val="both"/>
            </w:pPr>
            <w:r>
              <w:rPr>
                <w:rFonts w:ascii="仿宋_gb2312" w:hAnsi="仿宋_gb2312" w:cs="仿宋_gb2312" w:eastAsia="仿宋_gb2312"/>
                <w:sz w:val="21"/>
              </w:rPr>
              <w:t>8.冷链物流管理能够实现冷库温度控制管理、人员管理、食品加工管理制度、质量控制、卫生管理等知识点进行图文呈现。</w:t>
            </w:r>
          </w:p>
          <w:p>
            <w:pPr>
              <w:pStyle w:val="null3"/>
              <w:jc w:val="both"/>
            </w:pPr>
            <w:r>
              <w:rPr>
                <w:rFonts w:ascii="仿宋_gb2312" w:hAnsi="仿宋_gb2312" w:cs="仿宋_gb2312" w:eastAsia="仿宋_gb2312"/>
                <w:sz w:val="21"/>
              </w:rPr>
              <w:t>四、核心功能演示</w:t>
            </w:r>
          </w:p>
          <w:p>
            <w:pPr>
              <w:pStyle w:val="null3"/>
              <w:jc w:val="both"/>
            </w:pPr>
            <w:r>
              <w:rPr>
                <w:rFonts w:ascii="calibri" w:hAnsi="calibri" w:cs="calibri" w:eastAsia="calibri"/>
                <w:sz w:val="21"/>
              </w:rPr>
              <w:t>【1.对上述</w:t>
            </w:r>
            <w:r>
              <w:rPr>
                <w:rFonts w:ascii="calibri" w:hAnsi="calibri" w:cs="calibri" w:eastAsia="calibri"/>
                <w:sz w:val="21"/>
              </w:rPr>
              <w:t>“模块功能要求”中第1、3项内容冷链园区周边场景设施、虚拟真实冷链企业冷库场景、多种冷链设备以沉浸式虚拟第一视角进行场景化演示。</w:t>
            </w:r>
          </w:p>
          <w:p>
            <w:pPr>
              <w:pStyle w:val="null3"/>
            </w:pPr>
            <w:r>
              <w:rPr>
                <w:rFonts w:ascii="calibri" w:hAnsi="calibri" w:cs="calibri" w:eastAsia="calibri"/>
                <w:sz w:val="21"/>
              </w:rPr>
              <w:t>2.对上述“模块功能要求”中第4、5项多种冷库以及冷库内部区域布局等进行演示。】</w:t>
            </w:r>
          </w:p>
          <w:p>
            <w:pPr>
              <w:pStyle w:val="null3"/>
              <w:jc w:val="both"/>
            </w:pPr>
            <w:r>
              <w:rPr>
                <w:rFonts w:ascii="仿宋_gb2312" w:hAnsi="仿宋_gb2312" w:cs="仿宋_gb2312" w:eastAsia="仿宋_gb2312"/>
                <w:sz w:val="21"/>
              </w:rPr>
              <w:t>功能</w:t>
            </w:r>
            <w:r>
              <w:rPr>
                <w:rFonts w:ascii="仿宋_gb2312" w:hAnsi="仿宋_gb2312" w:cs="仿宋_gb2312" w:eastAsia="仿宋_gb2312"/>
                <w:sz w:val="21"/>
              </w:rPr>
              <w:t>模块</w:t>
            </w:r>
            <w:r>
              <w:rPr>
                <w:rFonts w:ascii="仿宋_gb2312" w:hAnsi="仿宋_gb2312" w:cs="仿宋_gb2312" w:eastAsia="仿宋_gb2312"/>
                <w:sz w:val="21"/>
              </w:rPr>
              <w:t>3：物流博物馆VR虚拟仿真</w:t>
            </w:r>
          </w:p>
          <w:p>
            <w:pPr>
              <w:pStyle w:val="null3"/>
              <w:jc w:val="both"/>
            </w:pPr>
            <w:r>
              <w:rPr>
                <w:rFonts w:ascii="仿宋_gb2312" w:hAnsi="仿宋_gb2312" w:cs="仿宋_gb2312" w:eastAsia="仿宋_gb2312"/>
                <w:sz w:val="21"/>
              </w:rPr>
              <w:t>物流博物馆</w:t>
            </w:r>
            <w:r>
              <w:rPr>
                <w:rFonts w:ascii="仿宋_gb2312" w:hAnsi="仿宋_gb2312" w:cs="仿宋_gb2312" w:eastAsia="仿宋_gb2312"/>
                <w:sz w:val="21"/>
              </w:rPr>
              <w:t>VR虚拟仿真应采用VR虚拟仿真技术，需针对物流专业特点及物流领域并结合教学知识、场景，进行全方位、多角度逼真呈现，系统采用学习、训练、实操相结合的方式，突出物流文化馆内容与教学大纲的结合，调高学生学习，老师教学的趣味性。</w:t>
            </w:r>
          </w:p>
          <w:p>
            <w:pPr>
              <w:pStyle w:val="null3"/>
              <w:jc w:val="both"/>
            </w:pPr>
            <w:r>
              <w:rPr>
                <w:rFonts w:ascii="仿宋_gb2312" w:hAnsi="仿宋_gb2312" w:cs="仿宋_gb2312" w:eastAsia="仿宋_gb2312"/>
                <w:sz w:val="21"/>
              </w:rPr>
              <w:t>一、功能特点</w:t>
            </w:r>
          </w:p>
          <w:p>
            <w:pPr>
              <w:pStyle w:val="null3"/>
              <w:jc w:val="both"/>
            </w:pPr>
            <w:r>
              <w:rPr>
                <w:rFonts w:ascii="仿宋_gb2312" w:hAnsi="仿宋_gb2312" w:cs="仿宋_gb2312" w:eastAsia="仿宋_gb2312"/>
                <w:sz w:val="21"/>
              </w:rPr>
              <w:t>1.需满足前端采用Unity3D游戏引擎组件化开发架构，后台采用J2EE架构开发，整个软件采C/S架构部署，支持校园网内部通讯、支持自定义服务器。</w:t>
            </w:r>
          </w:p>
          <w:p>
            <w:pPr>
              <w:pStyle w:val="null3"/>
              <w:jc w:val="both"/>
            </w:pPr>
            <w:r>
              <w:rPr>
                <w:rFonts w:ascii="仿宋_gb2312" w:hAnsi="仿宋_gb2312" w:cs="仿宋_gb2312" w:eastAsia="仿宋_gb2312"/>
                <w:sz w:val="21"/>
              </w:rPr>
              <w:t>2.系统能够调用底层接口实现和外部硬件设备的数据传输，实现光学传感器的追踪定位、手柄交互数据的处理。</w:t>
            </w:r>
          </w:p>
          <w:p>
            <w:pPr>
              <w:pStyle w:val="null3"/>
              <w:jc w:val="both"/>
            </w:pPr>
            <w:r>
              <w:rPr>
                <w:rFonts w:ascii="仿宋_gb2312" w:hAnsi="仿宋_gb2312" w:cs="仿宋_gb2312" w:eastAsia="仿宋_gb2312"/>
                <w:sz w:val="21"/>
              </w:rPr>
              <w:t>3.需满足支持多种屏幕比例自适应，支持UI动画。能采用专业的3dmax图形烘焙技术，展示逼真的3D效果和光影效果。</w:t>
            </w:r>
          </w:p>
          <w:p>
            <w:pPr>
              <w:pStyle w:val="null3"/>
              <w:jc w:val="both"/>
            </w:pPr>
            <w:r>
              <w:rPr>
                <w:rFonts w:ascii="仿宋_gb2312" w:hAnsi="仿宋_gb2312" w:cs="仿宋_gb2312" w:eastAsia="仿宋_gb2312"/>
                <w:sz w:val="21"/>
              </w:rPr>
              <w:t>二、产品功能</w:t>
            </w:r>
          </w:p>
          <w:p>
            <w:pPr>
              <w:pStyle w:val="null3"/>
              <w:jc w:val="both"/>
            </w:pPr>
            <w:r>
              <w:rPr>
                <w:rFonts w:ascii="仿宋_gb2312" w:hAnsi="仿宋_gb2312" w:cs="仿宋_gb2312" w:eastAsia="仿宋_gb2312"/>
                <w:sz w:val="21"/>
              </w:rPr>
              <w:t>1.后端能够实现加密服务。</w:t>
            </w:r>
          </w:p>
          <w:p>
            <w:pPr>
              <w:pStyle w:val="null3"/>
              <w:jc w:val="both"/>
            </w:pPr>
            <w:r>
              <w:rPr>
                <w:rFonts w:ascii="仿宋_gb2312" w:hAnsi="仿宋_gb2312" w:cs="仿宋_gb2312" w:eastAsia="仿宋_gb2312"/>
                <w:sz w:val="21"/>
              </w:rPr>
              <w:t>2.前端满足用户使用方式智能化，用户通过VR外部硬件，佩戴VR智能头盔可以在软件内移动、触发、浏览、操作，每个主题展厅应能调用展厅内没有陈列的资源，增加软件的趣味性和体验感。</w:t>
            </w:r>
          </w:p>
          <w:p>
            <w:pPr>
              <w:pStyle w:val="null3"/>
              <w:jc w:val="both"/>
            </w:pPr>
            <w:r>
              <w:rPr>
                <w:rFonts w:ascii="仿宋_gb2312" w:hAnsi="仿宋_gb2312" w:cs="仿宋_gb2312" w:eastAsia="仿宋_gb2312"/>
                <w:sz w:val="21"/>
              </w:rPr>
              <w:t>3.物流文化博物馆场景：应采用两层设计不少于9个区域包括：</w:t>
            </w:r>
          </w:p>
          <w:p>
            <w:pPr>
              <w:pStyle w:val="null3"/>
              <w:jc w:val="both"/>
            </w:pPr>
            <w:r>
              <w:rPr>
                <w:rFonts w:ascii="仿宋_gb2312" w:hAnsi="仿宋_gb2312" w:cs="仿宋_gb2312" w:eastAsia="仿宋_gb2312"/>
                <w:sz w:val="21"/>
              </w:rPr>
              <w:t>3.1博物馆外景应包括物流文化馆岩石标牌、花坛、垃圾箱、城市道路、不少于15栋以上的写字楼。</w:t>
            </w:r>
          </w:p>
          <w:p>
            <w:pPr>
              <w:pStyle w:val="null3"/>
              <w:jc w:val="both"/>
            </w:pPr>
            <w:r>
              <w:rPr>
                <w:rFonts w:ascii="仿宋_gb2312" w:hAnsi="仿宋_gb2312" w:cs="仿宋_gb2312" w:eastAsia="仿宋_gb2312"/>
                <w:sz w:val="21"/>
              </w:rPr>
              <w:t>3.2物流文化馆大厅应包括不少于2个大型视频播放屏、不少于2部升降扶手电梯、中间有综合物流设备沙盘、地球展示系统。</w:t>
            </w:r>
          </w:p>
          <w:p>
            <w:pPr>
              <w:pStyle w:val="null3"/>
              <w:jc w:val="both"/>
            </w:pPr>
            <w:r>
              <w:rPr>
                <w:rFonts w:ascii="仿宋_gb2312" w:hAnsi="仿宋_gb2312" w:cs="仿宋_gb2312" w:eastAsia="仿宋_gb2312"/>
                <w:sz w:val="21"/>
              </w:rPr>
              <w:t>3.3物流发展史展厅应包括古代仓库挂图和3D实物模型展示、古代物流特点挂图、郑和下西洋挂图、古代丝绸之路图文展示、古代运输工具、近代主要运输工具、物流近代四个重要的发展阶段等各方面图文展示。</w:t>
            </w:r>
          </w:p>
          <w:p>
            <w:pPr>
              <w:pStyle w:val="null3"/>
              <w:jc w:val="both"/>
            </w:pPr>
            <w:r>
              <w:rPr>
                <w:rFonts w:ascii="仿宋_gb2312" w:hAnsi="仿宋_gb2312" w:cs="仿宋_gb2312" w:eastAsia="仿宋_gb2312"/>
                <w:sz w:val="21"/>
              </w:rPr>
              <w:t>3.4解读物流展厅应包括物流按顺序分类供应链物流、生产物流、销售物流等、根据系统性质分类社会物流、行业物流、企业物流、根据研究范围分类宏观物流、中观物流、微观物流、根据活动空间分类国际物流、国内物流、地区物流、根据作用领域分类包括生产、销售、供应链、回收等物流、根据涉及领域分类军事物流、流通物流、生产物流、生活物流、物流服务、“互联网+物流”等图文展示、不少于15副以上挂图详细介绍物与流、含有大连港、天津港、青岛港、上海港、深圳港五个港口的全貌虚拟沙盘展示柜。</w:t>
            </w:r>
          </w:p>
          <w:p>
            <w:pPr>
              <w:pStyle w:val="null3"/>
              <w:jc w:val="both"/>
            </w:pPr>
            <w:r>
              <w:rPr>
                <w:rFonts w:ascii="仿宋_gb2312" w:hAnsi="仿宋_gb2312" w:cs="仿宋_gb2312" w:eastAsia="仿宋_gb2312"/>
                <w:sz w:val="21"/>
              </w:rPr>
              <w:t>3.5智慧仓储模拟展厅全景模拟现代物流布局及流程，布局应包括：分拣区、立库区、理货区等区域；设备包括全自动立库、堆码机器人等硬件设备。</w:t>
            </w:r>
          </w:p>
          <w:p>
            <w:pPr>
              <w:pStyle w:val="null3"/>
              <w:jc w:val="both"/>
            </w:pPr>
            <w:r>
              <w:rPr>
                <w:rFonts w:ascii="仿宋_gb2312" w:hAnsi="仿宋_gb2312" w:cs="仿宋_gb2312" w:eastAsia="仿宋_gb2312"/>
                <w:sz w:val="21"/>
              </w:rPr>
              <w:t>3.6物流信息技术展厅应包含全站仪、“E地球”、转播卫星、地面节信号接收器、交换机、网络拓扑结构3D虚拟模型展示、EDI技术和RFID技术以及GIS技术单独区域展示每个区域不少于6副图文展示。</w:t>
            </w:r>
          </w:p>
          <w:p>
            <w:pPr>
              <w:pStyle w:val="null3"/>
              <w:jc w:val="both"/>
            </w:pPr>
            <w:r>
              <w:rPr>
                <w:rFonts w:ascii="仿宋_gb2312" w:hAnsi="仿宋_gb2312" w:cs="仿宋_gb2312" w:eastAsia="仿宋_gb2312"/>
                <w:sz w:val="21"/>
              </w:rPr>
              <w:t>3.7物流大事件展厅单独区域介绍世界典型国家的物流典型案例美国物流的MRP、中国加入WTO及物流发展政策、荷兰TNT、日本ELEVEN 7、德国不莱梅物流园、丹麦奥尔胡斯港、根本哈根港、新加坡新加坡港、展厅面积不低于400平米。</w:t>
            </w:r>
          </w:p>
          <w:p>
            <w:pPr>
              <w:pStyle w:val="null3"/>
              <w:jc w:val="both"/>
            </w:pPr>
            <w:r>
              <w:rPr>
                <w:rFonts w:ascii="仿宋_gb2312" w:hAnsi="仿宋_gb2312" w:cs="仿宋_gb2312" w:eastAsia="仿宋_gb2312"/>
                <w:sz w:val="21"/>
              </w:rPr>
              <w:t>3.8物流设备展厅应包括仓储设备、港口设备、运输设备、智慧物流设备等存放设备的区域，包含自动化立库、全自动码垛机等十多种仓储设备，电子拣选台车、无人配送车、穿梭车等智能设备，正面吊、岸吊等十多种港口设备，货轮等运输设备，并应配有特定的演示体验区。</w:t>
            </w:r>
          </w:p>
          <w:p>
            <w:pPr>
              <w:pStyle w:val="null3"/>
              <w:jc w:val="both"/>
            </w:pPr>
            <w:r>
              <w:rPr>
                <w:rFonts w:ascii="仿宋_gb2312" w:hAnsi="仿宋_gb2312" w:cs="仿宋_gb2312" w:eastAsia="仿宋_gb2312"/>
                <w:sz w:val="21"/>
              </w:rPr>
              <w:t>3.9物流发展趋势展厅展示智慧物流应包括物流产业发展、成本节约等方面图文展示智慧物流的内容；第三方物流应包括关系合同化等方面图文展示第三方物流的内容；绿色物流应包括环境保护意识、可持续发展图文展示绿色物流的内容；国际物流应包括物流配送更加精细化、物流园区更加便利化等方面图文展示国际物流发展趋势的内容。</w:t>
            </w:r>
          </w:p>
          <w:p>
            <w:pPr>
              <w:pStyle w:val="null3"/>
              <w:jc w:val="both"/>
            </w:pPr>
            <w:r>
              <w:rPr>
                <w:rFonts w:ascii="仿宋_gb2312" w:hAnsi="仿宋_gb2312" w:cs="仿宋_gb2312" w:eastAsia="仿宋_gb2312"/>
                <w:sz w:val="21"/>
              </w:rPr>
              <w:t>3.10智慧仓储模拟展厅应全景模拟现代物流布局及流程，布局应包括：分拣区、立库区、理货区等区域；设备包括全自动立库、堆码机器人、激光导引车、电动地牛等硬件设备。</w:t>
            </w:r>
          </w:p>
          <w:p>
            <w:pPr>
              <w:pStyle w:val="null3"/>
              <w:jc w:val="both"/>
            </w:pPr>
            <w:r>
              <w:rPr>
                <w:rFonts w:ascii="仿宋_gb2312" w:hAnsi="仿宋_gb2312" w:cs="仿宋_gb2312" w:eastAsia="仿宋_gb2312"/>
                <w:sz w:val="21"/>
              </w:rPr>
              <w:t>3.11物流企业展厅应包含国际十大物流企业联邦快递、马士基、中国远洋等；国内十大物流企业中铁快运、招商局物流每个物流企业多副图文展示。</w:t>
            </w:r>
          </w:p>
          <w:p>
            <w:pPr>
              <w:pStyle w:val="null3"/>
              <w:jc w:val="both"/>
            </w:pPr>
            <w:r>
              <w:rPr>
                <w:rFonts w:ascii="仿宋_gb2312" w:hAnsi="仿宋_gb2312" w:cs="仿宋_gb2312" w:eastAsia="仿宋_gb2312"/>
                <w:sz w:val="21"/>
              </w:rPr>
              <w:t>4.主要常用物流设备模型需提供从各个时期和智慧物流具有代表性设备模型展示能够全景展示无人机、堆码机器人、集装箱跨运车、门座式起重机、龙门式起重机、正面吊、岸吊、镖车、货轮、顺风全货机，不低于40种常用物流设备。</w:t>
            </w:r>
          </w:p>
          <w:p>
            <w:pPr>
              <w:pStyle w:val="null3"/>
              <w:jc w:val="both"/>
            </w:pPr>
            <w:r>
              <w:rPr>
                <w:rFonts w:ascii="仿宋_gb2312" w:hAnsi="仿宋_gb2312" w:cs="仿宋_gb2312" w:eastAsia="仿宋_gb2312"/>
                <w:sz w:val="21"/>
              </w:rPr>
              <w:t>5.体感操作及视频资源内容要求：</w:t>
            </w:r>
          </w:p>
          <w:p>
            <w:pPr>
              <w:pStyle w:val="null3"/>
              <w:jc w:val="both"/>
            </w:pPr>
            <w:r>
              <w:rPr>
                <w:rFonts w:ascii="仿宋_gb2312" w:hAnsi="仿宋_gb2312" w:cs="仿宋_gb2312" w:eastAsia="仿宋_gb2312"/>
                <w:sz w:val="21"/>
              </w:rPr>
              <w:t>5.1物流文化馆大厅内应包含智慧物流仓库视频，视频内容包含最新技术、最新设备：堆码机器人、激光导引车、重型密集库、AR拣选、物料密集库、滑块输送线等设备在仓储各个环节的应用。</w:t>
            </w:r>
          </w:p>
          <w:p>
            <w:pPr>
              <w:pStyle w:val="null3"/>
              <w:ind w:firstLine="420"/>
              <w:jc w:val="both"/>
            </w:pPr>
            <w:r>
              <w:rPr>
                <w:rFonts w:ascii="仿宋_gb2312" w:hAnsi="仿宋_gb2312" w:cs="仿宋_gb2312" w:eastAsia="仿宋_gb2312"/>
                <w:sz w:val="21"/>
              </w:rPr>
              <w:t>配套设施功能要求：</w:t>
            </w:r>
          </w:p>
          <w:p>
            <w:pPr>
              <w:pStyle w:val="null3"/>
              <w:jc w:val="both"/>
            </w:pPr>
            <w:r>
              <w:rPr>
                <w:rFonts w:ascii="仿宋_gb2312" w:hAnsi="仿宋_gb2312" w:cs="仿宋_gb2312" w:eastAsia="仿宋_gb2312"/>
                <w:sz w:val="21"/>
              </w:rPr>
              <w:t>一、虚拟仿真实验工作台：根据现场情况及实训室内教学需求，定制化提供实验工作台一批，包含六边桌</w:t>
            </w:r>
            <w:r>
              <w:rPr>
                <w:rFonts w:ascii="仿宋_gb2312" w:hAnsi="仿宋_gb2312" w:cs="仿宋_gb2312" w:eastAsia="仿宋_gb2312"/>
                <w:sz w:val="21"/>
              </w:rPr>
              <w:t>5张；单人电脑桌31张；单人铝合金实验凳60张。</w:t>
            </w:r>
          </w:p>
          <w:p>
            <w:pPr>
              <w:pStyle w:val="null3"/>
              <w:jc w:val="both"/>
            </w:pPr>
            <w:r>
              <w:rPr>
                <w:rFonts w:ascii="宋体" w:hAnsi="宋体" w:cs="宋体" w:eastAsia="宋体"/>
                <w:sz w:val="18"/>
              </w:rPr>
              <w:t>二、</w:t>
            </w:r>
            <w:r>
              <w:rPr>
                <w:rFonts w:ascii="仿宋_gb2312" w:hAnsi="仿宋_gb2312" w:cs="仿宋_gb2312" w:eastAsia="仿宋_gb2312"/>
                <w:sz w:val="21"/>
              </w:rPr>
              <w:t>数据处理终端：</w:t>
            </w:r>
            <w:r>
              <w:rPr>
                <w:rFonts w:ascii="仿宋_gb2312" w:hAnsi="仿宋_gb2312" w:cs="仿宋_gb2312" w:eastAsia="仿宋_gb2312"/>
                <w:sz w:val="21"/>
              </w:rPr>
              <w:t>2U机架式服务器，标配2个英特尔</w:t>
            </w:r>
            <w:r>
              <w:rPr>
                <w:rFonts w:ascii="calibri" w:hAnsi="calibri" w:cs="calibri" w:eastAsia="calibri"/>
                <w:sz w:val="21"/>
              </w:rPr>
              <w:t>®</w:t>
            </w:r>
            <w:r>
              <w:rPr>
                <w:rFonts w:ascii="仿宋_gb2312" w:hAnsi="仿宋_gb2312" w:cs="仿宋_gb2312" w:eastAsia="仿宋_gb2312"/>
                <w:sz w:val="21"/>
              </w:rPr>
              <w:t xml:space="preserve"> </w:t>
            </w:r>
            <w:r>
              <w:rPr>
                <w:rFonts w:ascii="仿宋_gb2312" w:hAnsi="仿宋_gb2312" w:cs="仿宋_gb2312" w:eastAsia="仿宋_gb2312"/>
                <w:sz w:val="21"/>
              </w:rPr>
              <w:t>至强</w:t>
            </w:r>
            <w:r>
              <w:rPr>
                <w:rFonts w:ascii="calibri" w:hAnsi="calibri" w:cs="calibri" w:eastAsia="calibri"/>
                <w:sz w:val="21"/>
              </w:rPr>
              <w:t>®</w:t>
            </w:r>
            <w:r>
              <w:rPr>
                <w:rFonts w:ascii="仿宋_gb2312" w:hAnsi="仿宋_gb2312" w:cs="仿宋_gb2312" w:eastAsia="仿宋_gb2312"/>
                <w:sz w:val="21"/>
              </w:rPr>
              <w:t xml:space="preserve"> </w:t>
            </w:r>
            <w:r>
              <w:rPr>
                <w:rFonts w:ascii="仿宋_gb2312" w:hAnsi="仿宋_gb2312" w:cs="仿宋_gb2312" w:eastAsia="仿宋_gb2312"/>
                <w:sz w:val="21"/>
              </w:rPr>
              <w:t>可扩展处理器</w:t>
            </w:r>
            <w:r>
              <w:rPr>
                <w:rFonts w:ascii="仿宋_gb2312" w:hAnsi="仿宋_gb2312" w:cs="仿宋_gb2312" w:eastAsia="仿宋_gb2312"/>
                <w:sz w:val="21"/>
              </w:rPr>
              <w:t>Gold(金)6330 2.0GHz 28C(核) 56线程，最大可支持2颗CPU，配不少于8*32GB TruDDR4 3200 MHz (1Rx4 1.2V)RDIMM内存，最大支持24个DDR4内存插槽, 配置不少于2块960G SSD热插拔硬盘， 配不少于4个8T热插拔硬盘，配 RAID 530-8I  Cache PCIe 12Gbps 阵列卡，支持RAID0/1/10/5/50/，配不少于4个集成1GbE RJ-45网口(LOM卡)和不少于1个管理网络端口，可支持6个PCIe 3.0插槽，配不少于2个550W白金级热插拔电源模块，可支持2个，前置1个USB2.0(XClarity管理接口)，正面至少1个USB3.0接口、1个USB2.0接口、背面3个USB3.0接口、1个VGA、1个RJ-45（管理），包含光通路诊断LED报警灯，工作温度应为5°C-45°C（符合ASHRAE Class A4、A3、A2标准），确保3年7*24*4上门&amp;基础安装。</w:t>
            </w:r>
          </w:p>
          <w:p>
            <w:pPr>
              <w:pStyle w:val="null3"/>
              <w:jc w:val="both"/>
            </w:pPr>
            <w:r>
              <w:rPr>
                <w:rFonts w:ascii="仿宋_gb2312" w:hAnsi="仿宋_gb2312" w:cs="仿宋_gb2312" w:eastAsia="仿宋_gb2312"/>
                <w:sz w:val="21"/>
              </w:rPr>
              <w:t>三、文化内涵建设：根据虚拟仿真实训室内具体场景，定制建设具有融合现代专业元素、简洁、明快且富有科技感的室内环境。融入行业精神、创新理念及职业教育等相关元素，定制化一批符合实训室相关要求的文化内涵建设，具体根据实训室场地布置需求进行建设。</w:t>
            </w:r>
          </w:p>
        </w:tc>
      </w:tr>
      <w:tr>
        <w:tc>
          <w:tcPr>
            <w:tcW w:type="dxa" w:w="2769"/>
          </w:tcPr>
          <w:p/>
        </w:tc>
        <w:tc>
          <w:tcPr>
            <w:tcW w:type="dxa" w:w="2769"/>
          </w:tcPr>
          <w:p>
            <w:pPr>
              <w:pStyle w:val="null3"/>
            </w:pPr>
            <w:r>
              <w:rPr/>
              <w:t>2</w:t>
            </w:r>
          </w:p>
        </w:tc>
        <w:tc>
          <w:tcPr>
            <w:tcW w:type="dxa" w:w="2769"/>
          </w:tcPr>
          <w:p>
            <w:pPr>
              <w:pStyle w:val="null3"/>
              <w:jc w:val="both"/>
            </w:pPr>
            <w:r>
              <w:rPr>
                <w:rFonts w:ascii="仿宋_gb2312" w:hAnsi="仿宋_gb2312" w:cs="仿宋_gb2312" w:eastAsia="仿宋_gb2312"/>
                <w:sz w:val="24"/>
                <w:b/>
              </w:rPr>
              <w:t>2、3D</w:t>
            </w:r>
            <w:r>
              <w:rPr>
                <w:rFonts w:ascii="仿宋_gb2312" w:hAnsi="仿宋_gb2312" w:cs="仿宋_gb2312" w:eastAsia="仿宋_gb2312"/>
                <w:sz w:val="24"/>
                <w:b/>
              </w:rPr>
              <w:t>物流虚拟仿真模拟器</w:t>
            </w:r>
            <w:r>
              <w:rPr>
                <w:rFonts w:ascii="仿宋_gb2312" w:hAnsi="仿宋_gb2312" w:cs="仿宋_gb2312" w:eastAsia="仿宋_gb2312"/>
                <w:sz w:val="24"/>
                <w:b/>
              </w:rPr>
              <w:t>（核心产品）</w:t>
            </w:r>
          </w:p>
          <w:p>
            <w:pPr>
              <w:pStyle w:val="null3"/>
              <w:jc w:val="both"/>
            </w:pPr>
            <w:r>
              <w:rPr>
                <w:rFonts w:ascii="仿宋_gb2312" w:hAnsi="仿宋_gb2312" w:cs="仿宋_gb2312" w:eastAsia="仿宋_gb2312"/>
                <w:sz w:val="21"/>
              </w:rPr>
              <w:t>功能模块</w:t>
            </w:r>
            <w:r>
              <w:rPr>
                <w:rFonts w:ascii="仿宋_gb2312" w:hAnsi="仿宋_gb2312" w:cs="仿宋_gb2312" w:eastAsia="仿宋_gb2312"/>
                <w:sz w:val="21"/>
              </w:rPr>
              <w:t>1：智慧生产物流管控3D虚拟仿真</w:t>
            </w:r>
          </w:p>
          <w:p>
            <w:pPr>
              <w:pStyle w:val="null3"/>
              <w:jc w:val="both"/>
            </w:pPr>
            <w:r>
              <w:rPr>
                <w:rFonts w:ascii="仿宋_gb2312" w:hAnsi="仿宋_gb2312" w:cs="仿宋_gb2312" w:eastAsia="仿宋_gb2312"/>
                <w:sz w:val="21"/>
              </w:rPr>
              <w:t>智慧生产物流管控</w:t>
            </w:r>
            <w:r>
              <w:rPr>
                <w:rFonts w:ascii="仿宋_gb2312" w:hAnsi="仿宋_gb2312" w:cs="仿宋_gb2312" w:eastAsia="仿宋_gb2312"/>
                <w:sz w:val="21"/>
              </w:rPr>
              <w:t>3D虚拟仿真可实现通过虚拟仿真生成场景和数据配置、动态库存、订单处理等数据驱动进行三维场景交互操作，完成作业策略配置、原材料入库、生产补料流程、生产模拟仿真、成品入库等生产作业流程，支持配置多套生产模拟实训数据，选择不同实训数据，一键完成生产模拟实训基础数据配置。三维场景虚拟操作交互数据与页面订单数据能够实现实时同步，学生实训操作过程呈现，实训报告结果分析，主客观、多维可视化展现学生对生产物流知识的掌握程度。</w:t>
            </w:r>
          </w:p>
          <w:p>
            <w:pPr>
              <w:pStyle w:val="null3"/>
              <w:jc w:val="both"/>
            </w:pPr>
            <w:r>
              <w:rPr>
                <w:rFonts w:ascii="仿宋_gb2312" w:hAnsi="仿宋_gb2312" w:cs="仿宋_gb2312" w:eastAsia="仿宋_gb2312"/>
                <w:sz w:val="21"/>
              </w:rPr>
              <w:t>一、产品功能需求</w:t>
            </w:r>
          </w:p>
          <w:p>
            <w:pPr>
              <w:pStyle w:val="null3"/>
              <w:jc w:val="both"/>
            </w:pPr>
            <w:r>
              <w:rPr>
                <w:rFonts w:ascii="仿宋_gb2312" w:hAnsi="仿宋_gb2312" w:cs="仿宋_gb2312" w:eastAsia="仿宋_gb2312"/>
                <w:sz w:val="21"/>
              </w:rPr>
              <w:t>1.系统配置要求</w:t>
            </w:r>
          </w:p>
          <w:p>
            <w:pPr>
              <w:pStyle w:val="null3"/>
              <w:jc w:val="both"/>
            </w:pPr>
            <w:r>
              <w:rPr>
                <w:rFonts w:ascii="仿宋_gb2312" w:hAnsi="仿宋_gb2312" w:cs="仿宋_gb2312" w:eastAsia="仿宋_gb2312"/>
                <w:sz w:val="21"/>
              </w:rPr>
              <w:t>系统应支持管理员配置多套</w:t>
            </w:r>
            <w:r>
              <w:rPr>
                <w:rFonts w:ascii="仿宋_gb2312" w:hAnsi="仿宋_gb2312" w:cs="仿宋_gb2312" w:eastAsia="仿宋_gb2312"/>
                <w:sz w:val="21"/>
              </w:rPr>
              <w:t>“仿真”数据，可灵活选择不同仿真数据，一键完成虚拟仿真基础数据自动配置。切换不同的仿真数据后，将清空队伍已产生的作业数据。系统应支持对用户的虚拟仿真作业流程进行监控，并生成监控结果数据，监控结果数据将呈现用户的产品BOM配置结果、存储策略配置结果、补料规则配置结果、已完成入库作业结果（包含入库货位、物料及数量）、已完成补料作业结果（包含补料源货位、物料及数量）、已完成生产作业结果（产成品数量）。</w:t>
            </w:r>
          </w:p>
          <w:p>
            <w:pPr>
              <w:pStyle w:val="null3"/>
              <w:jc w:val="both"/>
            </w:pPr>
            <w:r>
              <w:rPr>
                <w:rFonts w:ascii="仿宋_gb2312" w:hAnsi="仿宋_gb2312" w:cs="仿宋_gb2312" w:eastAsia="仿宋_gb2312"/>
                <w:sz w:val="21"/>
              </w:rPr>
              <w:t>2.用户管理</w:t>
            </w:r>
          </w:p>
          <w:p>
            <w:pPr>
              <w:pStyle w:val="null3"/>
              <w:jc w:val="both"/>
            </w:pPr>
            <w:r>
              <w:rPr>
                <w:rFonts w:ascii="仿宋_gb2312" w:hAnsi="仿宋_gb2312" w:cs="仿宋_gb2312" w:eastAsia="仿宋_gb2312"/>
                <w:sz w:val="21"/>
              </w:rPr>
              <w:t>系统应支持管理员新增实训、编辑实训名称、选择实训班级、填写实训描述，发布实训任务，并且管理实训任务的开启、关闭。</w:t>
            </w:r>
          </w:p>
          <w:p>
            <w:pPr>
              <w:pStyle w:val="null3"/>
              <w:jc w:val="both"/>
            </w:pPr>
            <w:r>
              <w:rPr>
                <w:rFonts w:ascii="仿宋_gb2312" w:hAnsi="仿宋_gb2312" w:cs="仿宋_gb2312" w:eastAsia="仿宋_gb2312"/>
                <w:sz w:val="21"/>
              </w:rPr>
              <w:t>3.三维场景动态模拟业务流程</w:t>
            </w:r>
          </w:p>
          <w:p>
            <w:pPr>
              <w:pStyle w:val="null3"/>
              <w:jc w:val="both"/>
            </w:pPr>
            <w:r>
              <w:rPr>
                <w:rFonts w:ascii="仿宋_gb2312" w:hAnsi="仿宋_gb2312" w:cs="仿宋_gb2312" w:eastAsia="仿宋_gb2312"/>
                <w:sz w:val="21"/>
              </w:rPr>
              <w:t>智慧生产物流管控</w:t>
            </w:r>
            <w:r>
              <w:rPr>
                <w:rFonts w:ascii="仿宋_gb2312" w:hAnsi="仿宋_gb2312" w:cs="仿宋_gb2312" w:eastAsia="仿宋_gb2312"/>
                <w:sz w:val="21"/>
              </w:rPr>
              <w:t>3D虚拟仿真软件应采用数据驱动，通过数据策略配置、动态库存、订单数据进行三维场景生产作业动态模拟，主要业务需包含作业策略配置、原材料入库、生产补料作业、生产模拟仿真、成品入库等流程。</w:t>
            </w:r>
          </w:p>
          <w:p>
            <w:pPr>
              <w:pStyle w:val="null3"/>
              <w:jc w:val="both"/>
            </w:pPr>
            <w:r>
              <w:rPr>
                <w:rFonts w:ascii="仿宋_gb2312" w:hAnsi="仿宋_gb2312" w:cs="仿宋_gb2312" w:eastAsia="仿宋_gb2312"/>
                <w:sz w:val="21"/>
              </w:rPr>
              <w:t>3.1作业配置</w:t>
            </w:r>
          </w:p>
          <w:p>
            <w:pPr>
              <w:pStyle w:val="null3"/>
              <w:jc w:val="both"/>
            </w:pPr>
            <w:r>
              <w:rPr>
                <w:rFonts w:ascii="仿宋_gb2312" w:hAnsi="仿宋_gb2312" w:cs="仿宋_gb2312" w:eastAsia="仿宋_gb2312"/>
                <w:sz w:val="21"/>
              </w:rPr>
              <w:t>3.1.1产品BOM配置</w:t>
            </w:r>
          </w:p>
          <w:p>
            <w:pPr>
              <w:pStyle w:val="null3"/>
              <w:jc w:val="both"/>
            </w:pPr>
            <w:r>
              <w:rPr>
                <w:rFonts w:ascii="仿宋_gb2312" w:hAnsi="仿宋_gb2312" w:cs="仿宋_gb2312" w:eastAsia="仿宋_gb2312"/>
                <w:sz w:val="21"/>
              </w:rPr>
              <w:t>系统应支持根据产品</w:t>
            </w:r>
            <w:r>
              <w:rPr>
                <w:rFonts w:ascii="仿宋_gb2312" w:hAnsi="仿宋_gb2312" w:cs="仿宋_gb2312" w:eastAsia="仿宋_gb2312"/>
                <w:sz w:val="21"/>
              </w:rPr>
              <w:t>BOM数据、产品生产工序及工艺要求，完成产品BOM配置。</w:t>
            </w:r>
          </w:p>
          <w:p>
            <w:pPr>
              <w:pStyle w:val="null3"/>
              <w:jc w:val="both"/>
            </w:pPr>
            <w:r>
              <w:rPr>
                <w:rFonts w:ascii="仿宋_gb2312" w:hAnsi="仿宋_gb2312" w:cs="仿宋_gb2312" w:eastAsia="仿宋_gb2312"/>
                <w:sz w:val="21"/>
              </w:rPr>
              <w:t>3.1.2工艺配置</w:t>
            </w:r>
          </w:p>
          <w:p>
            <w:pPr>
              <w:pStyle w:val="null3"/>
              <w:jc w:val="both"/>
            </w:pPr>
            <w:r>
              <w:rPr>
                <w:rFonts w:ascii="仿宋_gb2312" w:hAnsi="仿宋_gb2312" w:cs="仿宋_gb2312" w:eastAsia="仿宋_gb2312"/>
                <w:sz w:val="21"/>
              </w:rPr>
              <w:t>应支持配置产品工艺及工序信息，工艺设置可设置工序间关系，工序标准工时、生产能力、产线半成品库存限制等参数。</w:t>
            </w:r>
          </w:p>
          <w:p>
            <w:pPr>
              <w:pStyle w:val="null3"/>
              <w:jc w:val="both"/>
            </w:pPr>
            <w:r>
              <w:rPr>
                <w:rFonts w:ascii="仿宋_gb2312" w:hAnsi="仿宋_gb2312" w:cs="仿宋_gb2312" w:eastAsia="仿宋_gb2312"/>
                <w:sz w:val="21"/>
              </w:rPr>
              <w:t>3.1.3存储策略设置</w:t>
            </w:r>
          </w:p>
          <w:p>
            <w:pPr>
              <w:pStyle w:val="null3"/>
              <w:jc w:val="both"/>
            </w:pPr>
            <w:r>
              <w:rPr>
                <w:rFonts w:ascii="仿宋_gb2312" w:hAnsi="仿宋_gb2312" w:cs="仿宋_gb2312" w:eastAsia="仿宋_gb2312"/>
                <w:sz w:val="21"/>
              </w:rPr>
              <w:t>系统应支持对原料、成品等物料进行存储策略设置，存储策略支持对物料的入库库区、入库货位、入库数量、货位存储上限、货位存储下限进行配置。</w:t>
            </w:r>
          </w:p>
          <w:p>
            <w:pPr>
              <w:pStyle w:val="null3"/>
              <w:jc w:val="both"/>
            </w:pPr>
            <w:r>
              <w:rPr>
                <w:rFonts w:ascii="仿宋_gb2312" w:hAnsi="仿宋_gb2312" w:cs="仿宋_gb2312" w:eastAsia="仿宋_gb2312"/>
                <w:sz w:val="21"/>
              </w:rPr>
              <w:t>3.1.4补料规则设置</w:t>
            </w:r>
          </w:p>
          <w:p>
            <w:pPr>
              <w:pStyle w:val="null3"/>
              <w:jc w:val="both"/>
            </w:pPr>
            <w:r>
              <w:rPr>
                <w:rFonts w:ascii="仿宋_gb2312" w:hAnsi="仿宋_gb2312" w:cs="仿宋_gb2312" w:eastAsia="仿宋_gb2312"/>
                <w:sz w:val="21"/>
              </w:rPr>
              <w:t>系统应支持对产品原料线边库进行补料规则设置，支持定量补料、定期补料的补料方式，支持设置补料点，固定补料量，补料到最大库存等多种补料参数。</w:t>
            </w:r>
          </w:p>
          <w:p>
            <w:pPr>
              <w:pStyle w:val="null3"/>
              <w:jc w:val="both"/>
            </w:pPr>
            <w:r>
              <w:rPr>
                <w:rFonts w:ascii="仿宋_gb2312" w:hAnsi="仿宋_gb2312" w:cs="仿宋_gb2312" w:eastAsia="仿宋_gb2312"/>
                <w:sz w:val="21"/>
              </w:rPr>
              <w:t>3.2原材料入库</w:t>
            </w:r>
          </w:p>
          <w:p>
            <w:pPr>
              <w:pStyle w:val="null3"/>
              <w:jc w:val="both"/>
            </w:pPr>
            <w:r>
              <w:rPr>
                <w:rFonts w:ascii="仿宋_gb2312" w:hAnsi="仿宋_gb2312" w:cs="仿宋_gb2312" w:eastAsia="仿宋_gb2312"/>
                <w:sz w:val="21"/>
              </w:rPr>
              <w:t>3.2.1入库计划下达</w:t>
            </w:r>
          </w:p>
          <w:p>
            <w:pPr>
              <w:pStyle w:val="null3"/>
              <w:jc w:val="both"/>
            </w:pPr>
            <w:r>
              <w:rPr>
                <w:rFonts w:ascii="仿宋_gb2312" w:hAnsi="仿宋_gb2312" w:cs="仿宋_gb2312" w:eastAsia="仿宋_gb2312"/>
                <w:sz w:val="21"/>
              </w:rPr>
              <w:t>系统应支持入库计划制定，支持在一个入库计划中，配置多个订单行的物料入库，支持对物料入库的货位、数量进行配置。系统可根据物料存储策略，自动选择最优货位。</w:t>
            </w:r>
          </w:p>
          <w:p>
            <w:pPr>
              <w:pStyle w:val="null3"/>
              <w:jc w:val="both"/>
            </w:pPr>
            <w:r>
              <w:rPr>
                <w:rFonts w:ascii="仿宋_gb2312" w:hAnsi="仿宋_gb2312" w:cs="仿宋_gb2312" w:eastAsia="仿宋_gb2312"/>
                <w:sz w:val="21"/>
              </w:rPr>
              <w:t>3.2.2货到人库区入库作业</w:t>
            </w:r>
          </w:p>
          <w:p>
            <w:pPr>
              <w:pStyle w:val="null3"/>
              <w:jc w:val="both"/>
            </w:pPr>
            <w:r>
              <w:rPr>
                <w:rFonts w:ascii="仿宋_gb2312" w:hAnsi="仿宋_gb2312" w:cs="仿宋_gb2312" w:eastAsia="仿宋_gb2312"/>
                <w:sz w:val="21"/>
              </w:rPr>
              <w:t>三维场景模拟货到人库区入库作业。三维场景模拟手持设备进入原料入库功能，显示当前进行货到人库区入库作业时，用户可通过系统选定入库计划，开启入库作业。</w:t>
            </w:r>
          </w:p>
          <w:p>
            <w:pPr>
              <w:pStyle w:val="null3"/>
              <w:jc w:val="both"/>
            </w:pPr>
            <w:r>
              <w:rPr>
                <w:rFonts w:ascii="仿宋_gb2312" w:hAnsi="仿宋_gb2312" w:cs="仿宋_gb2312" w:eastAsia="仿宋_gb2312"/>
                <w:sz w:val="21"/>
              </w:rPr>
              <w:t>入库作业开启后，三维场景模拟的潜伏式</w:t>
            </w:r>
            <w:r>
              <w:rPr>
                <w:rFonts w:ascii="仿宋_gb2312" w:hAnsi="仿宋_gb2312" w:cs="仿宋_gb2312" w:eastAsia="仿宋_gb2312"/>
                <w:sz w:val="21"/>
              </w:rPr>
              <w:t>AGV将作业货架从存储区搬运至入库作业点，点击来料货架上的仓位或料箱，可弹框显示仓位和物料的具体信息，鼠标操作完成取出货格，货物存放等操作。</w:t>
            </w:r>
          </w:p>
          <w:p>
            <w:pPr>
              <w:pStyle w:val="null3"/>
              <w:jc w:val="both"/>
            </w:pPr>
            <w:r>
              <w:rPr>
                <w:rFonts w:ascii="仿宋_gb2312" w:hAnsi="仿宋_gb2312" w:cs="仿宋_gb2312" w:eastAsia="仿宋_gb2312"/>
                <w:sz w:val="21"/>
              </w:rPr>
              <w:t>3.3生产补料流程模拟</w:t>
            </w:r>
          </w:p>
          <w:p>
            <w:pPr>
              <w:pStyle w:val="null3"/>
              <w:jc w:val="both"/>
            </w:pPr>
            <w:r>
              <w:rPr>
                <w:rFonts w:ascii="仿宋_gb2312" w:hAnsi="仿宋_gb2312" w:cs="仿宋_gb2312" w:eastAsia="仿宋_gb2312"/>
                <w:sz w:val="21"/>
              </w:rPr>
              <w:t>3.3.1生产补料单</w:t>
            </w:r>
          </w:p>
          <w:p>
            <w:pPr>
              <w:pStyle w:val="null3"/>
              <w:jc w:val="both"/>
            </w:pPr>
            <w:r>
              <w:rPr>
                <w:rFonts w:ascii="仿宋_gb2312" w:hAnsi="仿宋_gb2312" w:cs="仿宋_gb2312" w:eastAsia="仿宋_gb2312"/>
                <w:sz w:val="21"/>
              </w:rPr>
              <w:t>用户应通过系统手动下达生产领料单，确定补料作业的补料物料编码、物料名称、物料数量及目标工位。系统还可根据用户设置的补料规则，在到达补料时机后，自动下达生产补料单。</w:t>
            </w:r>
          </w:p>
          <w:p>
            <w:pPr>
              <w:pStyle w:val="null3"/>
              <w:jc w:val="both"/>
            </w:pPr>
            <w:r>
              <w:rPr>
                <w:rFonts w:ascii="仿宋_gb2312" w:hAnsi="仿宋_gb2312" w:cs="仿宋_gb2312" w:eastAsia="仿宋_gb2312"/>
                <w:sz w:val="21"/>
              </w:rPr>
              <w:t>3.3.2补料单处理</w:t>
            </w:r>
          </w:p>
          <w:p>
            <w:pPr>
              <w:pStyle w:val="null3"/>
              <w:jc w:val="both"/>
            </w:pPr>
            <w:r>
              <w:rPr>
                <w:rFonts w:ascii="仿宋_gb2312" w:hAnsi="仿宋_gb2312" w:cs="仿宋_gb2312" w:eastAsia="仿宋_gb2312"/>
                <w:sz w:val="21"/>
              </w:rPr>
              <w:t>用户应通过系统手动对生产补料单进行处理，并生成补料计划。</w:t>
            </w:r>
          </w:p>
          <w:p>
            <w:pPr>
              <w:pStyle w:val="null3"/>
              <w:jc w:val="both"/>
            </w:pPr>
            <w:r>
              <w:rPr>
                <w:rFonts w:ascii="仿宋_gb2312" w:hAnsi="仿宋_gb2312" w:cs="仿宋_gb2312" w:eastAsia="仿宋_gb2312"/>
                <w:sz w:val="21"/>
              </w:rPr>
              <w:t>在补料处理过程中，用户能定义补料的目标货位、及每种物料在不同货位的补料数量。</w:t>
            </w:r>
          </w:p>
          <w:p>
            <w:pPr>
              <w:pStyle w:val="null3"/>
              <w:jc w:val="both"/>
            </w:pPr>
            <w:r>
              <w:rPr>
                <w:rFonts w:ascii="仿宋_gb2312" w:hAnsi="仿宋_gb2312" w:cs="仿宋_gb2312" w:eastAsia="仿宋_gb2312"/>
                <w:sz w:val="21"/>
              </w:rPr>
              <w:t>3.3.3补料作业</w:t>
            </w:r>
          </w:p>
          <w:p>
            <w:pPr>
              <w:pStyle w:val="null3"/>
              <w:jc w:val="both"/>
            </w:pPr>
            <w:r>
              <w:rPr>
                <w:rFonts w:ascii="仿宋_gb2312" w:hAnsi="仿宋_gb2312" w:cs="仿宋_gb2312" w:eastAsia="仿宋_gb2312"/>
                <w:sz w:val="21"/>
              </w:rPr>
              <w:t>补料计划下达后，用户能使用鼠标操作智能手持终端开启补料作业。</w:t>
            </w:r>
          </w:p>
          <w:p>
            <w:pPr>
              <w:pStyle w:val="null3"/>
              <w:jc w:val="both"/>
            </w:pPr>
            <w:r>
              <w:rPr>
                <w:rFonts w:ascii="仿宋_gb2312" w:hAnsi="仿宋_gb2312" w:cs="仿宋_gb2312" w:eastAsia="仿宋_gb2312"/>
                <w:sz w:val="21"/>
              </w:rPr>
              <w:t>▲3.3.4货到人库区补料作业</w:t>
            </w:r>
          </w:p>
          <w:p>
            <w:pPr>
              <w:pStyle w:val="null3"/>
              <w:jc w:val="both"/>
            </w:pPr>
            <w:r>
              <w:rPr>
                <w:rFonts w:ascii="仿宋_gb2312" w:hAnsi="仿宋_gb2312" w:cs="仿宋_gb2312" w:eastAsia="仿宋_gb2312"/>
                <w:sz w:val="21"/>
              </w:rPr>
              <w:t>三维场景模拟货到人库区补料作业。三维场景模拟手持设备进入补料出库功能，显示当前进行货到人库区补货作业时，用户可通过系统选定补货计划，开启补货作业。</w:t>
            </w:r>
          </w:p>
          <w:p>
            <w:pPr>
              <w:pStyle w:val="null3"/>
              <w:jc w:val="both"/>
            </w:pPr>
            <w:r>
              <w:rPr>
                <w:rFonts w:ascii="仿宋_gb2312" w:hAnsi="仿宋_gb2312" w:cs="仿宋_gb2312" w:eastAsia="仿宋_gb2312"/>
                <w:sz w:val="21"/>
              </w:rPr>
              <w:t>▲3.3.5电子标签库区补料作业</w:t>
            </w:r>
          </w:p>
          <w:p>
            <w:pPr>
              <w:pStyle w:val="null3"/>
              <w:jc w:val="both"/>
            </w:pPr>
            <w:r>
              <w:rPr>
                <w:rFonts w:ascii="仿宋_gb2312" w:hAnsi="仿宋_gb2312" w:cs="仿宋_gb2312" w:eastAsia="仿宋_gb2312"/>
                <w:sz w:val="21"/>
              </w:rPr>
              <w:t>三维场景模拟电子标签库区补料作业。用户能利用三维场景模拟智能手持终端进入补料出库功能，开启补料作业后，拣选扫描周转箱确认，系统自动点亮电子标签货架的巷道灯及点亮中需要拣选的货位的电子标签，并标识物料数量，用户完成物料拣选后，可通过拍灭货位电子标签，完成拣选数据上传，拣选数量的货物自动装箱。</w:t>
            </w:r>
          </w:p>
          <w:p>
            <w:pPr>
              <w:pStyle w:val="null3"/>
              <w:jc w:val="both"/>
            </w:pPr>
            <w:r>
              <w:rPr>
                <w:rFonts w:ascii="仿宋_gb2312" w:hAnsi="仿宋_gb2312" w:cs="仿宋_gb2312" w:eastAsia="仿宋_gb2312"/>
                <w:sz w:val="21"/>
              </w:rPr>
              <w:t>3.3.6物料搬运</w:t>
            </w:r>
          </w:p>
          <w:p>
            <w:pPr>
              <w:pStyle w:val="null3"/>
              <w:jc w:val="both"/>
            </w:pPr>
            <w:r>
              <w:rPr>
                <w:rFonts w:ascii="仿宋_gb2312" w:hAnsi="仿宋_gb2312" w:cs="仿宋_gb2312" w:eastAsia="仿宋_gb2312"/>
                <w:sz w:val="21"/>
              </w:rPr>
              <w:t>三维场景模拟物料搬运作业。用户完成补货计划的物料拣选后，能通过鼠标三维场景模拟操作智能手持终端线性搬运功能，呼叫线性</w:t>
            </w:r>
            <w:r>
              <w:rPr>
                <w:rFonts w:ascii="仿宋_gb2312" w:hAnsi="仿宋_gb2312" w:cs="仿宋_gb2312" w:eastAsia="仿宋_gb2312"/>
                <w:sz w:val="21"/>
              </w:rPr>
              <w:t>AGV至指定搬运的库区搬运点，并模拟扫描已拣选完成周转箱编码，完成周转箱装车和搬运任务绑定。</w:t>
            </w:r>
          </w:p>
          <w:p>
            <w:pPr>
              <w:pStyle w:val="null3"/>
              <w:jc w:val="both"/>
            </w:pPr>
            <w:r>
              <w:rPr>
                <w:rFonts w:ascii="仿宋_gb2312" w:hAnsi="仿宋_gb2312" w:cs="仿宋_gb2312" w:eastAsia="仿宋_gb2312"/>
                <w:sz w:val="21"/>
              </w:rPr>
              <w:t>用户能根据策略需要，一次完成多个库区的多箱货物装车后，再通过开始搬运指令，调动线性</w:t>
            </w:r>
            <w:r>
              <w:rPr>
                <w:rFonts w:ascii="仿宋_gb2312" w:hAnsi="仿宋_gb2312" w:cs="仿宋_gb2312" w:eastAsia="仿宋_gb2312"/>
                <w:sz w:val="21"/>
              </w:rPr>
              <w:t>AGV搬运至多个工位。</w:t>
            </w:r>
          </w:p>
          <w:p>
            <w:pPr>
              <w:pStyle w:val="null3"/>
              <w:jc w:val="both"/>
            </w:pPr>
            <w:r>
              <w:rPr>
                <w:rFonts w:ascii="仿宋_gb2312" w:hAnsi="仿宋_gb2312" w:cs="仿宋_gb2312" w:eastAsia="仿宋_gb2312"/>
                <w:sz w:val="21"/>
              </w:rPr>
              <w:t>▲3.3.7领料确认</w:t>
            </w:r>
          </w:p>
          <w:p>
            <w:pPr>
              <w:pStyle w:val="null3"/>
              <w:jc w:val="both"/>
            </w:pPr>
            <w:r>
              <w:rPr>
                <w:rFonts w:ascii="仿宋_gb2312" w:hAnsi="仿宋_gb2312" w:cs="仿宋_gb2312" w:eastAsia="仿宋_gb2312"/>
                <w:sz w:val="21"/>
              </w:rPr>
              <w:t>三维场景模拟线性</w:t>
            </w:r>
            <w:r>
              <w:rPr>
                <w:rFonts w:ascii="仿宋_gb2312" w:hAnsi="仿宋_gb2312" w:cs="仿宋_gb2312" w:eastAsia="仿宋_gb2312"/>
                <w:sz w:val="21"/>
              </w:rPr>
              <w:t>AGV到达工位后，用户能通过鼠标操作三维场景模拟智能手持终端进入补料上架功能，进行工位领料。</w:t>
            </w:r>
          </w:p>
          <w:p>
            <w:pPr>
              <w:pStyle w:val="null3"/>
              <w:jc w:val="both"/>
            </w:pPr>
            <w:r>
              <w:rPr>
                <w:rFonts w:ascii="仿宋_gb2312" w:hAnsi="仿宋_gb2312" w:cs="仿宋_gb2312" w:eastAsia="仿宋_gb2312"/>
                <w:sz w:val="21"/>
              </w:rPr>
              <w:t>3.4生产模拟仿真</w:t>
            </w:r>
          </w:p>
          <w:p>
            <w:pPr>
              <w:pStyle w:val="null3"/>
              <w:jc w:val="both"/>
            </w:pPr>
            <w:r>
              <w:rPr>
                <w:rFonts w:ascii="仿宋_gb2312" w:hAnsi="仿宋_gb2312" w:cs="仿宋_gb2312" w:eastAsia="仿宋_gb2312"/>
                <w:sz w:val="21"/>
              </w:rPr>
              <w:t>3.4.1生产工单</w:t>
            </w:r>
          </w:p>
          <w:p>
            <w:pPr>
              <w:pStyle w:val="null3"/>
              <w:jc w:val="both"/>
            </w:pPr>
            <w:r>
              <w:rPr>
                <w:rFonts w:ascii="仿宋_gb2312" w:hAnsi="仿宋_gb2312" w:cs="仿宋_gb2312" w:eastAsia="仿宋_gb2312"/>
                <w:sz w:val="21"/>
              </w:rPr>
              <w:t>用户可在系统手动创建生产工单，完成生产指令的下达。</w:t>
            </w:r>
          </w:p>
          <w:p>
            <w:pPr>
              <w:pStyle w:val="null3"/>
              <w:jc w:val="both"/>
            </w:pPr>
            <w:r>
              <w:rPr>
                <w:rFonts w:ascii="仿宋_gb2312" w:hAnsi="仿宋_gb2312" w:cs="仿宋_gb2312" w:eastAsia="仿宋_gb2312"/>
                <w:sz w:val="21"/>
              </w:rPr>
              <w:t>3.4.2物料齐套</w:t>
            </w:r>
          </w:p>
          <w:p>
            <w:pPr>
              <w:pStyle w:val="null3"/>
              <w:jc w:val="both"/>
            </w:pPr>
            <w:r>
              <w:rPr>
                <w:rFonts w:ascii="仿宋_gb2312" w:hAnsi="仿宋_gb2312" w:cs="仿宋_gb2312" w:eastAsia="仿宋_gb2312"/>
                <w:sz w:val="21"/>
              </w:rPr>
              <w:t>用户能利用齐套功能，对三维场景生产产品的工位库存进行检查，若工位原料数量无法开始生产且未生成生产领料单，则自动生成生产领料单。</w:t>
            </w:r>
          </w:p>
          <w:p>
            <w:pPr>
              <w:pStyle w:val="null3"/>
              <w:jc w:val="both"/>
            </w:pPr>
            <w:r>
              <w:rPr>
                <w:rFonts w:ascii="仿宋_gb2312" w:hAnsi="仿宋_gb2312" w:cs="仿宋_gb2312" w:eastAsia="仿宋_gb2312"/>
                <w:sz w:val="21"/>
              </w:rPr>
              <w:t>当工位物料库存足以进入生产，则计算齐套率，进入可生产状态。</w:t>
            </w:r>
          </w:p>
          <w:p>
            <w:pPr>
              <w:pStyle w:val="null3"/>
              <w:jc w:val="both"/>
            </w:pPr>
            <w:r>
              <w:rPr>
                <w:rFonts w:ascii="仿宋_gb2312" w:hAnsi="仿宋_gb2312" w:cs="仿宋_gb2312" w:eastAsia="仿宋_gb2312"/>
                <w:sz w:val="21"/>
              </w:rPr>
              <w:t>3.4.3自动化生产</w:t>
            </w:r>
          </w:p>
          <w:p>
            <w:pPr>
              <w:pStyle w:val="null3"/>
              <w:jc w:val="both"/>
            </w:pPr>
            <w:r>
              <w:rPr>
                <w:rFonts w:ascii="仿宋_gb2312" w:hAnsi="仿宋_gb2312" w:cs="仿宋_gb2312" w:eastAsia="仿宋_gb2312"/>
                <w:sz w:val="21"/>
              </w:rPr>
              <w:t>完成物料齐套，并启动生产工单后，系统能根据产品生产的工序及工艺配置，自动生成每个工序的独立子工单，并开启每个工序的生产模拟，按设置的工艺流程、生产节拍及物料配比进行原材料的消耗及成品</w:t>
            </w:r>
            <w:r>
              <w:rPr>
                <w:rFonts w:ascii="仿宋_gb2312" w:hAnsi="仿宋_gb2312" w:cs="仿宋_gb2312" w:eastAsia="仿宋_gb2312"/>
                <w:sz w:val="21"/>
              </w:rPr>
              <w:t>/半成品的生成。</w:t>
            </w:r>
          </w:p>
          <w:p>
            <w:pPr>
              <w:pStyle w:val="null3"/>
              <w:jc w:val="both"/>
            </w:pPr>
            <w:r>
              <w:rPr>
                <w:rFonts w:ascii="仿宋_gb2312" w:hAnsi="仿宋_gb2312" w:cs="仿宋_gb2312" w:eastAsia="仿宋_gb2312"/>
                <w:sz w:val="21"/>
              </w:rPr>
              <w:t>3.4.4生产看板</w:t>
            </w:r>
          </w:p>
          <w:p>
            <w:pPr>
              <w:pStyle w:val="null3"/>
              <w:jc w:val="both"/>
            </w:pPr>
            <w:r>
              <w:rPr>
                <w:rFonts w:ascii="仿宋_gb2312" w:hAnsi="仿宋_gb2312" w:cs="仿宋_gb2312" w:eastAsia="仿宋_gb2312"/>
                <w:sz w:val="21"/>
              </w:rPr>
              <w:t>用户能通过生产过程监控看板对产线生产情况进行监控，看板显示生产工单目标产量、已生产量、待生产量、生产进度及工位原料库存、产品库存。</w:t>
            </w:r>
          </w:p>
          <w:p>
            <w:pPr>
              <w:pStyle w:val="null3"/>
              <w:jc w:val="both"/>
            </w:pPr>
            <w:r>
              <w:rPr>
                <w:rFonts w:ascii="仿宋_gb2312" w:hAnsi="仿宋_gb2312" w:cs="仿宋_gb2312" w:eastAsia="仿宋_gb2312"/>
                <w:sz w:val="21"/>
              </w:rPr>
              <w:t>根据工位的库存数据不同，显示补料及缺料状态，并显示物料在途库存。当系统自动生成生产领料单或补料计划时，系统将在看板发布作业通知消息，提示用户进行后续作业操作。</w:t>
            </w:r>
          </w:p>
          <w:p>
            <w:pPr>
              <w:pStyle w:val="null3"/>
              <w:jc w:val="both"/>
            </w:pPr>
            <w:r>
              <w:rPr>
                <w:rFonts w:ascii="仿宋_gb2312" w:hAnsi="仿宋_gb2312" w:cs="仿宋_gb2312" w:eastAsia="仿宋_gb2312"/>
                <w:sz w:val="21"/>
              </w:rPr>
              <w:t>3.5、成品入库</w:t>
            </w:r>
          </w:p>
          <w:p>
            <w:pPr>
              <w:pStyle w:val="null3"/>
              <w:jc w:val="both"/>
            </w:pPr>
            <w:r>
              <w:rPr>
                <w:rFonts w:ascii="仿宋_gb2312" w:hAnsi="仿宋_gb2312" w:cs="仿宋_gb2312" w:eastAsia="仿宋_gb2312"/>
                <w:sz w:val="21"/>
              </w:rPr>
              <w:t>根据用户下达的入库作业指令，机器人能一次搬运多个周转箱至成品库区入库作业点，用户根据三维场景模拟智能手持终端的成品上架功能，进行成品上架作业。</w:t>
            </w:r>
          </w:p>
          <w:p>
            <w:pPr>
              <w:pStyle w:val="null3"/>
              <w:jc w:val="both"/>
            </w:pPr>
            <w:r>
              <w:rPr>
                <w:rFonts w:ascii="仿宋_gb2312" w:hAnsi="仿宋_gb2312" w:cs="仿宋_gb2312" w:eastAsia="仿宋_gb2312"/>
                <w:sz w:val="21"/>
              </w:rPr>
              <w:t>功能</w:t>
            </w:r>
            <w:r>
              <w:rPr>
                <w:rFonts w:ascii="仿宋_gb2312" w:hAnsi="仿宋_gb2312" w:cs="仿宋_gb2312" w:eastAsia="仿宋_gb2312"/>
                <w:sz w:val="21"/>
              </w:rPr>
              <w:t>模块</w:t>
            </w:r>
            <w:r>
              <w:rPr>
                <w:rFonts w:ascii="仿宋_gb2312" w:hAnsi="仿宋_gb2312" w:cs="仿宋_gb2312" w:eastAsia="仿宋_gb2312"/>
                <w:sz w:val="21"/>
              </w:rPr>
              <w:t>2：</w:t>
            </w:r>
            <w:r>
              <w:rPr>
                <w:rFonts w:ascii="仿宋_gb2312" w:hAnsi="仿宋_gb2312" w:cs="仿宋_gb2312" w:eastAsia="仿宋_gb2312"/>
                <w:sz w:val="21"/>
              </w:rPr>
              <w:t>智慧物流仓储作业</w:t>
            </w:r>
            <w:r>
              <w:rPr>
                <w:rFonts w:ascii="仿宋_gb2312" w:hAnsi="仿宋_gb2312" w:cs="仿宋_gb2312" w:eastAsia="仿宋_gb2312"/>
                <w:sz w:val="21"/>
              </w:rPr>
              <w:t>3D虚拟仿真</w:t>
            </w:r>
          </w:p>
          <w:p>
            <w:pPr>
              <w:pStyle w:val="null3"/>
              <w:jc w:val="left"/>
            </w:pPr>
            <w:r>
              <w:rPr>
                <w:rFonts w:ascii="仿宋_gb2312" w:hAnsi="仿宋_gb2312" w:cs="仿宋_gb2312" w:eastAsia="仿宋_gb2312"/>
                <w:sz w:val="21"/>
              </w:rPr>
              <w:t>智慧物流仓储作业</w:t>
            </w:r>
            <w:r>
              <w:rPr>
                <w:rFonts w:ascii="仿宋_gb2312" w:hAnsi="仿宋_gb2312" w:cs="仿宋_gb2312" w:eastAsia="仿宋_gb2312"/>
                <w:sz w:val="21"/>
              </w:rPr>
              <w:t>3D虚拟仿真能满足通过数据配置、动态库存、订单处理等数据驱动进行三维场景交互操作，完成入库上架、多种设备下拣货出库模拟、月台集货配载等仓储作业流程，虚拟近百种动态商品供仓储作业实训，库区仓位、容器、供应商、客户等动态编辑及可视化查询，虚拟操作交互数据与页面订单数据实时同步，学生能实现操作过程呈现、成绩数据图表反馈，主客观、多维可视化对实训进行考核评价。</w:t>
            </w:r>
          </w:p>
          <w:p>
            <w:pPr>
              <w:pStyle w:val="null3"/>
              <w:jc w:val="left"/>
            </w:pPr>
            <w:r>
              <w:rPr>
                <w:rFonts w:ascii="仿宋_gb2312" w:hAnsi="仿宋_gb2312" w:cs="仿宋_gb2312" w:eastAsia="仿宋_gb2312"/>
                <w:sz w:val="21"/>
              </w:rPr>
              <w:t>一、产品功能</w:t>
            </w:r>
          </w:p>
          <w:p>
            <w:pPr>
              <w:pStyle w:val="null3"/>
              <w:jc w:val="left"/>
            </w:pPr>
            <w:r>
              <w:rPr>
                <w:rFonts w:ascii="仿宋_gb2312" w:hAnsi="仿宋_gb2312" w:cs="仿宋_gb2312" w:eastAsia="仿宋_gb2312"/>
                <w:sz w:val="21"/>
              </w:rPr>
              <w:t>1.系统设置</w:t>
            </w:r>
          </w:p>
          <w:p>
            <w:pPr>
              <w:pStyle w:val="null3"/>
              <w:jc w:val="left"/>
            </w:pPr>
            <w:r>
              <w:rPr>
                <w:rFonts w:ascii="仿宋_gb2312" w:hAnsi="仿宋_gb2312" w:cs="仿宋_gb2312" w:eastAsia="仿宋_gb2312"/>
                <w:sz w:val="21"/>
              </w:rPr>
              <w:t>管理员能对供应商、客户、库区、仓位、容器、商品信息等基础信息进行初始化设置。</w:t>
            </w:r>
          </w:p>
          <w:p>
            <w:pPr>
              <w:pStyle w:val="null3"/>
              <w:jc w:val="left"/>
            </w:pPr>
            <w:r>
              <w:rPr>
                <w:rFonts w:ascii="仿宋_gb2312" w:hAnsi="仿宋_gb2312" w:cs="仿宋_gb2312" w:eastAsia="仿宋_gb2312"/>
                <w:sz w:val="21"/>
              </w:rPr>
              <w:t>2.用户管理</w:t>
            </w:r>
          </w:p>
          <w:p>
            <w:pPr>
              <w:pStyle w:val="null3"/>
              <w:jc w:val="left"/>
            </w:pPr>
            <w:r>
              <w:rPr>
                <w:rFonts w:ascii="仿宋_gb2312" w:hAnsi="仿宋_gb2312" w:cs="仿宋_gb2312" w:eastAsia="仿宋_gb2312"/>
                <w:sz w:val="21"/>
              </w:rPr>
              <w:t>2.1管理员不仅能够对基础数据进行配置外还可以对实训进行管理，教务管理能对老师、班级、学生行管理，成绩管理模块包含所有学生实训实操成绩，管理员能对学生实操情况以及实操过程中提交的操作图进行查看。</w:t>
            </w:r>
          </w:p>
          <w:p>
            <w:pPr>
              <w:pStyle w:val="null3"/>
              <w:jc w:val="left"/>
            </w:pPr>
            <w:r>
              <w:rPr>
                <w:rFonts w:ascii="仿宋_gb2312" w:hAnsi="仿宋_gb2312" w:cs="仿宋_gb2312" w:eastAsia="仿宋_gb2312"/>
                <w:sz w:val="21"/>
              </w:rPr>
              <w:t>2.2老师能对配置的客户、供应商、容器、商品、库区、仓位等进行数据查询，可以新增实训编辑实训，发布实训任务，并且管理实训任务的开启关闭。教务管理，老师能新增班级单个或者批量导入学生账号；老师能对学生成绩进行管理，并且根据学生操作过程中提交的操作截图进行评分，系统提供软件客观评分可视化图形包括实训过程中入库信息录入、重型货架出库操作、密集库拣货、电子标签拣货、密集库电子标签联合拣货、装车配载各项得分，学生综合得分由老师评分和系统评分按照比例综合得出。</w:t>
            </w:r>
          </w:p>
          <w:p>
            <w:pPr>
              <w:pStyle w:val="null3"/>
              <w:jc w:val="left"/>
            </w:pPr>
            <w:r>
              <w:rPr>
                <w:rFonts w:ascii="仿宋_gb2312" w:hAnsi="仿宋_gb2312" w:cs="仿宋_gb2312" w:eastAsia="仿宋_gb2312"/>
                <w:sz w:val="21"/>
              </w:rPr>
              <w:t>3.智慧物流仓储作业3D虚拟仿真需满足数据驱动通过动态库存、订单数据进行三维场景货物动态模拟，三维场景呈现包含：</w:t>
            </w:r>
          </w:p>
          <w:p>
            <w:pPr>
              <w:pStyle w:val="null3"/>
              <w:jc w:val="left"/>
            </w:pPr>
            <w:r>
              <w:rPr>
                <w:rFonts w:ascii="仿宋_gb2312" w:hAnsi="仿宋_gb2312" w:cs="仿宋_gb2312" w:eastAsia="仿宋_gb2312"/>
                <w:sz w:val="21"/>
              </w:rPr>
              <w:t>3.1收发货月台，能实现拥有独立的收、发货月台。</w:t>
            </w:r>
          </w:p>
          <w:p>
            <w:pPr>
              <w:pStyle w:val="null3"/>
              <w:jc w:val="left"/>
            </w:pPr>
            <w:r>
              <w:rPr>
                <w:rFonts w:ascii="仿宋_gb2312" w:hAnsi="仿宋_gb2312" w:cs="仿宋_gb2312" w:eastAsia="仿宋_gb2312"/>
                <w:sz w:val="21"/>
              </w:rPr>
              <w:t>3.2重型货架区包含不低于192个仓位的重型货架存储区，重型货架货物根据后台数据动态生成，作业中可以选择要出入库的仓位进行本仓位的出入库相关操作。</w:t>
            </w:r>
          </w:p>
          <w:p>
            <w:pPr>
              <w:pStyle w:val="null3"/>
              <w:jc w:val="left"/>
            </w:pPr>
            <w:r>
              <w:rPr>
                <w:rFonts w:ascii="仿宋_gb2312" w:hAnsi="仿宋_gb2312" w:cs="仿宋_gb2312" w:eastAsia="仿宋_gb2312"/>
                <w:sz w:val="21"/>
              </w:rPr>
              <w:t>3.3密集库拣货区含不低于400个自动化拣货储位，并且包含自动化拣货工作台，输送线以及智能货到人拣货系统。</w:t>
            </w:r>
          </w:p>
          <w:p>
            <w:pPr>
              <w:pStyle w:val="null3"/>
              <w:jc w:val="left"/>
            </w:pPr>
            <w:r>
              <w:rPr>
                <w:rFonts w:ascii="仿宋_gb2312" w:hAnsi="仿宋_gb2312" w:cs="仿宋_gb2312" w:eastAsia="仿宋_gb2312"/>
                <w:sz w:val="21"/>
              </w:rPr>
              <w:t>3.4电子标签区包含不低于54个拣货位，每个拣货位可根据动态订单信息亮灯，作业人员按灯拣货，所拣商品通过自动化输送线输送打包台进行打包。</w:t>
            </w:r>
          </w:p>
          <w:p>
            <w:pPr>
              <w:pStyle w:val="null3"/>
              <w:jc w:val="left"/>
            </w:pPr>
            <w:r>
              <w:rPr>
                <w:rFonts w:ascii="仿宋_gb2312" w:hAnsi="仿宋_gb2312" w:cs="仿宋_gb2312" w:eastAsia="仿宋_gb2312"/>
                <w:sz w:val="21"/>
              </w:rPr>
              <w:t>3.5立体仓库区包含不低于240个储位以及多条立库出货口和打包台，根据订单信息按照系统操作自动拣选商品通过自动化输送线输输送至打包台。</w:t>
            </w:r>
          </w:p>
          <w:p>
            <w:pPr>
              <w:pStyle w:val="null3"/>
              <w:jc w:val="left"/>
            </w:pPr>
            <w:r>
              <w:rPr>
                <w:rFonts w:ascii="仿宋_gb2312" w:hAnsi="仿宋_gb2312" w:cs="仿宋_gb2312" w:eastAsia="仿宋_gb2312"/>
                <w:sz w:val="21"/>
              </w:rPr>
              <w:t>3.6重散拣货区，包含不低于12个散货拣货位，配合电子标签拣选台车进行播种拣货。</w:t>
            </w:r>
          </w:p>
          <w:p>
            <w:pPr>
              <w:pStyle w:val="null3"/>
              <w:jc w:val="left"/>
            </w:pPr>
            <w:r>
              <w:rPr>
                <w:rFonts w:ascii="仿宋_gb2312" w:hAnsi="仿宋_gb2312" w:cs="仿宋_gb2312" w:eastAsia="仿宋_gb2312"/>
                <w:sz w:val="21"/>
              </w:rPr>
              <w:t>3.7电子播种墙拣货区包含货到人和电子播种墙拣选系统，系统包含不低于16个料架，不少于4个载货机器人，电子播种墙每套不低于12个播种位。</w:t>
            </w:r>
          </w:p>
          <w:p>
            <w:pPr>
              <w:pStyle w:val="null3"/>
              <w:jc w:val="left"/>
            </w:pPr>
            <w:r>
              <w:rPr>
                <w:rFonts w:ascii="仿宋_gb2312" w:hAnsi="仿宋_gb2312" w:cs="仿宋_gb2312" w:eastAsia="仿宋_gb2312"/>
                <w:sz w:val="21"/>
              </w:rPr>
              <w:t>3.8轻型货架电子播种墙拣货区，轻型货架不低于24个拣货位，配合电子播种墙进行播种拣货。</w:t>
            </w:r>
          </w:p>
          <w:p>
            <w:pPr>
              <w:pStyle w:val="null3"/>
              <w:jc w:val="left"/>
            </w:pPr>
            <w:r>
              <w:rPr>
                <w:rFonts w:ascii="仿宋_gb2312" w:hAnsi="仿宋_gb2312" w:cs="仿宋_gb2312" w:eastAsia="仿宋_gb2312"/>
                <w:sz w:val="21"/>
              </w:rPr>
              <w:t>4.智慧物流仓储作业3D虚拟仿真模拟仓储作业入库，能够制作入库计划、入库作业操作、RF组托、RF上架；出库作业，订单管理、重型货架拣货、立体仓库拣货、密集库拣货、电子标签拣货、轻型货架拣货、电子播种墙拣货、拣选台车拣货；模拟月台集货、装车配载等作业流程。</w:t>
            </w:r>
          </w:p>
          <w:p>
            <w:pPr>
              <w:pStyle w:val="null3"/>
              <w:jc w:val="left"/>
            </w:pPr>
            <w:r>
              <w:rPr>
                <w:rFonts w:ascii="仿宋_gb2312" w:hAnsi="仿宋_gb2312" w:cs="仿宋_gb2312" w:eastAsia="仿宋_gb2312"/>
                <w:sz w:val="21"/>
              </w:rPr>
              <w:t>▲4.1收货入库作业，模拟系统根据实训任务生成入库作业商品，根据收货检验单制作入库计划，保存入库计划单数据，生成入库计划单编号发送作业，入库作业单列表状态为待入库，提供查看入库作业单详细信息。容器设置提供打印托盘标签功能。模拟在3D虚拟仓库中触发入库作业任务手持终端接收入库作业单信息，模拟入库组托操作。模拟完成组托，将组托完的货物移到待上架区，模拟操作地牛进行移货过程。商品移动到待上架区的货进行上架作业，进行收货上架模拟，第一层的货物模拟地牛进行入库，上层货物模拟叉车进行入库，模拟提交操作数据至数据库，完成入库操作。</w:t>
            </w:r>
          </w:p>
          <w:p>
            <w:pPr>
              <w:pStyle w:val="null3"/>
              <w:jc w:val="left"/>
            </w:pPr>
            <w:r>
              <w:rPr>
                <w:rFonts w:ascii="仿宋_gb2312" w:hAnsi="仿宋_gb2312" w:cs="仿宋_gb2312" w:eastAsia="仿宋_gb2312"/>
                <w:sz w:val="21"/>
              </w:rPr>
              <w:t>4.2出库拣货作业，系统能支持基于库存商品以及多库自动订单综合处理的多种出库实训操作；模拟重型货架、立体仓库、货到人密集库、电子标签、轻型货架、电子播种墙、电子标签拣选台车等多种拣货流程。</w:t>
            </w:r>
          </w:p>
          <w:p>
            <w:pPr>
              <w:pStyle w:val="null3"/>
              <w:jc w:val="left"/>
            </w:pPr>
            <w:r>
              <w:rPr>
                <w:rFonts w:ascii="仿宋_gb2312" w:hAnsi="仿宋_gb2312" w:cs="仿宋_gb2312" w:eastAsia="仿宋_gb2312"/>
                <w:sz w:val="21"/>
              </w:rPr>
              <w:t>4.2.1订单管理，用户能创建订单，来模拟客户发送的客户订单。</w:t>
            </w:r>
          </w:p>
          <w:p>
            <w:pPr>
              <w:pStyle w:val="null3"/>
              <w:jc w:val="left"/>
            </w:pPr>
            <w:r>
              <w:rPr>
                <w:rFonts w:ascii="仿宋_gb2312" w:hAnsi="仿宋_gb2312" w:cs="仿宋_gb2312" w:eastAsia="仿宋_gb2312"/>
                <w:sz w:val="21"/>
              </w:rPr>
              <w:t>4.2.2出库管理，出库时能支持包括拣选计划发送、计划撤销发送、拣选作业、撤销作业、出库审批、作业打印预览等功能。</w:t>
            </w:r>
          </w:p>
          <w:p>
            <w:pPr>
              <w:pStyle w:val="null3"/>
              <w:jc w:val="left"/>
            </w:pPr>
            <w:r>
              <w:rPr>
                <w:rFonts w:ascii="仿宋_gb2312" w:hAnsi="仿宋_gb2312" w:cs="仿宋_gb2312" w:eastAsia="仿宋_gb2312"/>
                <w:sz w:val="21"/>
              </w:rPr>
              <w:t>▲4.2.3重型货架出库，模拟手持接收系统出库作业数据，三维作业场景中根据手持出库计划信息找到指定仓位，获取仓位编码进行货物下架。</w:t>
            </w:r>
          </w:p>
          <w:p>
            <w:pPr>
              <w:pStyle w:val="null3"/>
              <w:jc w:val="left"/>
            </w:pPr>
            <w:r>
              <w:rPr>
                <w:rFonts w:ascii="仿宋_gb2312" w:hAnsi="仿宋_gb2312" w:cs="仿宋_gb2312" w:eastAsia="仿宋_gb2312"/>
                <w:sz w:val="21"/>
              </w:rPr>
              <w:t>4.2.4立体仓库出库，立库处理信息系统发送的拣货任务，模拟自动化系统将订单对应的出库商品输送至立库拣货口。</w:t>
            </w:r>
          </w:p>
          <w:p>
            <w:pPr>
              <w:pStyle w:val="null3"/>
              <w:jc w:val="left"/>
            </w:pPr>
            <w:r>
              <w:rPr>
                <w:rFonts w:ascii="仿宋_gb2312" w:hAnsi="仿宋_gb2312" w:cs="仿宋_gb2312" w:eastAsia="仿宋_gb2312"/>
                <w:sz w:val="21"/>
              </w:rPr>
              <w:t>4.2.5电子标签台车拣货，模拟电子标签台车拣货系统接收拣货任务、生成拣选作业单、台车扫码枪扫描待拣商品、电子标签拣货位亮灯、拣取对应种类和数量的商品、灭掉电子标签指示灯、打包装箱流程。</w:t>
            </w:r>
          </w:p>
          <w:p>
            <w:pPr>
              <w:pStyle w:val="null3"/>
              <w:jc w:val="left"/>
            </w:pPr>
            <w:r>
              <w:rPr>
                <w:rFonts w:ascii="仿宋_gb2312" w:hAnsi="仿宋_gb2312" w:cs="仿宋_gb2312" w:eastAsia="仿宋_gb2312"/>
                <w:sz w:val="21"/>
              </w:rPr>
              <w:t>4.2.6、轻型货架拣货和BtoC播种，模拟RF手持接收轻型货架库区拣货任务，软件提供轻型货架所有商品拣货位可模拟扫描、商品可按照拣货需要任意拣货。电子播种墙BtoC播种，能模拟对运输到播种区的波次货品用条码枪逐个扫描条形码，并依照播种墙货格的亮灯指示，把商品播放入亮灯的货格，当播种墙背面的分拣货格亮灯指示并显示订单货品数时，该订单货品已拣货齐、播种墙背面将亮灯货格的订单进行复核打包，移货至月台。</w:t>
            </w:r>
          </w:p>
          <w:p>
            <w:pPr>
              <w:pStyle w:val="null3"/>
              <w:jc w:val="left"/>
            </w:pPr>
            <w:r>
              <w:rPr>
                <w:rFonts w:ascii="仿宋_gb2312" w:hAnsi="仿宋_gb2312" w:cs="仿宋_gb2312" w:eastAsia="仿宋_gb2312"/>
                <w:sz w:val="21"/>
              </w:rPr>
              <w:t>▲4.2.7货到人密集库、电子标签拣货，模拟货到人密集库接收拣货任务，添加周转箱至密集库拣货平台输送线，商品能通过自动化输送线输送至相应出口和拣货区。订单在合并处理中能将同一客户同时在密集库和电子标签货区拣货的商品批次处理，摘取提示的指定数量的商品到周转箱、灭指示灯，输送货物到货物出货口进行复核打包，移货至月台。</w:t>
            </w:r>
          </w:p>
          <w:p>
            <w:pPr>
              <w:pStyle w:val="null3"/>
              <w:jc w:val="left"/>
            </w:pPr>
            <w:r>
              <w:rPr>
                <w:rFonts w:ascii="仿宋_gb2312" w:hAnsi="仿宋_gb2312" w:cs="仿宋_gb2312" w:eastAsia="仿宋_gb2312"/>
                <w:sz w:val="21"/>
              </w:rPr>
              <w:t>4.2.8月台集货，模拟重型货架、立体仓库、电子标签、货到人密集库等库区出库商品月台集货。</w:t>
            </w:r>
          </w:p>
          <w:p>
            <w:pPr>
              <w:pStyle w:val="null3"/>
              <w:jc w:val="left"/>
            </w:pPr>
            <w:r>
              <w:rPr>
                <w:rFonts w:ascii="仿宋_gb2312" w:hAnsi="仿宋_gb2312" w:cs="仿宋_gb2312" w:eastAsia="仿宋_gb2312"/>
                <w:sz w:val="21"/>
              </w:rPr>
              <w:t>4.2.9装车配载，模拟不少于两种规格的配载车辆，可根据配载需要选择相应配载车，模拟按照装箱单信息进行货物装车配载。</w:t>
            </w:r>
          </w:p>
          <w:p>
            <w:pPr>
              <w:pStyle w:val="null3"/>
              <w:jc w:val="left"/>
            </w:pPr>
            <w:r>
              <w:rPr>
                <w:rFonts w:ascii="仿宋_gb2312" w:hAnsi="仿宋_gb2312" w:cs="仿宋_gb2312" w:eastAsia="仿宋_gb2312"/>
                <w:sz w:val="21"/>
              </w:rPr>
              <w:t>三、核心功能演示</w:t>
            </w:r>
          </w:p>
          <w:p>
            <w:pPr>
              <w:pStyle w:val="null3"/>
              <w:jc w:val="both"/>
            </w:pPr>
            <w:r>
              <w:rPr>
                <w:rFonts w:ascii="仿宋_gb2312" w:hAnsi="仿宋_gb2312" w:cs="仿宋_gb2312" w:eastAsia="仿宋_gb2312"/>
                <w:sz w:val="21"/>
              </w:rPr>
              <w:t>【对第</w:t>
            </w:r>
            <w:r>
              <w:rPr>
                <w:rFonts w:ascii="仿宋_gb2312" w:hAnsi="仿宋_gb2312" w:cs="仿宋_gb2312" w:eastAsia="仿宋_gb2312"/>
                <w:sz w:val="21"/>
              </w:rPr>
              <w:t>1项“系统设置”进行演示，对第2项“用户管理”中的2.1、2.2内容进行演示。】</w:t>
            </w:r>
          </w:p>
          <w:p>
            <w:pPr>
              <w:pStyle w:val="null3"/>
              <w:jc w:val="both"/>
            </w:pPr>
            <w:r>
              <w:rPr>
                <w:rFonts w:ascii="仿宋_gb2312" w:hAnsi="仿宋_gb2312" w:cs="仿宋_gb2312" w:eastAsia="仿宋_gb2312"/>
                <w:sz w:val="21"/>
              </w:rPr>
              <w:t>★功能模块3：国际多式联运</w:t>
            </w:r>
          </w:p>
          <w:p>
            <w:pPr>
              <w:pStyle w:val="null3"/>
              <w:jc w:val="both"/>
            </w:pPr>
            <w:r>
              <w:rPr>
                <w:rFonts w:ascii="仿宋_gb2312" w:hAnsi="仿宋_gb2312" w:cs="仿宋_gb2312" w:eastAsia="仿宋_gb2312"/>
                <w:sz w:val="21"/>
              </w:rPr>
              <w:t>系统能满足通过构建全球运输图景，通过模拟仿真的形式，模拟了海洋运输、航空运输、公路运输、铁路运输、多式联运等不同运输业务流程的全部作业过程。能帮助学生了解运输流程知识、单证缮制知识、货物运输组织相关知识。系统按照最新的运输法规进行设计，对不同贸易术语、组织转运及报关流程等细节知识点均进行了细节的呈现。</w:t>
            </w:r>
          </w:p>
          <w:p>
            <w:pPr>
              <w:pStyle w:val="null3"/>
              <w:jc w:val="both"/>
            </w:pPr>
            <w:r>
              <w:rPr>
                <w:rFonts w:ascii="仿宋_gb2312" w:hAnsi="仿宋_gb2312" w:cs="仿宋_gb2312" w:eastAsia="仿宋_gb2312"/>
                <w:sz w:val="21"/>
              </w:rPr>
              <w:t>一、产品功能</w:t>
            </w:r>
          </w:p>
          <w:p>
            <w:pPr>
              <w:pStyle w:val="null3"/>
              <w:jc w:val="both"/>
            </w:pPr>
            <w:r>
              <w:rPr>
                <w:rFonts w:ascii="仿宋_gb2312" w:hAnsi="仿宋_gb2312" w:cs="仿宋_gb2312" w:eastAsia="仿宋_gb2312"/>
                <w:sz w:val="21"/>
              </w:rPr>
              <w:t>系统按照科学的教学方法进行设计，需支持小组分角色进行任务，支持同一个学生扮演一个或多个角色进行配合作业，支持案例编制与复用。</w:t>
            </w:r>
          </w:p>
          <w:p>
            <w:pPr>
              <w:pStyle w:val="null3"/>
              <w:jc w:val="both"/>
            </w:pPr>
            <w:r>
              <w:rPr>
                <w:rFonts w:ascii="仿宋_gb2312" w:hAnsi="仿宋_gb2312" w:cs="仿宋_gb2312" w:eastAsia="仿宋_gb2312"/>
                <w:sz w:val="21"/>
              </w:rPr>
              <w:t>教学系统需根据不同作业及运输场景，设置不同运输业务系统，运输业务系统在合理的业务场景下，即能单独作业，也可联合其他业务系统串联作业。主要包含业务系统功能如下：</w:t>
            </w:r>
          </w:p>
          <w:p>
            <w:pPr>
              <w:pStyle w:val="null3"/>
              <w:jc w:val="both"/>
            </w:pPr>
            <w:r>
              <w:rPr>
                <w:rFonts w:ascii="仿宋_gb2312" w:hAnsi="仿宋_gb2312" w:cs="仿宋_gb2312" w:eastAsia="仿宋_gb2312"/>
                <w:sz w:val="21"/>
              </w:rPr>
              <w:t>【商贸交易系统】</w:t>
            </w:r>
          </w:p>
          <w:p>
            <w:pPr>
              <w:pStyle w:val="null3"/>
              <w:jc w:val="both"/>
            </w:pPr>
            <w:r>
              <w:rPr>
                <w:rFonts w:ascii="仿宋_gb2312" w:hAnsi="仿宋_gb2312" w:cs="仿宋_gb2312" w:eastAsia="仿宋_gb2312"/>
                <w:sz w:val="21"/>
              </w:rPr>
              <w:t>该系统模拟商贸企业的主要贸易活动及物流活动，系统能同时支持卖方及买方的业务视角，实现货物流通信息的流转，也支持与其他业务系统对接，完成如商业发票、场站收据十联单等需要多方业务角色参与的作业流程。</w:t>
            </w:r>
          </w:p>
          <w:p>
            <w:pPr>
              <w:pStyle w:val="null3"/>
              <w:jc w:val="both"/>
            </w:pPr>
            <w:r>
              <w:rPr>
                <w:rFonts w:ascii="仿宋_gb2312" w:hAnsi="仿宋_gb2312" w:cs="仿宋_gb2312" w:eastAsia="仿宋_gb2312"/>
                <w:sz w:val="21"/>
              </w:rPr>
              <w:t>能支持从商贸企业视角，模拟企业的贸易活动及物流活动，主要功能包括：邮件管理（支持询盘、还盘，问题跟踪回复邮件处理），能支持商贸合同编制与签订，支持缮制装箱单、提单补料单、货物商业发票、装箱单</w:t>
            </w:r>
            <w:r>
              <w:rPr>
                <w:rFonts w:ascii="仿宋_gb2312" w:hAnsi="仿宋_gb2312" w:cs="仿宋_gb2312" w:eastAsia="仿宋_gb2312"/>
                <w:sz w:val="21"/>
              </w:rPr>
              <w:t>P/L，支持场站收据十联单查阅处理、支持查阅、处理收付到的信用证、支持处理付款交单通知书、普通税费单、提单、到货通知书等关键业务单证。</w:t>
            </w:r>
          </w:p>
          <w:p>
            <w:pPr>
              <w:pStyle w:val="null3"/>
              <w:jc w:val="both"/>
            </w:pPr>
            <w:r>
              <w:rPr>
                <w:rFonts w:ascii="仿宋_gb2312" w:hAnsi="仿宋_gb2312" w:cs="仿宋_gb2312" w:eastAsia="仿宋_gb2312"/>
                <w:sz w:val="21"/>
              </w:rPr>
              <w:t>能支持对托运货物进行装箱配载，系统能支持生成</w:t>
            </w:r>
            <w:r>
              <w:rPr>
                <w:rFonts w:ascii="仿宋_gb2312" w:hAnsi="仿宋_gb2312" w:cs="仿宋_gb2312" w:eastAsia="仿宋_gb2312"/>
                <w:sz w:val="21"/>
              </w:rPr>
              <w:t>3D装箱配载结果视图，能支持从里到外、从底到上等多种转载方式。</w:t>
            </w:r>
          </w:p>
          <w:p>
            <w:pPr>
              <w:pStyle w:val="null3"/>
              <w:jc w:val="both"/>
            </w:pPr>
            <w:r>
              <w:rPr>
                <w:rFonts w:ascii="仿宋_gb2312" w:hAnsi="仿宋_gb2312" w:cs="仿宋_gb2312" w:eastAsia="仿宋_gb2312"/>
                <w:sz w:val="21"/>
              </w:rPr>
              <w:t>【货运代理系统】</w:t>
            </w:r>
          </w:p>
          <w:p>
            <w:pPr>
              <w:pStyle w:val="null3"/>
              <w:jc w:val="both"/>
            </w:pPr>
            <w:r>
              <w:rPr>
                <w:rFonts w:ascii="仿宋_gb2312" w:hAnsi="仿宋_gb2312" w:cs="仿宋_gb2312" w:eastAsia="仿宋_gb2312"/>
                <w:sz w:val="21"/>
              </w:rPr>
              <w:t>该系统模拟商贸企业、货代企业在货运代理环节的主要贸易活动及物流活动，能支持商贸企业、货运代理企业在本系统完成主要单证缮制与流转，也支持与其他系统对接，完成需要多方业务角色参与的作业流程。</w:t>
            </w:r>
          </w:p>
          <w:p>
            <w:pPr>
              <w:pStyle w:val="null3"/>
              <w:jc w:val="both"/>
            </w:pPr>
            <w:r>
              <w:rPr>
                <w:rFonts w:ascii="仿宋_gb2312" w:hAnsi="仿宋_gb2312" w:cs="仿宋_gb2312" w:eastAsia="仿宋_gb2312"/>
                <w:sz w:val="21"/>
              </w:rPr>
              <w:t>需满足支持模拟商贸企业在系统完成场站收据十联单的缮制，支持完成货物交接申请单的缮制，支持国际货代授权委托书的缮制，支持代理报关委托书的缮制，支持商贸企业将以上缮制单证发送至不同系统由不同角色进行完善签发处理。</w:t>
            </w:r>
          </w:p>
          <w:p>
            <w:pPr>
              <w:pStyle w:val="null3"/>
              <w:jc w:val="both"/>
            </w:pPr>
            <w:r>
              <w:rPr>
                <w:rFonts w:ascii="仿宋_gb2312" w:hAnsi="仿宋_gb2312" w:cs="仿宋_gb2312" w:eastAsia="仿宋_gb2312"/>
                <w:sz w:val="21"/>
              </w:rPr>
              <w:t>能支持模拟货运代理企业，完成运输方案设计，其中运输方案设计包括海运方案、铁运方案、空运方案、公路运输方案，不同运输方式的联合运输方案，能支持运输路线图绘制，方案成本汇算，如运费、订舱费、报关费、商检费、产装费、电放费等多种不同费用项；能支持货物接单审核签订、国际货代授权委托书、代理报关委托书签订，场站收据十联单的审核与交发流转，设备交接单、提单补料单、普通税费单、提单、国际海运业务运输专用发票的接收处理，能支持到货通知书审核转发、支持提货单、交货记录管理，支持仓库货物接受、支持制定航空配舱方案。</w:t>
            </w:r>
          </w:p>
          <w:p>
            <w:pPr>
              <w:pStyle w:val="null3"/>
              <w:jc w:val="both"/>
            </w:pPr>
            <w:r>
              <w:rPr>
                <w:rFonts w:ascii="仿宋_gb2312" w:hAnsi="仿宋_gb2312" w:cs="仿宋_gb2312" w:eastAsia="仿宋_gb2312"/>
                <w:sz w:val="21"/>
              </w:rPr>
              <w:t>【海运业务系统】</w:t>
            </w:r>
          </w:p>
          <w:p>
            <w:pPr>
              <w:pStyle w:val="null3"/>
              <w:jc w:val="both"/>
            </w:pPr>
            <w:r>
              <w:rPr>
                <w:rFonts w:ascii="仿宋_gb2312" w:hAnsi="仿宋_gb2312" w:cs="仿宋_gb2312" w:eastAsia="仿宋_gb2312"/>
                <w:sz w:val="21"/>
              </w:rPr>
              <w:t>该系统模拟了货运代理企业、船公司、港口经营方、集卡车队等不同角色在海运过程中的主要业务活动，能支持货运代理企业、船公司、港口经营方、集卡车队在本系统完成主要单证的缮制、交互及物流活动的规划，同时能支持与其他业务系统对接，完成需要多方业务角色参与的作业流程。</w:t>
            </w:r>
          </w:p>
          <w:p>
            <w:pPr>
              <w:pStyle w:val="null3"/>
              <w:jc w:val="both"/>
            </w:pPr>
            <w:r>
              <w:rPr>
                <w:rFonts w:ascii="仿宋_gb2312" w:hAnsi="仿宋_gb2312" w:cs="仿宋_gb2312" w:eastAsia="仿宋_gb2312"/>
                <w:sz w:val="21"/>
              </w:rPr>
              <w:t>能支持模拟货代企业完成设备交接单处理，完成集装箱货物订舱单的缮制，查阅已发布班轮船期表，创建换单申请。</w:t>
            </w:r>
          </w:p>
          <w:p>
            <w:pPr>
              <w:pStyle w:val="null3"/>
              <w:jc w:val="both"/>
            </w:pPr>
            <w:r>
              <w:rPr>
                <w:rFonts w:ascii="仿宋_gb2312" w:hAnsi="仿宋_gb2312" w:cs="仿宋_gb2312" w:eastAsia="仿宋_gb2312"/>
                <w:sz w:val="21"/>
              </w:rPr>
              <w:t>能支持船公司处理集装箱货物订舱单，缮制载货清单、提单、载货运费清单，支持配载图及积载图的设计，能支持对换单申请进行审核，支持创建班轮船期表，能支持缮制设备交接单，其中设备交接单包括出场单与进场单，能支持处理提单补料单，能支持创建装货清单，能支持缮制到货通知书、提货单与交货记录。</w:t>
            </w:r>
          </w:p>
          <w:p>
            <w:pPr>
              <w:pStyle w:val="null3"/>
              <w:jc w:val="both"/>
            </w:pPr>
            <w:r>
              <w:rPr>
                <w:rFonts w:ascii="仿宋_gb2312" w:hAnsi="仿宋_gb2312" w:cs="仿宋_gb2312" w:eastAsia="仿宋_gb2312"/>
                <w:sz w:val="21"/>
              </w:rPr>
              <w:t>能支持模拟车队完成提箱预约申请，创建提空箱业务单、返重预约单，堆场交货单，完成货物装船申请、货物装船、货物卸船记录。</w:t>
            </w:r>
          </w:p>
          <w:p>
            <w:pPr>
              <w:pStyle w:val="null3"/>
              <w:jc w:val="both"/>
            </w:pPr>
            <w:r>
              <w:rPr>
                <w:rFonts w:ascii="仿宋_gb2312" w:hAnsi="仿宋_gb2312" w:cs="仿宋_gb2312" w:eastAsia="仿宋_gb2312"/>
                <w:sz w:val="21"/>
              </w:rPr>
              <w:t>能支持模拟港口经营方，完成货物装船申请、货物装船审核单处理，集装箱管理、堆场调度监控，堆场调度监控支持堆场平面图及</w:t>
            </w:r>
            <w:r>
              <w:rPr>
                <w:rFonts w:ascii="仿宋_gb2312" w:hAnsi="仿宋_gb2312" w:cs="仿宋_gb2312" w:eastAsia="仿宋_gb2312"/>
                <w:sz w:val="21"/>
              </w:rPr>
              <w:t>3D全景图2种视图，对堆场的箱位、集装箱位置、数量、箱型信息进行监控，监控数据可根据业务数据变化而变化，能支持设备交接单，实现货物装卸单、提箱预约单、返重预约单的审核，支持堆场收货与设备交接单的处理。</w:t>
            </w:r>
          </w:p>
          <w:p>
            <w:pPr>
              <w:pStyle w:val="null3"/>
              <w:jc w:val="both"/>
            </w:pPr>
            <w:r>
              <w:rPr>
                <w:rFonts w:ascii="仿宋_gb2312" w:hAnsi="仿宋_gb2312" w:cs="仿宋_gb2312" w:eastAsia="仿宋_gb2312"/>
                <w:sz w:val="21"/>
              </w:rPr>
              <w:t>【公路物流系统】</w:t>
            </w:r>
          </w:p>
          <w:p>
            <w:pPr>
              <w:pStyle w:val="null3"/>
              <w:jc w:val="both"/>
            </w:pPr>
            <w:r>
              <w:rPr>
                <w:rFonts w:ascii="仿宋_gb2312" w:hAnsi="仿宋_gb2312" w:cs="仿宋_gb2312" w:eastAsia="仿宋_gb2312"/>
                <w:sz w:val="21"/>
              </w:rPr>
              <w:t>该系统模拟了商贸企业、货代企业、公路运输公司、司机等不同角色在公路货物运输过程中的业务活动，需支持商贸企业、货代企业、公路运输公司、司机等不同角色在本系统中完成主要业务单证的缮制及主要物流活动的规划与实施。同时支持与其他业务系统对接，完成需要多方业务角色参与的业务流程。</w:t>
            </w:r>
          </w:p>
          <w:p>
            <w:pPr>
              <w:pStyle w:val="null3"/>
              <w:jc w:val="both"/>
            </w:pPr>
            <w:r>
              <w:rPr>
                <w:rFonts w:ascii="仿宋_gb2312" w:hAnsi="仿宋_gb2312" w:cs="仿宋_gb2312" w:eastAsia="仿宋_gb2312"/>
                <w:sz w:val="21"/>
              </w:rPr>
              <w:t>需支持商贸企业、货代企业完成订车服务、缮制公路托运单、参与确认货运任务状态。</w:t>
            </w:r>
          </w:p>
          <w:p>
            <w:pPr>
              <w:pStyle w:val="null3"/>
              <w:jc w:val="both"/>
            </w:pPr>
            <w:r>
              <w:rPr>
                <w:rFonts w:ascii="仿宋_gb2312" w:hAnsi="仿宋_gb2312" w:cs="仿宋_gb2312" w:eastAsia="仿宋_gb2312"/>
                <w:sz w:val="21"/>
              </w:rPr>
              <w:t>需支持公路运输公司完成车型管理、司机管理、车辆管理，对订车需求进行处理，缮制货物装箱单进行接收与确认，对公路托运单进行接收与审核，根据业务运单完成运输计划制定。其中运输计划选择不同车型、车辆，完成包含多个运单及运单起点、终点的运输路线设计，需支持对车辆内货物的装箱配载设计，装箱配载方案支持展示</w:t>
            </w:r>
            <w:r>
              <w:rPr>
                <w:rFonts w:ascii="仿宋_gb2312" w:hAnsi="仿宋_gb2312" w:cs="仿宋_gb2312" w:eastAsia="仿宋_gb2312"/>
                <w:sz w:val="21"/>
              </w:rPr>
              <w:t>3D装配结果。</w:t>
            </w:r>
          </w:p>
          <w:p>
            <w:pPr>
              <w:pStyle w:val="null3"/>
              <w:jc w:val="both"/>
            </w:pPr>
            <w:r>
              <w:rPr>
                <w:rFonts w:ascii="仿宋_gb2312" w:hAnsi="仿宋_gb2312" w:cs="仿宋_gb2312" w:eastAsia="仿宋_gb2312"/>
                <w:sz w:val="21"/>
              </w:rPr>
              <w:t>需支持按运输计划生成针对司机的运输任务，货运任务支持运输路线指引，司机能根据作业结果确认运输状态，支持对设备交接单进行接收处理、支持对装箱单进行确认。</w:t>
            </w:r>
          </w:p>
          <w:p>
            <w:pPr>
              <w:pStyle w:val="null3"/>
              <w:jc w:val="both"/>
            </w:pPr>
            <w:r>
              <w:rPr>
                <w:rFonts w:ascii="仿宋_gb2312" w:hAnsi="仿宋_gb2312" w:cs="仿宋_gb2312" w:eastAsia="仿宋_gb2312"/>
                <w:sz w:val="21"/>
              </w:rPr>
              <w:t>【航空物流系统】</w:t>
            </w:r>
          </w:p>
          <w:p>
            <w:pPr>
              <w:pStyle w:val="null3"/>
              <w:jc w:val="both"/>
            </w:pPr>
            <w:r>
              <w:rPr>
                <w:rFonts w:ascii="仿宋_gb2312" w:hAnsi="仿宋_gb2312" w:cs="仿宋_gb2312" w:eastAsia="仿宋_gb2312"/>
                <w:sz w:val="21"/>
              </w:rPr>
              <w:t>该系统模拟了货代企业、航空公司等不同角色在航空货物运输过程中的业务活动，需支持货代企业、航空公司等不同角色在本系统中完成主要业务单证缮制、交互及主要物流活动的规划与实施。</w:t>
            </w:r>
          </w:p>
          <w:p>
            <w:pPr>
              <w:pStyle w:val="null3"/>
              <w:jc w:val="both"/>
            </w:pPr>
            <w:r>
              <w:rPr>
                <w:rFonts w:ascii="仿宋_gb2312" w:hAnsi="仿宋_gb2312" w:cs="仿宋_gb2312" w:eastAsia="仿宋_gb2312"/>
                <w:sz w:val="21"/>
              </w:rPr>
              <w:t>需支持货代企业完成航班列表查询，完成正式订舱、主单制单、及集装器申领，支持对分运单及到货通知书的缮制。</w:t>
            </w:r>
          </w:p>
          <w:p>
            <w:pPr>
              <w:pStyle w:val="null3"/>
              <w:jc w:val="both"/>
            </w:pPr>
            <w:r>
              <w:rPr>
                <w:rFonts w:ascii="仿宋_gb2312" w:hAnsi="仿宋_gb2312" w:cs="仿宋_gb2312" w:eastAsia="仿宋_gb2312"/>
                <w:sz w:val="21"/>
              </w:rPr>
              <w:t>需支持航空公司完成机型航线业载的配置，创建航班数据、运价代码数据、对承运人进行管理，接受及审核批仓申请，接受并签订主运单，到货通知书的缮制与签发；货机配载计划制定，集装器数据管理，集装器申领的审批，</w:t>
            </w:r>
            <w:r>
              <w:rPr>
                <w:rFonts w:ascii="仿宋_gb2312" w:hAnsi="仿宋_gb2312" w:cs="仿宋_gb2312" w:eastAsia="仿宋_gb2312"/>
                <w:sz w:val="21"/>
              </w:rPr>
              <w:t>CBA管理及查看，货物集装器组装方案制定。</w:t>
            </w:r>
          </w:p>
          <w:p>
            <w:pPr>
              <w:pStyle w:val="null3"/>
              <w:jc w:val="both"/>
            </w:pPr>
            <w:r>
              <w:rPr>
                <w:rFonts w:ascii="仿宋_gb2312" w:hAnsi="仿宋_gb2312" w:cs="仿宋_gb2312" w:eastAsia="仿宋_gb2312"/>
                <w:sz w:val="21"/>
              </w:rPr>
              <w:t>【铁路物流系统】</w:t>
            </w:r>
          </w:p>
          <w:p>
            <w:pPr>
              <w:pStyle w:val="null3"/>
              <w:jc w:val="both"/>
            </w:pPr>
            <w:r>
              <w:rPr>
                <w:rFonts w:ascii="仿宋_gb2312" w:hAnsi="仿宋_gb2312" w:cs="仿宋_gb2312" w:eastAsia="仿宋_gb2312"/>
                <w:sz w:val="21"/>
              </w:rPr>
              <w:t>该系统模拟了商贸企业、货代企业、铁路局（运输组织方）等不同角色在铁路货物运输过程中的业务活动，需支持商贸企业、货代企业、铁路局（运输组织方）等不同角色在铁路货物运输过程中的主要业务单证缮制、交互及主要物流活动规划与实施。</w:t>
            </w:r>
          </w:p>
          <w:p>
            <w:pPr>
              <w:pStyle w:val="null3"/>
              <w:jc w:val="both"/>
            </w:pPr>
            <w:r>
              <w:rPr>
                <w:rFonts w:ascii="仿宋_gb2312" w:hAnsi="仿宋_gb2312" w:cs="仿宋_gb2312" w:eastAsia="仿宋_gb2312"/>
                <w:sz w:val="21"/>
              </w:rPr>
              <w:t>需支持模拟商贸企业、货代企业完成阶段需求计划、日需求计划的申报，缮制铁路货物运输单的缮制，铁路货物集装箱申领。</w:t>
            </w:r>
          </w:p>
          <w:p>
            <w:pPr>
              <w:pStyle w:val="null3"/>
              <w:jc w:val="both"/>
            </w:pPr>
            <w:r>
              <w:rPr>
                <w:rFonts w:ascii="仿宋_gb2312" w:hAnsi="仿宋_gb2312" w:cs="仿宋_gb2312" w:eastAsia="仿宋_gb2312"/>
                <w:sz w:val="21"/>
              </w:rPr>
              <w:t>需支持模拟铁路局（运输组织方）完成列车车型配置、设置班列周期、批复阶段需求计划、日需求计划及集装箱申领计划，需支持完成铁路货物的装配计划，车辆编组，铁路货物的卸车及领货凭证缮制。</w:t>
            </w:r>
          </w:p>
          <w:p>
            <w:pPr>
              <w:pStyle w:val="null3"/>
              <w:jc w:val="both"/>
            </w:pPr>
            <w:r>
              <w:rPr>
                <w:rFonts w:ascii="仿宋_gb2312" w:hAnsi="仿宋_gb2312" w:cs="仿宋_gb2312" w:eastAsia="仿宋_gb2312"/>
                <w:sz w:val="21"/>
              </w:rPr>
              <w:t>【国际贸易单一窗口系统】</w:t>
            </w:r>
          </w:p>
          <w:p>
            <w:pPr>
              <w:pStyle w:val="null3"/>
              <w:jc w:val="both"/>
            </w:pPr>
            <w:r>
              <w:rPr>
                <w:rFonts w:ascii="仿宋_gb2312" w:hAnsi="仿宋_gb2312" w:cs="仿宋_gb2312" w:eastAsia="仿宋_gb2312"/>
                <w:sz w:val="21"/>
              </w:rPr>
              <w:t>该系统模拟了货代企业、海关等不同角色在报关报检过程中的业务活动，需支持货代企业、海关等不同角色在本系统中完成主要单证缮制、交互。需支持模拟货代企业进行出口报关单的整合申报、进口报关单的整合申报，普通税费单的查询与支付。</w:t>
            </w:r>
          </w:p>
          <w:p>
            <w:pPr>
              <w:pStyle w:val="null3"/>
              <w:jc w:val="both"/>
            </w:pPr>
            <w:r>
              <w:rPr>
                <w:rFonts w:ascii="仿宋_gb2312" w:hAnsi="仿宋_gb2312" w:cs="仿宋_gb2312" w:eastAsia="仿宋_gb2312"/>
                <w:sz w:val="21"/>
              </w:rPr>
              <w:t>需支持模拟海关角色出口报关单的审核、进口报关单的审核、普通税费单的开具与查询。</w:t>
            </w:r>
          </w:p>
          <w:p>
            <w:pPr>
              <w:pStyle w:val="null3"/>
              <w:jc w:val="both"/>
            </w:pPr>
            <w:r>
              <w:rPr>
                <w:rFonts w:ascii="仿宋_gb2312" w:hAnsi="仿宋_gb2312" w:cs="仿宋_gb2312" w:eastAsia="仿宋_gb2312"/>
                <w:sz w:val="21"/>
              </w:rPr>
              <w:t>【银行业务系统】</w:t>
            </w:r>
          </w:p>
          <w:p>
            <w:pPr>
              <w:pStyle w:val="null3"/>
              <w:jc w:val="both"/>
            </w:pPr>
            <w:r>
              <w:rPr>
                <w:rFonts w:ascii="仿宋_gb2312" w:hAnsi="仿宋_gb2312" w:cs="仿宋_gb2312" w:eastAsia="仿宋_gb2312"/>
                <w:sz w:val="21"/>
              </w:rPr>
              <w:t>该系统模拟了商贸企业及银行运输业务流程中的金融服务，在过程中，银行可同时处理通知行、押汇行的业务操作。能支持模拟商贸企业发起信用证申请、议付申请、承付申请。</w:t>
            </w:r>
          </w:p>
          <w:p>
            <w:pPr>
              <w:pStyle w:val="null3"/>
              <w:jc w:val="both"/>
            </w:pPr>
            <w:r>
              <w:rPr>
                <w:rFonts w:ascii="仿宋_gb2312" w:hAnsi="仿宋_gb2312" w:cs="仿宋_gb2312" w:eastAsia="仿宋_gb2312"/>
                <w:sz w:val="21"/>
              </w:rPr>
              <w:t>能支持模拟银行角色进行提单收取，信用证申请的审核，开具信用证，支持对议付申请、承付申请进行审核，支持创建付款交单通知书。</w:t>
            </w:r>
          </w:p>
          <w:p>
            <w:pPr>
              <w:pStyle w:val="null3"/>
              <w:jc w:val="left"/>
            </w:pPr>
            <w:r>
              <w:rPr>
                <w:rFonts w:ascii="仿宋_gb2312" w:hAnsi="仿宋_gb2312" w:cs="仿宋_gb2312" w:eastAsia="仿宋_gb2312"/>
                <w:sz w:val="21"/>
              </w:rPr>
              <w:t>三、核心功能演示</w:t>
            </w:r>
          </w:p>
          <w:p>
            <w:pPr>
              <w:pStyle w:val="null3"/>
              <w:jc w:val="both"/>
            </w:pPr>
            <w:r>
              <w:rPr>
                <w:rFonts w:ascii="仿宋_gb2312" w:hAnsi="仿宋_gb2312" w:cs="仿宋_gb2312" w:eastAsia="仿宋_gb2312"/>
                <w:sz w:val="21"/>
              </w:rPr>
              <w:t>【对上述</w:t>
            </w:r>
            <w:r>
              <w:rPr>
                <w:rFonts w:ascii="仿宋_gb2312" w:hAnsi="仿宋_gb2312" w:cs="仿宋_gb2312" w:eastAsia="仿宋_gb2312"/>
                <w:sz w:val="21"/>
              </w:rPr>
              <w:t>“产品功能”中的【海运业务系统】、【航空物流系统】和【铁路物流系统】进行演示。】</w:t>
            </w:r>
          </w:p>
          <w:p>
            <w:pPr>
              <w:pStyle w:val="null3"/>
              <w:jc w:val="both"/>
            </w:pPr>
            <w:r>
              <w:rPr>
                <w:rFonts w:ascii="仿宋_gb2312" w:hAnsi="仿宋_gb2312" w:cs="仿宋_gb2312" w:eastAsia="仿宋_gb2312"/>
                <w:sz w:val="21"/>
              </w:rPr>
              <w:t>配套设施：</w:t>
            </w:r>
          </w:p>
          <w:p>
            <w:pPr>
              <w:pStyle w:val="null3"/>
              <w:jc w:val="left"/>
            </w:pPr>
            <w:r>
              <w:rPr>
                <w:rFonts w:ascii="仿宋_gb2312" w:hAnsi="仿宋_gb2312" w:cs="仿宋_gb2312" w:eastAsia="仿宋_gb2312"/>
                <w:sz w:val="21"/>
              </w:rPr>
              <w:t>一、虚拟仿真显示终端</w:t>
            </w:r>
            <w:r>
              <w:rPr>
                <w:rFonts w:ascii="仿宋_gb2312" w:hAnsi="仿宋_gb2312" w:cs="仿宋_gb2312" w:eastAsia="仿宋_gb2312"/>
                <w:sz w:val="21"/>
              </w:rPr>
              <w:t>31个：</w:t>
            </w:r>
          </w:p>
          <w:p>
            <w:pPr>
              <w:pStyle w:val="null3"/>
              <w:jc w:val="left"/>
            </w:pPr>
            <w:r>
              <w:rPr>
                <w:rFonts w:ascii="仿宋_gb2312" w:hAnsi="仿宋_gb2312" w:cs="仿宋_gb2312" w:eastAsia="仿宋_gb2312"/>
                <w:sz w:val="21"/>
              </w:rPr>
              <w:t>处理器：</w:t>
            </w:r>
            <w:r>
              <w:rPr>
                <w:rFonts w:ascii="仿宋_gb2312" w:hAnsi="仿宋_gb2312" w:cs="仿宋_gb2312" w:eastAsia="仿宋_gb2312"/>
                <w:sz w:val="21"/>
              </w:rPr>
              <w:t>inteil i7 12代及以上；</w:t>
            </w:r>
          </w:p>
          <w:p>
            <w:pPr>
              <w:pStyle w:val="null3"/>
              <w:jc w:val="left"/>
            </w:pPr>
            <w:r>
              <w:rPr>
                <w:rFonts w:ascii="仿宋_gb2312" w:hAnsi="仿宋_gb2312" w:cs="仿宋_gb2312" w:eastAsia="仿宋_gb2312"/>
                <w:sz w:val="21"/>
              </w:rPr>
              <w:t>运行内存：</w:t>
            </w:r>
            <w:r>
              <w:rPr>
                <w:rFonts w:ascii="仿宋_gb2312" w:hAnsi="仿宋_gb2312" w:cs="仿宋_gb2312" w:eastAsia="仿宋_gb2312"/>
                <w:sz w:val="21"/>
              </w:rPr>
              <w:t>16G及以上；</w:t>
            </w:r>
          </w:p>
          <w:p>
            <w:pPr>
              <w:pStyle w:val="null3"/>
              <w:jc w:val="left"/>
            </w:pPr>
            <w:r>
              <w:rPr>
                <w:rFonts w:ascii="仿宋_gb2312" w:hAnsi="仿宋_gb2312" w:cs="仿宋_gb2312" w:eastAsia="仿宋_gb2312"/>
                <w:sz w:val="21"/>
              </w:rPr>
              <w:t>固态内存：</w:t>
            </w:r>
            <w:r>
              <w:rPr>
                <w:rFonts w:ascii="仿宋_gb2312" w:hAnsi="仿宋_gb2312" w:cs="仿宋_gb2312" w:eastAsia="仿宋_gb2312"/>
                <w:sz w:val="21"/>
              </w:rPr>
              <w:t>512G及以上固态内存；</w:t>
            </w:r>
          </w:p>
          <w:p>
            <w:pPr>
              <w:pStyle w:val="null3"/>
              <w:jc w:val="left"/>
            </w:pPr>
            <w:r>
              <w:rPr>
                <w:rFonts w:ascii="仿宋_gb2312" w:hAnsi="仿宋_gb2312" w:cs="仿宋_gb2312" w:eastAsia="仿宋_gb2312"/>
                <w:sz w:val="21"/>
              </w:rPr>
              <w:t>独显：</w:t>
            </w:r>
            <w:r>
              <w:rPr>
                <w:rFonts w:ascii="仿宋_gb2312" w:hAnsi="仿宋_gb2312" w:cs="仿宋_gb2312" w:eastAsia="仿宋_gb2312"/>
                <w:sz w:val="21"/>
              </w:rPr>
              <w:t>4G及以上；</w:t>
            </w:r>
          </w:p>
          <w:p>
            <w:pPr>
              <w:pStyle w:val="null3"/>
              <w:jc w:val="left"/>
            </w:pPr>
            <w:r>
              <w:rPr>
                <w:rFonts w:ascii="仿宋_gb2312" w:hAnsi="仿宋_gb2312" w:cs="仿宋_gb2312" w:eastAsia="仿宋_gb2312"/>
                <w:sz w:val="21"/>
              </w:rPr>
              <w:t>搭配</w:t>
            </w:r>
            <w:r>
              <w:rPr>
                <w:rFonts w:ascii="仿宋_gb2312" w:hAnsi="仿宋_gb2312" w:cs="仿宋_gb2312" w:eastAsia="仿宋_gb2312"/>
                <w:sz w:val="21"/>
              </w:rPr>
              <w:t>27英寸曲面显示器；</w:t>
            </w:r>
          </w:p>
          <w:p>
            <w:pPr>
              <w:pStyle w:val="null3"/>
              <w:jc w:val="both"/>
            </w:pPr>
            <w:r>
              <w:rPr>
                <w:rFonts w:ascii="仿宋_gb2312" w:hAnsi="仿宋_gb2312" w:cs="仿宋_gb2312" w:eastAsia="仿宋_gb2312"/>
                <w:sz w:val="21"/>
              </w:rPr>
              <w:t>具备系统同传功能。</w:t>
            </w:r>
          </w:p>
          <w:p>
            <w:pPr>
              <w:pStyle w:val="null3"/>
              <w:jc w:val="both"/>
            </w:pPr>
            <w:r>
              <w:rPr>
                <w:rFonts w:ascii="仿宋_gb2312" w:hAnsi="仿宋_gb2312" w:cs="仿宋_gb2312" w:eastAsia="仿宋_gb2312"/>
                <w:sz w:val="21"/>
              </w:rPr>
              <w:t>二、虚拟仿真移动显示终端：</w:t>
            </w:r>
          </w:p>
          <w:p>
            <w:pPr>
              <w:pStyle w:val="null3"/>
              <w:jc w:val="both"/>
            </w:pPr>
            <w:r>
              <w:rPr>
                <w:rFonts w:ascii="仿宋_gb2312" w:hAnsi="仿宋_gb2312" w:cs="仿宋_gb2312" w:eastAsia="仿宋_gb2312"/>
                <w:sz w:val="21"/>
              </w:rPr>
              <w:t>1.智能交互平板显示尺寸≧98英寸，分辨率：3840*2160，可视角度可以达到178°；</w:t>
            </w:r>
          </w:p>
          <w:p>
            <w:pPr>
              <w:pStyle w:val="null3"/>
              <w:jc w:val="both"/>
            </w:pPr>
            <w:r>
              <w:rPr>
                <w:rFonts w:ascii="仿宋_gb2312" w:hAnsi="仿宋_gb2312" w:cs="仿宋_gb2312" w:eastAsia="仿宋_gb2312"/>
                <w:sz w:val="21"/>
              </w:rPr>
              <w:t>2.需采用红外触控技术，在双系统下均支持≧40点同时触控及书写;书写区域被手、书本等较大物体遮挡，仍可以正常书写、操作。</w:t>
            </w:r>
          </w:p>
          <w:p>
            <w:pPr>
              <w:pStyle w:val="null3"/>
              <w:jc w:val="both"/>
            </w:pPr>
            <w:r>
              <w:rPr>
                <w:rFonts w:ascii="仿宋_gb2312" w:hAnsi="仿宋_gb2312" w:cs="仿宋_gb2312" w:eastAsia="仿宋_gb2312"/>
                <w:sz w:val="21"/>
              </w:rPr>
              <w:t>3.智能交互平板前面板至少具备1路HDMI接口（非转接），2路USB3.0接口，1路USB Type-c接口；</w:t>
            </w:r>
          </w:p>
          <w:p>
            <w:pPr>
              <w:pStyle w:val="null3"/>
              <w:jc w:val="both"/>
            </w:pPr>
            <w:r>
              <w:rPr>
                <w:rFonts w:ascii="仿宋_gb2312" w:hAnsi="仿宋_gb2312" w:cs="仿宋_gb2312" w:eastAsia="仿宋_gb2312"/>
                <w:sz w:val="21"/>
              </w:rPr>
              <w:t>4.智能交互平板后置标配VGA输入≥1路，HDMI输入≥2路，HDMI输出≥1路。</w:t>
            </w:r>
          </w:p>
          <w:p>
            <w:pPr>
              <w:pStyle w:val="null3"/>
              <w:jc w:val="both"/>
            </w:pPr>
            <w:r>
              <w:rPr>
                <w:rFonts w:ascii="仿宋_gb2312" w:hAnsi="仿宋_gb2312" w:cs="仿宋_gb2312" w:eastAsia="仿宋_gb2312"/>
                <w:sz w:val="21"/>
              </w:rPr>
              <w:t>5智能交互平板具有通屏笔槽结构，可放置书写笔、粉笔、水性笔等。智能交互平板前置中文物理按键≥7个，可实现音量加减、窗口关闭、触控开关等功能。</w:t>
            </w:r>
          </w:p>
          <w:p>
            <w:pPr>
              <w:pStyle w:val="null3"/>
              <w:jc w:val="both"/>
            </w:pPr>
            <w:r>
              <w:rPr>
                <w:rFonts w:ascii="仿宋_gb2312" w:hAnsi="仿宋_gb2312" w:cs="仿宋_gb2312" w:eastAsia="仿宋_gb2312"/>
                <w:sz w:val="21"/>
              </w:rPr>
              <w:t>6.设备采用前拆结构设计，无需打开智能交互平板背板，前置接口面板和前置按键面板需单独前拆。</w:t>
            </w:r>
          </w:p>
          <w:p>
            <w:pPr>
              <w:pStyle w:val="null3"/>
              <w:jc w:val="both"/>
            </w:pPr>
            <w:r>
              <w:rPr>
                <w:rFonts w:ascii="仿宋_gb2312" w:hAnsi="仿宋_gb2312" w:cs="仿宋_gb2312" w:eastAsia="仿宋_gb2312"/>
                <w:sz w:val="21"/>
              </w:rPr>
              <w:t>7.前置U盘接口需采用隐藏式设计，具有翻转式防护盖板，盖板高度≥4cm。为方便不同厚度U盘接入，开合角度≥90°。</w:t>
            </w:r>
          </w:p>
          <w:p>
            <w:pPr>
              <w:pStyle w:val="null3"/>
              <w:jc w:val="both"/>
            </w:pPr>
            <w:r>
              <w:rPr>
                <w:rFonts w:ascii="仿宋_gb2312" w:hAnsi="仿宋_gb2312" w:cs="仿宋_gb2312" w:eastAsia="仿宋_gb2312"/>
                <w:sz w:val="21"/>
              </w:rPr>
              <w:t>8.智能交互平板具备前置电脑还原按键，为避免误碰按键采用针孔式设计，并配有中文标识。</w:t>
            </w:r>
          </w:p>
          <w:p>
            <w:pPr>
              <w:pStyle w:val="null3"/>
              <w:jc w:val="both"/>
            </w:pPr>
            <w:r>
              <w:rPr>
                <w:rFonts w:ascii="仿宋_gb2312" w:hAnsi="仿宋_gb2312" w:cs="仿宋_gb2312" w:eastAsia="仿宋_gb2312"/>
                <w:sz w:val="21"/>
              </w:rPr>
              <w:t>9.采用针孔阵列发声设计，智能交互平板下边框具有≥6个发声单元，总功率≥60W,扬声器在100%音量下，1米处声压级≥90dB，10米处声压级≥80dB；谐振频率不高于260Hz。</w:t>
            </w:r>
          </w:p>
          <w:p>
            <w:pPr>
              <w:pStyle w:val="null3"/>
              <w:jc w:val="both"/>
            </w:pPr>
            <w:r>
              <w:rPr>
                <w:rFonts w:ascii="仿宋_gb2312" w:hAnsi="仿宋_gb2312" w:cs="仿宋_gb2312" w:eastAsia="仿宋_gb2312"/>
                <w:sz w:val="21"/>
              </w:rPr>
              <w:t>10、智能交互平板具备≥12核芯片驱动，≥8核CPU,≥4核GPU;Android系统版本≥14.0，内存≥4G，存储≥32G。</w:t>
            </w:r>
          </w:p>
          <w:p>
            <w:pPr>
              <w:pStyle w:val="null3"/>
              <w:jc w:val="both"/>
            </w:pPr>
            <w:r>
              <w:rPr>
                <w:rFonts w:ascii="仿宋_gb2312" w:hAnsi="仿宋_gb2312" w:cs="仿宋_gb2312" w:eastAsia="仿宋_gb2312"/>
                <w:sz w:val="21"/>
              </w:rPr>
              <w:t>11.内置一体化超高清4K摄像头，摄像头有效像素≥1800W，可输出最大分辨≥5104*3864图片与视频，支持2D降噪，需支持扫描二维码功能，搭配AI软件使用，识别距离≥10米,识别人数≥50人。</w:t>
            </w:r>
          </w:p>
          <w:p>
            <w:pPr>
              <w:pStyle w:val="null3"/>
              <w:jc w:val="both"/>
            </w:pPr>
            <w:r>
              <w:rPr>
                <w:rFonts w:ascii="仿宋_gb2312" w:hAnsi="仿宋_gb2312" w:cs="仿宋_gb2312" w:eastAsia="仿宋_gb2312"/>
                <w:sz w:val="21"/>
              </w:rPr>
              <w:t>12.需具备双侧快捷键功能，支持快捷键单侧显示或双侧同时显示模式，数量各不少于15个，可设置快捷键自动隐藏时间与自定义按键功能；该快捷键至少具有关闭窗口、展台、桌面、多屏互动等教学常用按键。</w:t>
            </w:r>
          </w:p>
          <w:p>
            <w:pPr>
              <w:pStyle w:val="null3"/>
              <w:jc w:val="both"/>
            </w:pPr>
            <w:r>
              <w:rPr>
                <w:rFonts w:ascii="仿宋_gb2312" w:hAnsi="仿宋_gb2312" w:cs="仿宋_gb2312" w:eastAsia="仿宋_gb2312"/>
                <w:sz w:val="21"/>
              </w:rPr>
              <w:t>13.需具有悬浮菜单，在任意信号源通道下均可调用触摸悬浮菜单。悬浮菜单可进行自定义分组，可添加展台、白板、信号源、文件浏览器、截屏、聚光灯、放大镜、多任务、AI互动软件等不少于30个应用。</w:t>
            </w:r>
          </w:p>
          <w:p>
            <w:pPr>
              <w:pStyle w:val="null3"/>
              <w:jc w:val="both"/>
            </w:pPr>
            <w:r>
              <w:rPr>
                <w:rFonts w:ascii="仿宋_gb2312" w:hAnsi="仿宋_gb2312" w:cs="仿宋_gb2312" w:eastAsia="仿宋_gb2312"/>
                <w:sz w:val="21"/>
              </w:rPr>
              <w:t>14.需支持Android、IOS、Windows系统的投屏画面，需支持不少于6个终端设备同时投屏，并自动分屏排布，可将任意一路画面全屏播放，需支持所投视频音频同时播放；支持多手机同时连接交互显示设备，可设置指定设备为主控设备；</w:t>
            </w:r>
          </w:p>
          <w:p>
            <w:pPr>
              <w:pStyle w:val="null3"/>
              <w:jc w:val="both"/>
            </w:pPr>
            <w:r>
              <w:rPr>
                <w:rFonts w:ascii="仿宋_gb2312" w:hAnsi="仿宋_gb2312" w:cs="仿宋_gb2312" w:eastAsia="仿宋_gb2312"/>
                <w:sz w:val="21"/>
              </w:rPr>
              <w:t>15.智能交互平板触摸需支持动态压力模拟，需支持无任何电子功能的普通书写笔，在交互平板上书写或点压时，整机能感应压力变化，书写或点压过程笔迹呈现不同粗细。</w:t>
            </w:r>
          </w:p>
          <w:p>
            <w:pPr>
              <w:pStyle w:val="null3"/>
              <w:jc w:val="both"/>
            </w:pPr>
            <w:r>
              <w:rPr>
                <w:rFonts w:ascii="仿宋_gb2312" w:hAnsi="仿宋_gb2312" w:cs="仿宋_gb2312" w:eastAsia="仿宋_gb2312"/>
                <w:sz w:val="21"/>
              </w:rPr>
              <w:t>16.需采用物理防蓝光技术，在源头减少有害蓝光波段能量，有害蓝光波长415～455nm＜50%，低蓝光模式屏幕色温无变化。符合GB 40070-2021视力防护标准，蓝光危害为RGO豁免级;亮度均匀性≥70%，闪烁等级≤-30dB。</w:t>
            </w:r>
          </w:p>
          <w:p>
            <w:pPr>
              <w:pStyle w:val="null3"/>
              <w:jc w:val="both"/>
            </w:pPr>
            <w:r>
              <w:rPr>
                <w:rFonts w:ascii="仿宋_gb2312" w:hAnsi="仿宋_gb2312" w:cs="仿宋_gb2312" w:eastAsia="仿宋_gb2312"/>
                <w:sz w:val="21"/>
              </w:rPr>
              <w:t>17.可实现多级亮度调节，白色背景下最暗亮度≤100nit,实现稳定光源无频闪，摄像设备拍摄时画面无条纹闪烁。通电不开机状态下，满足开机速度≤2s。</w:t>
            </w:r>
          </w:p>
          <w:p>
            <w:pPr>
              <w:pStyle w:val="null3"/>
              <w:jc w:val="both"/>
            </w:pPr>
            <w:r>
              <w:rPr>
                <w:rFonts w:ascii="仿宋_gb2312" w:hAnsi="仿宋_gb2312" w:cs="仿宋_gb2312" w:eastAsia="仿宋_gb2312"/>
                <w:sz w:val="21"/>
              </w:rPr>
              <w:t>内置电脑</w:t>
            </w:r>
          </w:p>
          <w:p>
            <w:pPr>
              <w:pStyle w:val="null3"/>
              <w:jc w:val="both"/>
            </w:pPr>
            <w:r>
              <w:rPr>
                <w:rFonts w:ascii="仿宋_gb2312" w:hAnsi="仿宋_gb2312" w:cs="仿宋_gb2312" w:eastAsia="仿宋_gb2312"/>
                <w:sz w:val="21"/>
              </w:rPr>
              <w:t>1.需采用80pin Intel通用标准接口,即插即用，易于维护。</w:t>
            </w:r>
          </w:p>
          <w:p>
            <w:pPr>
              <w:pStyle w:val="null3"/>
              <w:jc w:val="both"/>
            </w:pPr>
            <w:r>
              <w:rPr>
                <w:rFonts w:ascii="仿宋_gb2312" w:hAnsi="仿宋_gb2312" w:cs="仿宋_gb2312" w:eastAsia="仿宋_gb2312"/>
                <w:sz w:val="21"/>
              </w:rPr>
              <w:t>2.尺寸长度≥220mm，厚度≤30mm。</w:t>
            </w:r>
          </w:p>
          <w:p>
            <w:pPr>
              <w:pStyle w:val="null3"/>
              <w:jc w:val="both"/>
            </w:pPr>
            <w:r>
              <w:rPr>
                <w:rFonts w:ascii="仿宋_gb2312" w:hAnsi="仿宋_gb2312" w:cs="仿宋_gb2312" w:eastAsia="仿宋_gb2312"/>
                <w:sz w:val="21"/>
              </w:rPr>
              <w:t>3.CPU采用≥Intel第12代及以上平台处理器酷睿I5处理器，内存：≥8G DDR4，硬盘：≥256G SSD固态硬盘。</w:t>
            </w:r>
          </w:p>
          <w:p>
            <w:pPr>
              <w:pStyle w:val="null3"/>
              <w:jc w:val="both"/>
            </w:pPr>
            <w:r>
              <w:rPr>
                <w:rFonts w:ascii="仿宋_gb2312" w:hAnsi="仿宋_gb2312" w:cs="仿宋_gb2312" w:eastAsia="仿宋_gb2312"/>
                <w:sz w:val="21"/>
              </w:rPr>
              <w:t>4.接口：整机非外扩展具备≥5个USB接口；具有独立非外扩展的视频输出接口：≥1路HDMI等。</w:t>
            </w:r>
          </w:p>
          <w:p>
            <w:pPr>
              <w:pStyle w:val="null3"/>
              <w:jc w:val="left"/>
            </w:pPr>
            <w:r>
              <w:rPr>
                <w:rFonts w:ascii="宋体" w:hAnsi="宋体" w:cs="宋体" w:eastAsia="宋体"/>
                <w:sz w:val="18"/>
              </w:rPr>
              <w:t>三、</w:t>
            </w:r>
            <w:r>
              <w:rPr>
                <w:rFonts w:ascii="&quot;times new roman&quot;" w:hAnsi="&quot;times new roman&quot;" w:cs="&quot;times new roman&quot;" w:eastAsia="&quot;times new roman&quot;"/>
                <w:sz w:val="21"/>
              </w:rPr>
              <w:t>5P</w:t>
            </w:r>
            <w:r>
              <w:rPr>
                <w:rFonts w:ascii="仿宋_gb2312" w:hAnsi="仿宋_gb2312" w:cs="仿宋_gb2312" w:eastAsia="仿宋_gb2312"/>
                <w:sz w:val="21"/>
              </w:rPr>
              <w:t>空调</w:t>
            </w:r>
            <w:r>
              <w:rPr>
                <w:rFonts w:ascii="仿宋_gb2312" w:hAnsi="仿宋_gb2312" w:cs="仿宋_gb2312" w:eastAsia="仿宋_gb2312"/>
                <w:sz w:val="21"/>
              </w:rPr>
              <w:t>2台：制热量：12100W及以上；</w:t>
            </w:r>
          </w:p>
          <w:p>
            <w:pPr>
              <w:pStyle w:val="null3"/>
              <w:jc w:val="left"/>
            </w:pPr>
            <w:r>
              <w:rPr>
                <w:rFonts w:ascii="仿宋_gb2312" w:hAnsi="仿宋_gb2312" w:cs="仿宋_gb2312" w:eastAsia="仿宋_gb2312"/>
                <w:sz w:val="21"/>
              </w:rPr>
              <w:t>内机最大噪音：</w:t>
            </w:r>
            <w:r>
              <w:rPr>
                <w:rFonts w:ascii="仿宋_gb2312" w:hAnsi="仿宋_gb2312" w:cs="仿宋_gb2312" w:eastAsia="仿宋_gb2312"/>
                <w:sz w:val="21"/>
              </w:rPr>
              <w:t>52db及以下；</w:t>
            </w:r>
          </w:p>
          <w:p>
            <w:pPr>
              <w:pStyle w:val="null3"/>
              <w:jc w:val="left"/>
            </w:pPr>
            <w:r>
              <w:rPr>
                <w:rFonts w:ascii="仿宋_gb2312" w:hAnsi="仿宋_gb2312" w:cs="仿宋_gb2312" w:eastAsia="仿宋_gb2312"/>
                <w:sz w:val="21"/>
              </w:rPr>
              <w:t>制冷量：</w:t>
            </w:r>
            <w:r>
              <w:rPr>
                <w:rFonts w:ascii="仿宋_gb2312" w:hAnsi="仿宋_gb2312" w:cs="仿宋_gb2312" w:eastAsia="仿宋_gb2312"/>
                <w:sz w:val="21"/>
              </w:rPr>
              <w:t>12000W及以上；</w:t>
            </w:r>
          </w:p>
          <w:p>
            <w:pPr>
              <w:pStyle w:val="null3"/>
              <w:jc w:val="left"/>
            </w:pPr>
            <w:r>
              <w:rPr>
                <w:rFonts w:ascii="仿宋_gb2312" w:hAnsi="仿宋_gb2312" w:cs="仿宋_gb2312" w:eastAsia="仿宋_gb2312"/>
                <w:sz w:val="21"/>
              </w:rPr>
              <w:t>循环风量：</w:t>
            </w:r>
            <w:r>
              <w:rPr>
                <w:rFonts w:ascii="仿宋_gb2312" w:hAnsi="仿宋_gb2312" w:cs="仿宋_gb2312" w:eastAsia="仿宋_gb2312"/>
                <w:sz w:val="21"/>
              </w:rPr>
              <w:t>2000m³/h;</w:t>
            </w:r>
          </w:p>
          <w:p>
            <w:pPr>
              <w:pStyle w:val="null3"/>
              <w:jc w:val="both"/>
            </w:pPr>
            <w:r>
              <w:rPr>
                <w:rFonts w:ascii="仿宋_gb2312" w:hAnsi="仿宋_gb2312" w:cs="仿宋_gb2312" w:eastAsia="仿宋_gb2312"/>
                <w:sz w:val="21"/>
              </w:rPr>
              <w:t>具备电辅加热。</w:t>
            </w:r>
          </w:p>
          <w:p>
            <w:pPr>
              <w:pStyle w:val="null3"/>
              <w:jc w:val="both"/>
            </w:pPr>
            <w:r>
              <w:rPr>
                <w:rFonts w:ascii="仿宋_gb2312" w:hAnsi="仿宋_gb2312" w:cs="仿宋_gb2312" w:eastAsia="仿宋_gb2312"/>
                <w:sz w:val="21"/>
              </w:rPr>
              <w:t>四、专业建设：构建涵盖基础理论，关键技术，应用领域及实践操作的课程资源体系，建设注重理论与实践相结合的教学资源，包括教材、案例库等</w:t>
            </w:r>
            <w:r>
              <w:rPr>
                <w:rFonts w:ascii="仿宋_gb2312" w:hAnsi="仿宋_gb2312" w:cs="仿宋_gb2312" w:eastAsia="仿宋_gb2312"/>
                <w:sz w:val="21"/>
              </w:rPr>
              <w:t>。</w:t>
            </w:r>
          </w:p>
        </w:tc>
      </w:tr>
      <w:tr>
        <w:tc>
          <w:tcPr>
            <w:tcW w:type="dxa" w:w="2769"/>
          </w:tcPr>
          <w:p/>
        </w:tc>
        <w:tc>
          <w:tcPr>
            <w:tcW w:type="dxa" w:w="2769"/>
          </w:tcPr>
          <w:p>
            <w:pPr>
              <w:pStyle w:val="null3"/>
            </w:pPr>
            <w:r>
              <w:rPr/>
              <w:t>3</w:t>
            </w:r>
          </w:p>
        </w:tc>
        <w:tc>
          <w:tcPr>
            <w:tcW w:type="dxa" w:w="2769"/>
          </w:tcPr>
          <w:p>
            <w:pPr>
              <w:pStyle w:val="null3"/>
            </w:pPr>
            <w:r>
              <w:rPr/>
              <w:t>说明：带“★”的参数需求为实质性要求，供应商必须响应并满足的参数需求，不允许出现负偏离。带 “▲”号条款为 允许负偏离的参数需求，若未响应或者不满足，将在综合评审中予以扣分处理。</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交货期:合同签订之日起90个日历日 安装调试期:到货之日起30个日历日内</w:t>
      </w:r>
    </w:p>
    <w:p>
      <w:pPr>
        <w:pStyle w:val="null3"/>
        <w:outlineLvl w:val="3"/>
      </w:pPr>
      <w:r>
        <w:rPr>
          <w:sz w:val="24"/>
          <w:b/>
        </w:rPr>
        <w:t>3.4.2交货地点和方式</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合同签订后10日内，乙方提供收款收据</w:t>
      </w:r>
      <w:r>
        <w:rPr/>
        <w:t xml:space="preserve"> ，达到付款条件起 </w:t>
      </w:r>
      <w:r>
        <w:rPr/>
        <w:t>10</w:t>
      </w:r>
      <w:r>
        <w:rPr/>
        <w:t xml:space="preserve"> 日内，支付合同总金额的 </w:t>
      </w:r>
      <w:r>
        <w:rPr/>
        <w:t>50.00</w:t>
      </w:r>
      <w:r>
        <w:rPr/>
        <w:t>%。</w:t>
      </w:r>
    </w:p>
    <w:p>
      <w:pPr>
        <w:pStyle w:val="null3"/>
      </w:pPr>
      <w:r>
        <w:rPr/>
        <w:t>采购包1：</w:t>
      </w:r>
      <w:r>
        <w:rPr/>
        <w:t xml:space="preserve"> 付款条件说明： </w:t>
      </w:r>
      <w:r>
        <w:rPr/>
        <w:t>乙方将本合同项下所有货物运送到甲方指定地点后，甲方进行到货开箱验收，书面验收合格 后，乙方开具合法且符合甲方要求的合同款项全额增值税专用发票，甲方收到乙方全额发票后</w:t>
      </w:r>
      <w:r>
        <w:rPr/>
        <w:t xml:space="preserve"> ，达到付款条件起 </w:t>
      </w:r>
      <w:r>
        <w:rPr/>
        <w:t>30</w:t>
      </w:r>
      <w:r>
        <w:rPr/>
        <w:t xml:space="preserve"> 日内，支付合同总金额的 </w:t>
      </w:r>
      <w:r>
        <w:rPr/>
        <w:t>10.00</w:t>
      </w:r>
      <w:r>
        <w:rPr/>
        <w:t>%。</w:t>
      </w:r>
    </w:p>
    <w:p>
      <w:pPr>
        <w:pStyle w:val="null3"/>
      </w:pPr>
      <w:r>
        <w:rPr/>
        <w:t>采购包1：</w:t>
      </w:r>
      <w:r>
        <w:rPr/>
        <w:t xml:space="preserve"> 付款条件说明： </w:t>
      </w:r>
      <w:r>
        <w:rPr/>
        <w:t>乙方负责完成货物安装调试，试运行10日，且达到平稳运行条件后向甲方申请验收，在30日 内甲方进行最终验收，书面验收合格且无索赔争议后</w:t>
      </w:r>
      <w:r>
        <w:rPr/>
        <w:t xml:space="preserve"> ，达到付款条件起 </w:t>
      </w:r>
      <w:r>
        <w:rPr/>
        <w:t>30</w:t>
      </w:r>
      <w:r>
        <w:rPr/>
        <w:t xml:space="preserve"> 日内，支付合同总金额的 </w:t>
      </w:r>
      <w:r>
        <w:rPr/>
        <w:t>40.00</w:t>
      </w:r>
      <w:r>
        <w:rPr/>
        <w:t>%。</w:t>
      </w:r>
    </w:p>
    <w:p>
      <w:pPr>
        <w:pStyle w:val="null3"/>
        <w:outlineLvl w:val="3"/>
      </w:pPr>
      <w:r>
        <w:rPr>
          <w:sz w:val="24"/>
          <w:b/>
        </w:rPr>
        <w:t>3.4.5验收标准和方法</w:t>
      </w:r>
    </w:p>
    <w:p>
      <w:pPr>
        <w:pStyle w:val="null3"/>
      </w:pPr>
      <w:r>
        <w:rPr/>
        <w:t>采购包1：</w:t>
      </w:r>
    </w:p>
    <w:p>
      <w:pPr>
        <w:pStyle w:val="null3"/>
      </w:pPr>
      <w:r>
        <w:rPr/>
        <w:t>验收分到货开箱验收和甲方最终验收两个阶段，以最终验收为准。 1.到货开箱验收。货物 运送到甲方指定地点后，甲方 (使用部门)、乙方共同开箱验收，检查货物生产厂家/产地、型号、规格、配置等内容。若乙方 提供的货物不符合合同、合同 项下技术协议、采购/招标文件、响应/投标文件规定的，甲方有权拒收货物，由此引发的费用和 相关损失，由乙方完全承担， 甲方有权追究乙方法律责任。 2.甲方最终验收。乙方安装调试完成且试运行期满，试运行期内 无任何质量问题后，向甲方书 面申请验收，甲方(使用部门)负责技术验收(乙方协助)，验收以国内行业标准或合同文本货物供 货配置清单中描述的有关技术 要求为准。甲方（使用部门）技术验收合格后，甲方组织有关专家进行项目的最终验收。试运行 期内出现质量问题，试运行 期从解决质量问题后重新计算。</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三年，凡国家有规定的，优于磋商文件要求的，按国家规定执行。 （1）供应商提供的产品必须与磋商文件要求的完全一致，否则，采购人将拒绝验收并拒绝支付货款，由此给采购人带来的一切损失由成交供应商全权负责。 质量保证 （1）供应商提供的产品及材料必须保证质量可靠，为市场最新或主流产品，进货渠道正常，配置合理齐全，应全面满足磋商文件的要求，磋商文件未明确要求的内容，供应商须按采购产品主流标准配置或以采购人的补充要求为准。所供产品工艺质量应严格按国家最新发布的规范标准执行，如发生质量问题由供应商承担全部责任。 （2）供应商应保证所有产品的完好无损包括配套包装，如有缺漏、损坏，由供应商负责调换、补齐或赔偿。 （3）采购人使用产品过程中因产品质量、产品缺陷及安装质量等造成人身伤亡、财产损失的，由供应商负责解决并承担全部责任。 （4）质保期内每月至少一次免费上门维护，回访。 （5）对于存在质量问题或者短少的产品，供应商应在接到采购人的通知2个日历日内负责修复，调换、重新制作或补齐。 （6）在最终验收后的质量保证期内，供应商应对设计、工艺或材料等的缺陷而产生的故障负责（负责解决并承担全部费用）。质保期满后如出现此类问题亦应负责。 （7）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磋商文件要求对待。 售后服务： （1）整体保修三年。即从产品验收合格之日起三年内，由成交供应商负责免费售后服务三年； （2）成交供应商免费为采购人提供中文操作手册并培训操作人员，其中包括讲解产品的结构以及原理、产品的使用以及维护保养，直至操作人员能够独立的操作使用。 （3）提供质保期内全年7×24小时的技术咨询服务，接到报修后2小时内响应；8小时内到达现场；故障排除时间小于12小时。供应商指定的项目总协调人必须是供应商公司管理层人员。因供应商的人员变更原因所造成的任何项目质量、进度滞后的后果，由供应商承担。 （4）成交供应商应保证产品维修保养所需备品备件的价格合理和及时供应。 技术培训 成交供应商免费为采购人提供中文操作手册并培训操作人员，其中包括讲解产品的结构以及原理、产品的使用以及维护保养，直至操作人员能够独立的操作使用。培训产生的交通费、食宿费、培训费等均由供应商承担。</w:t>
      </w:r>
    </w:p>
    <w:p>
      <w:pPr>
        <w:pStyle w:val="null3"/>
        <w:outlineLvl w:val="3"/>
      </w:pPr>
      <w:r>
        <w:rPr>
          <w:sz w:val="24"/>
          <w:b/>
        </w:rPr>
        <w:t>3.4.8违约责任与解决争议的方法</w:t>
      </w:r>
    </w:p>
    <w:p>
      <w:pPr>
        <w:pStyle w:val="null3"/>
      </w:pPr>
      <w:r>
        <w:rPr/>
        <w:t>采购包1：</w:t>
      </w:r>
    </w:p>
    <w:p>
      <w:pPr>
        <w:pStyle w:val="null3"/>
      </w:pPr>
      <w:r>
        <w:rPr/>
        <w:t>违约责任 ：1.乙方逾期供货，每延迟1日，应按合同总价款的1‰向甲方支付违约 金，因不可抗力或经甲方同意除外，但违约金总额不超过合同总价的10％。如合同总价5％以上的货物迟达10日的，甲方有 权解除本合同，同时，乙方须退还收取甲方的预付款。 2.如乙方产品质量不符合国家标准或未达到本企业内控标准，甲方有 权退货，并且乙方应承担甲方合同总价款的10％的违约金并赔偿其他损失。 3.在合同规定的供货期内乙方未如数交货，除应 如数补齐外，还应承担合同总款的10％违约金。 4.质量保证期内因产品质量问题，乙方未按合同规定及时进行维修、更换， 甲方可自行组织人员进行维修、更换，因此造成的相关责任、费用由乙方承担，同时质量保证期重新起算。 5.乙方对材料不按磋商文件要求，擅自更换，除恢复原招标产品外，应承担更换部分价款10%的违约金。 6.乙方如对材料以次充好，除全部 按要求恢复外，应承担此部分价款10%的违约金。 7.如由于产品质量原因，不能通过验收，乙方除按规定无偿更换外，应承 担所涉及产品总价款的10％违约金。 8.乙方供应产品存在知识产权瑕疵或所有权瑕疵，导致第三方向甲方索赔的，因此产生 的赔偿款、行政罚款、处理纠纷发生的律师费、诉讼费、保全费等各项费用由乙方承担。 9.本合同签订后，乙方不得将本合 同项下义务转交或委托任何第三方完成，一经发现，甲方有权解除合同。乙方应当按照合同总价款两倍向甲方支付违约金。 10.如因天气原因或甲方安排等原因需要调整供货时间、地点的，乙方应当无条件配合甲方，合同期限相应顺延且甲方不承担 任何责任。 争议解决 ：合同各方应本着诚信的态度及共同合作的精神，通过协商及谈判来努力解决由本合同而产生的或与本合 同有关（包括本合同项下某一特 定货物买卖合同）的任何争议及不同意见。协商、谈判不能解决的，如任何一方通过诉讼解决 由甲方所在地人民法院管辖</w:t>
      </w:r>
    </w:p>
    <w:p>
      <w:pPr>
        <w:pStyle w:val="null3"/>
        <w:jc w:val="left"/>
        <w:outlineLvl w:val="2"/>
      </w:pPr>
      <w:r>
        <w:rPr>
          <w:sz w:val="28"/>
          <w:b/>
        </w:rPr>
        <w:t>3.5其他要求</w:t>
      </w:r>
    </w:p>
    <w:p>
      <w:pPr>
        <w:pStyle w:val="null3"/>
      </w:pPr>
      <w:r>
        <w:rPr/>
        <w:t>因政府采购系统目前不能实现线上演示，需各供应商在开标当日进行远程演示。 具体如下：根据演示要求，需要进行演示的供应商自行准备相应设备。请需要演示的供应商提前下载安装腾讯会议APP，届时将通过腾讯会议逐家进行演示。演示时间开标时通知。</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提供2022年度或2023年度经审计的财务报告或开标前三个月内开户银行开具的资信证明及基本存款账户信息；供应商需在项目电子化交易系统中按要求上传相应证明文件并进行电子签章。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业绩 磋商响应方案 响应函 供应商资格证明文件</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w:t>
            </w:r>
          </w:p>
        </w:tc>
        <w:tc>
          <w:tcPr>
            <w:tcW w:type="dxa" w:w="3322"/>
          </w:tcPr>
          <w:p>
            <w:pPr>
              <w:pStyle w:val="null3"/>
            </w:pPr>
            <w:r>
              <w:rPr/>
              <w:t>1）《政府采购促进中小企业发展管理办法》（财库〔2020〕46号）；  2）《财政部司法部关于政府采购支持监狱企业发展有关问题的通知》（财库〔2014〕68号）； 3）《国务院办公厅关于建立政府强制采购节能产品制度的通知》（国办发〔2007〕51号）； 3）《关于调整优化节能产品、环境标志产品政府采购执行机制的通知》（财库〔2019〕9号）； 5）《关于印发环境标志产品政府采购品目清单的通知》（财库〔2019〕18号）；  6）《关于印发节能产品政府采购品目清单的通知》（财库〔2019〕19号）；  7）《三部门联合发布关于促进残疾人就业政府采购政策的通知》（财库〔2017〕141号）；  8）《财政部发展改革委生态环境部市场监管总局关于调整优化节能产品、环境标志产品政府采购执行机制的通知》（财库〔2019〕9号）；  9）《财政部农业农村部国家乡村振兴局关于运用政府采购政策支持乡村产业振兴的通知》（财库〔2021〕19号）；  10）《陕西省财政厅关于加快推进我省中小企业政府采购信用融资工作的通知》（陕财办采〔2020〕15号）；  11）《关于深入开展政府采购脱贫地区农副产品工作推进乡村产业振兴的实施意见》的通知（财库〔2021〕20号）； 12）其他需要落实的政府采购政策。 13）本项目非专门面向中小企业采购。</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2</w:t>
            </w:r>
          </w:p>
        </w:tc>
        <w:tc>
          <w:tcPr>
            <w:tcW w:type="dxa" w:w="2492"/>
          </w:tcPr>
          <w:p>
            <w:pPr>
              <w:pStyle w:val="null3"/>
            </w:pPr>
            <w:r>
              <w:rPr/>
              <w:t>法定代表人或授权代表</w:t>
            </w:r>
          </w:p>
        </w:tc>
        <w:tc>
          <w:tcPr>
            <w:tcW w:type="dxa" w:w="3322"/>
          </w:tcPr>
          <w:p>
            <w:pPr>
              <w:pStyle w:val="null3"/>
            </w:pPr>
            <w:r>
              <w:rPr/>
              <w:t>法定代表人参加磋商时，提供本人身份证；授权代表参加磋商时，提供法定代表人授权书和被授权人身份证；供应商需在项目电子化交易系统中按要求上传相应证明文件并进行电子签章。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3</w:t>
            </w:r>
          </w:p>
        </w:tc>
        <w:tc>
          <w:tcPr>
            <w:tcW w:type="dxa" w:w="2492"/>
          </w:tcPr>
          <w:p>
            <w:pPr>
              <w:pStyle w:val="null3"/>
            </w:pPr>
            <w:r>
              <w:rPr/>
              <w:t>参加政府采购活动前三年内，在经营活动中没有重大违法记录的书面声明</w:t>
            </w:r>
          </w:p>
        </w:tc>
        <w:tc>
          <w:tcPr>
            <w:tcW w:type="dxa" w:w="3322"/>
          </w:tcPr>
          <w:p>
            <w:pPr>
              <w:pStyle w:val="null3"/>
            </w:pPr>
            <w:r>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4</w:t>
            </w:r>
          </w:p>
        </w:tc>
        <w:tc>
          <w:tcPr>
            <w:tcW w:type="dxa" w:w="2492"/>
          </w:tcPr>
          <w:p>
            <w:pPr>
              <w:pStyle w:val="null3"/>
            </w:pPr>
            <w:r>
              <w:rPr/>
              <w:t>供应商提供具有履行合同所必需的设备和专业技术能力的承诺</w:t>
            </w:r>
          </w:p>
        </w:tc>
        <w:tc>
          <w:tcPr>
            <w:tcW w:type="dxa" w:w="3322"/>
          </w:tcPr>
          <w:p>
            <w:pPr>
              <w:pStyle w:val="null3"/>
            </w:pPr>
            <w:r>
              <w:rPr/>
              <w:t>供应商提供具有履行合同所必需的设备和专业技术能力的承诺，供应商需在项目电子化交易系统中按要求上传相应证明文件并进行电子签章。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5</w:t>
            </w:r>
          </w:p>
        </w:tc>
        <w:tc>
          <w:tcPr>
            <w:tcW w:type="dxa" w:w="2492"/>
          </w:tcPr>
          <w:p>
            <w:pPr>
              <w:pStyle w:val="null3"/>
            </w:pPr>
            <w:r>
              <w:rPr/>
              <w:t>供应商应提供健全的财务会计制度的证明材料</w:t>
            </w:r>
          </w:p>
        </w:tc>
        <w:tc>
          <w:tcPr>
            <w:tcW w:type="dxa" w:w="3322"/>
          </w:tcPr>
          <w:p>
            <w:pPr>
              <w:pStyle w:val="null3"/>
            </w:pPr>
            <w:r>
              <w:rPr/>
              <w:t>提供2022年度或2023年度经审计的财务报告或开标前三个月内开户银行开具的资信证明及基本存款账户信息；供应商需在项目电子化交易系统中按要求上传相应证明文件并进行电子签章。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6</w:t>
            </w:r>
          </w:p>
        </w:tc>
        <w:tc>
          <w:tcPr>
            <w:tcW w:type="dxa" w:w="2492"/>
          </w:tcPr>
          <w:p>
            <w:pPr>
              <w:pStyle w:val="null3"/>
            </w:pPr>
            <w:r>
              <w:rPr/>
              <w:t>税收证明</w:t>
            </w:r>
          </w:p>
        </w:tc>
        <w:tc>
          <w:tcPr>
            <w:tcW w:type="dxa" w:w="3322"/>
          </w:tcPr>
          <w:p>
            <w:pPr>
              <w:pStyle w:val="null3"/>
            </w:pPr>
            <w:r>
              <w:rPr/>
              <w:t>提供2024年1月1日以来已缴纳任意一个月完税凭证或税务机关开具的完税证明（任意税种）；依法免税的应提供相关文件证明；供应商需在项目电子化交易系统中按要求上传相应证明文件并进行电子签章。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7</w:t>
            </w:r>
          </w:p>
        </w:tc>
        <w:tc>
          <w:tcPr>
            <w:tcW w:type="dxa" w:w="2492"/>
          </w:tcPr>
          <w:p>
            <w:pPr>
              <w:pStyle w:val="null3"/>
            </w:pPr>
            <w:r>
              <w:rPr/>
              <w:t>社会保障资金缴纳证：</w:t>
            </w:r>
          </w:p>
        </w:tc>
        <w:tc>
          <w:tcPr>
            <w:tcW w:type="dxa" w:w="3322"/>
          </w:tcPr>
          <w:p>
            <w:pPr>
              <w:pStyle w:val="null3"/>
            </w:pPr>
            <w:r>
              <w:rPr/>
              <w:t>提供2024年1月1日以来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8</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9</w:t>
            </w:r>
          </w:p>
        </w:tc>
        <w:tc>
          <w:tcPr>
            <w:tcW w:type="dxa" w:w="2492"/>
          </w:tcPr>
          <w:p>
            <w:pPr>
              <w:pStyle w:val="null3"/>
            </w:pPr>
            <w:r>
              <w:rPr/>
              <w:t>信用查询</w:t>
            </w:r>
          </w:p>
        </w:tc>
        <w:tc>
          <w:tcPr>
            <w:tcW w:type="dxa" w:w="3322"/>
          </w:tcPr>
          <w:p>
            <w:pPr>
              <w:pStyle w:val="null3"/>
            </w:pPr>
            <w:r>
              <w:rPr/>
              <w:t>供应商不得为“信用中国”网站（www.creditchina.gov.cn）或“中国执信公开网”中被列入失信被执行人、重大税收违法案件当事人名单和中国政府采购网（www.ccgp.gov.cn）被列入政府采购严重违法失信行为记录名单的单位。供应商需在项目电子化交易系统中按要求上传相应证明文件并进行电子签章。开标时将由代理机构进行现场查询。</w:t>
            </w:r>
          </w:p>
        </w:tc>
        <w:tc>
          <w:tcPr>
            <w:tcW w:type="dxa" w:w="1661"/>
          </w:tcPr>
          <w:p>
            <w:pPr>
              <w:pStyle w:val="null3"/>
            </w:pPr>
            <w:r>
              <w:rPr/>
              <w:t>供应商应提交的相关资格证明材料 供应商资格证明文件</w:t>
            </w:r>
          </w:p>
        </w:tc>
      </w:tr>
      <w:tr>
        <w:tc>
          <w:tcPr>
            <w:tcW w:type="dxa" w:w="831"/>
          </w:tcPr>
          <w:p>
            <w:pPr>
              <w:pStyle w:val="null3"/>
            </w:pPr>
            <w:r>
              <w:rPr/>
              <w:t>10</w:t>
            </w:r>
          </w:p>
        </w:tc>
        <w:tc>
          <w:tcPr>
            <w:tcW w:type="dxa" w:w="2492"/>
          </w:tcPr>
          <w:p>
            <w:pPr>
              <w:pStyle w:val="null3"/>
            </w:pPr>
            <w:r>
              <w:rPr/>
              <w:t>本项目不接受联合体磋商</w:t>
            </w:r>
          </w:p>
        </w:tc>
        <w:tc>
          <w:tcPr>
            <w:tcW w:type="dxa" w:w="3322"/>
          </w:tcPr>
          <w:p>
            <w:pPr>
              <w:pStyle w:val="null3"/>
            </w:pPr>
            <w:r>
              <w:rPr/>
              <w:t>本项目不接受联合体磋商，供应商需在项目电子化交易系统中按要求上传相应承诺文件 并进行电子签章</w:t>
            </w:r>
          </w:p>
        </w:tc>
        <w:tc>
          <w:tcPr>
            <w:tcW w:type="dxa" w:w="1661"/>
          </w:tcPr>
          <w:p>
            <w:pPr>
              <w:pStyle w:val="null3"/>
            </w:pPr>
            <w:r>
              <w:rPr/>
              <w:t>供应商应提交的相关资格证明材料 供应商资格证明文件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交货期</w:t>
            </w:r>
          </w:p>
        </w:tc>
        <w:tc>
          <w:tcPr>
            <w:tcW w:type="dxa" w:w="3322"/>
          </w:tcPr>
          <w:p>
            <w:pPr>
              <w:pStyle w:val="null3"/>
            </w:pPr>
            <w:r>
              <w:rPr/>
              <w:t>符合磋商文件要求</w:t>
            </w:r>
          </w:p>
        </w:tc>
        <w:tc>
          <w:tcPr>
            <w:tcW w:type="dxa" w:w="1661"/>
          </w:tcPr>
          <w:p>
            <w:pPr>
              <w:pStyle w:val="null3"/>
            </w:pPr>
            <w:r>
              <w:rPr/>
              <w:t>商务应答表 磋商响应方案</w:t>
            </w:r>
          </w:p>
        </w:tc>
      </w:tr>
      <w:tr>
        <w:tc>
          <w:tcPr>
            <w:tcW w:type="dxa" w:w="831"/>
          </w:tcPr>
          <w:p>
            <w:pPr>
              <w:pStyle w:val="null3"/>
            </w:pPr>
            <w:r>
              <w:rPr/>
              <w:t>3</w:t>
            </w:r>
          </w:p>
        </w:tc>
        <w:tc>
          <w:tcPr>
            <w:tcW w:type="dxa" w:w="2492"/>
          </w:tcPr>
          <w:p>
            <w:pPr>
              <w:pStyle w:val="null3"/>
            </w:pPr>
            <w:r>
              <w:rPr/>
              <w:t>质保期</w:t>
            </w:r>
          </w:p>
        </w:tc>
        <w:tc>
          <w:tcPr>
            <w:tcW w:type="dxa" w:w="3322"/>
          </w:tcPr>
          <w:p>
            <w:pPr>
              <w:pStyle w:val="null3"/>
            </w:pPr>
            <w:r>
              <w:rPr/>
              <w:t>符合磋商文件要求</w:t>
            </w:r>
          </w:p>
        </w:tc>
        <w:tc>
          <w:tcPr>
            <w:tcW w:type="dxa" w:w="1661"/>
          </w:tcPr>
          <w:p>
            <w:pPr>
              <w:pStyle w:val="null3"/>
            </w:pPr>
            <w:r>
              <w:rPr/>
              <w:t>商务应答表 磋商响应方案</w:t>
            </w:r>
          </w:p>
        </w:tc>
      </w:tr>
      <w:tr>
        <w:tc>
          <w:tcPr>
            <w:tcW w:type="dxa" w:w="831"/>
          </w:tcPr>
          <w:p>
            <w:pPr>
              <w:pStyle w:val="null3"/>
            </w:pPr>
            <w:r>
              <w:rPr/>
              <w:t>4</w:t>
            </w:r>
          </w:p>
        </w:tc>
        <w:tc>
          <w:tcPr>
            <w:tcW w:type="dxa" w:w="2492"/>
          </w:tcPr>
          <w:p>
            <w:pPr>
              <w:pStyle w:val="null3"/>
            </w:pPr>
            <w:r>
              <w:rPr/>
              <w:t>付款方式</w:t>
            </w:r>
          </w:p>
        </w:tc>
        <w:tc>
          <w:tcPr>
            <w:tcW w:type="dxa" w:w="3322"/>
          </w:tcPr>
          <w:p>
            <w:pPr>
              <w:pStyle w:val="null3"/>
            </w:pPr>
            <w:r>
              <w:rPr/>
              <w:t>符合磋商文件要求</w:t>
            </w:r>
          </w:p>
        </w:tc>
        <w:tc>
          <w:tcPr>
            <w:tcW w:type="dxa" w:w="1661"/>
          </w:tcPr>
          <w:p>
            <w:pPr>
              <w:pStyle w:val="null3"/>
            </w:pPr>
            <w:r>
              <w:rPr/>
              <w:t>商务应答表 磋商响应方案</w:t>
            </w:r>
          </w:p>
        </w:tc>
      </w:tr>
      <w:tr>
        <w:tc>
          <w:tcPr>
            <w:tcW w:type="dxa" w:w="831"/>
          </w:tcPr>
          <w:p>
            <w:pPr>
              <w:pStyle w:val="null3"/>
            </w:pPr>
            <w:r>
              <w:rPr/>
              <w:t>5</w:t>
            </w:r>
          </w:p>
        </w:tc>
        <w:tc>
          <w:tcPr>
            <w:tcW w:type="dxa" w:w="2492"/>
          </w:tcPr>
          <w:p>
            <w:pPr>
              <w:pStyle w:val="null3"/>
            </w:pPr>
            <w:r>
              <w:rPr/>
              <w:t>磋商响应有效期</w:t>
            </w:r>
          </w:p>
        </w:tc>
        <w:tc>
          <w:tcPr>
            <w:tcW w:type="dxa" w:w="3322"/>
          </w:tcPr>
          <w:p>
            <w:pPr>
              <w:pStyle w:val="null3"/>
            </w:pPr>
            <w:r>
              <w:rPr/>
              <w:t>磋商响应有效期不少于90天</w:t>
            </w:r>
          </w:p>
        </w:tc>
        <w:tc>
          <w:tcPr>
            <w:tcW w:type="dxa" w:w="1661"/>
          </w:tcPr>
          <w:p>
            <w:pPr>
              <w:pStyle w:val="null3"/>
            </w:pPr>
            <w:r>
              <w:rPr/>
              <w:t>响应函</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节能环保</w:t>
            </w:r>
          </w:p>
        </w:tc>
        <w:tc>
          <w:tcPr>
            <w:tcW w:type="dxa" w:w="2492"/>
          </w:tcPr>
          <w:p>
            <w:pPr>
              <w:pStyle w:val="null3"/>
            </w:pPr>
            <w:r>
              <w:rPr/>
              <w:t>投标产品每有一项为节能、环保、环境标志产品清单中的产品得0.5分，满分2分（以经国家确定的认证机构出具的、处于有效期内的节能产品、环境标志产品认证证书为准）。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磋商响应方案</w:t>
            </w:r>
          </w:p>
        </w:tc>
      </w:tr>
      <w:tr>
        <w:tc>
          <w:tcPr>
            <w:tcW w:type="dxa" w:w="831"/>
            <w:vMerge/>
          </w:tcPr>
          <w:p/>
        </w:tc>
        <w:tc>
          <w:tcPr>
            <w:tcW w:type="dxa" w:w="1661"/>
          </w:tcPr>
          <w:p>
            <w:pPr>
              <w:pStyle w:val="null3"/>
            </w:pPr>
            <w:r>
              <w:rPr/>
              <w:t>技术参数</w:t>
            </w:r>
          </w:p>
        </w:tc>
        <w:tc>
          <w:tcPr>
            <w:tcW w:type="dxa" w:w="2492"/>
          </w:tcPr>
          <w:p>
            <w:pPr>
              <w:pStyle w:val="null3"/>
            </w:pPr>
            <w:r>
              <w:rPr/>
              <w:t>投标产品完全符合、响应磋商文件要求，没有负偏离的得20分，加“▲”参数，每有一条技术指标负偏离扣2分；非“▲”参数中每有一条技术指标负偏离扣1分，扣完为止。满分20分。注：供应商须在技术响应表中对技术参数进行回应，并尽可能多的提供相关技术参数佐证材料（佐证材料不限于：经厂家确认的产品彩页、检测报告、官网截图等证明材料）予以证明其技术参数的响应性。供应商自行承担因证明材料不全而被视为技术参数偏离的风险。</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产品技术参数表</w:t>
            </w:r>
          </w:p>
        </w:tc>
      </w:tr>
      <w:tr>
        <w:tc>
          <w:tcPr>
            <w:tcW w:type="dxa" w:w="831"/>
            <w:vMerge/>
          </w:tcPr>
          <w:p/>
        </w:tc>
        <w:tc>
          <w:tcPr>
            <w:tcW w:type="dxa" w:w="1661"/>
          </w:tcPr>
          <w:p>
            <w:pPr>
              <w:pStyle w:val="null3"/>
            </w:pPr>
            <w:r>
              <w:rPr/>
              <w:t>投标产品可靠性</w:t>
            </w:r>
          </w:p>
        </w:tc>
        <w:tc>
          <w:tcPr>
            <w:tcW w:type="dxa" w:w="2492"/>
          </w:tcPr>
          <w:p>
            <w:pPr>
              <w:pStyle w:val="null3"/>
            </w:pPr>
            <w:r>
              <w:rPr/>
              <w:t>设备供货渠道正常、货物来源质量有保证，检验手续完善、合法有效，无产权纠纷（不限于加盖生产厂家公章的原厂正品授权委托书、原厂售后服务、销售协议或代理协议等证明文件），每提供一个有效证明计1分，满分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磋商响应方案</w:t>
            </w:r>
          </w:p>
        </w:tc>
      </w:tr>
      <w:tr>
        <w:tc>
          <w:tcPr>
            <w:tcW w:type="dxa" w:w="831"/>
            <w:vMerge/>
          </w:tcPr>
          <w:p/>
        </w:tc>
        <w:tc>
          <w:tcPr>
            <w:tcW w:type="dxa" w:w="1661"/>
          </w:tcPr>
          <w:p>
            <w:pPr>
              <w:pStyle w:val="null3"/>
            </w:pPr>
            <w:r>
              <w:rPr/>
              <w:t>供货方案</w:t>
            </w:r>
          </w:p>
        </w:tc>
        <w:tc>
          <w:tcPr>
            <w:tcW w:type="dxa" w:w="2492"/>
          </w:tcPr>
          <w:p>
            <w:pPr>
              <w:pStyle w:val="null3"/>
            </w:pPr>
            <w:r>
              <w:rPr/>
              <w:t>根据提供具体详细可行的供货方案（人员安排、运输、安装）等综合评定。 方案科学合理、切实可行，满足实际需要得（7-10〕分；方案合理、基本可行，得（4-7〕分；方案较差，得〔0-4〕分。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磋商响应方案</w:t>
            </w:r>
          </w:p>
        </w:tc>
      </w:tr>
      <w:tr>
        <w:tc>
          <w:tcPr>
            <w:tcW w:type="dxa" w:w="831"/>
            <w:vMerge/>
          </w:tcPr>
          <w:p/>
        </w:tc>
        <w:tc>
          <w:tcPr>
            <w:tcW w:type="dxa" w:w="1661"/>
          </w:tcPr>
          <w:p>
            <w:pPr>
              <w:pStyle w:val="null3"/>
            </w:pPr>
            <w:r>
              <w:rPr/>
              <w:t>备品备件</w:t>
            </w:r>
          </w:p>
        </w:tc>
        <w:tc>
          <w:tcPr>
            <w:tcW w:type="dxa" w:w="2492"/>
          </w:tcPr>
          <w:p>
            <w:pPr>
              <w:pStyle w:val="null3"/>
            </w:pPr>
            <w:r>
              <w:rPr/>
              <w:t>依据响应文件所提供的投标产品备品备件（易损件）清单完整程度、报价及相关承诺，自主赋分：1、清单完整、报价合理、相关承诺完整有效且年限长，得[3-5]分；2、清单有缺失、报价较高、相关承诺完整有效但年限较短，得[1-3）分；未提供承诺函或承诺年限≤质量保证期的，本项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磋商响应方案</w:t>
            </w:r>
          </w:p>
        </w:tc>
      </w:tr>
      <w:tr>
        <w:tc>
          <w:tcPr>
            <w:tcW w:type="dxa" w:w="831"/>
            <w:vMerge/>
          </w:tcPr>
          <w:p/>
        </w:tc>
        <w:tc>
          <w:tcPr>
            <w:tcW w:type="dxa" w:w="1661"/>
          </w:tcPr>
          <w:p>
            <w:pPr>
              <w:pStyle w:val="null3"/>
            </w:pPr>
            <w:r>
              <w:rPr/>
              <w:t>业绩</w:t>
            </w:r>
          </w:p>
        </w:tc>
        <w:tc>
          <w:tcPr>
            <w:tcW w:type="dxa" w:w="2492"/>
          </w:tcPr>
          <w:p>
            <w:pPr>
              <w:pStyle w:val="null3"/>
            </w:pPr>
            <w:r>
              <w:rPr/>
              <w:t>提供2021年1月至今类似项目业绩，响应文件中附有其合同文件为依据（提供加盖供应商红色公章的完整复印件，合同以签订时间为准），供应商提供一份业绩得1分本项最高得5分。不提供或不按要求提供，本项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w:t>
            </w:r>
          </w:p>
        </w:tc>
      </w:tr>
      <w:tr>
        <w:tc>
          <w:tcPr>
            <w:tcW w:type="dxa" w:w="831"/>
            <w:vMerge/>
          </w:tcPr>
          <w:p/>
        </w:tc>
        <w:tc>
          <w:tcPr>
            <w:tcW w:type="dxa" w:w="1661"/>
          </w:tcPr>
          <w:p>
            <w:pPr>
              <w:pStyle w:val="null3"/>
            </w:pPr>
            <w:r>
              <w:rPr/>
              <w:t>售后服务</w:t>
            </w:r>
          </w:p>
        </w:tc>
        <w:tc>
          <w:tcPr>
            <w:tcW w:type="dxa" w:w="2492"/>
          </w:tcPr>
          <w:p>
            <w:pPr>
              <w:pStyle w:val="null3"/>
            </w:pPr>
            <w:r>
              <w:rPr/>
              <w:t>根据各供应商的售后服务承诺，保修计划（包括具体的售后服务内容、响应方式、响应时间、问题管理、返修管理、技术培训等）进行评审。 售后服务措施和承诺具体、详细可行，完全符合采购人需求得(7-10]分； 售后服务措施和承诺较完善，内容一般，但基本符合采购人需求得(4-7]分； 售后服务措施和承诺差，内容简略。得(0-4]分，未提供不得分。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磋商响应方案</w:t>
            </w:r>
          </w:p>
        </w:tc>
      </w:tr>
      <w:tr>
        <w:tc>
          <w:tcPr>
            <w:tcW w:type="dxa" w:w="831"/>
            <w:vMerge/>
          </w:tcPr>
          <w:p/>
        </w:tc>
        <w:tc>
          <w:tcPr>
            <w:tcW w:type="dxa" w:w="1661"/>
          </w:tcPr>
          <w:p>
            <w:pPr>
              <w:pStyle w:val="null3"/>
            </w:pPr>
            <w:r>
              <w:rPr/>
              <w:t>演示</w:t>
            </w:r>
          </w:p>
        </w:tc>
        <w:tc>
          <w:tcPr>
            <w:tcW w:type="dxa" w:w="2492"/>
          </w:tcPr>
          <w:p>
            <w:pPr>
              <w:pStyle w:val="null3"/>
            </w:pPr>
            <w:r>
              <w:rPr/>
              <w:t>供应商应按照磋商文件中“要求演示”条款参数的内容进行逐条演示，磋商小组会根据各供应商现场演示情况予以赋分0-15分。演示内容齐全、功能完备，符合采购人需求得(10-15]分；演示功能有部分缺失，得(5-10]分；模块缺失，功能不匹配，演示差，得(0-5]分，不演示不得分。注：各供应商演示时间共计不得超过10分钟。各供应商应在上述规定时间内完成演示部分的全部内容，如因时间问题未能演示完成或中断演示的，由供应商自行承担相关不利风险。各供应商应在演示前提前做好相关演示准备。且各供应商需自行准备相关演示所用的设施设备，并且自行考虑相关外部网络链接等问题，如在开标现场因供应商自身问题而造成的演示停滞、无法演示等情况，由供应商自行承担相关不利风险。未提供演示或因供应商自身原因无法演示的，将按照0分计入。</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磋商价格（最终报价）最低的磋商报价为评标基准价，其价格分为满分。其他供应商的价格分统一按照下列公式计算：磋商报价得分=（评标基准价/磋商报价）×30，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详见附件：供应商资格证明文件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详见附件：磋商响应方案</w:t>
      </w:r>
    </w:p>
    <w:p>
      <w:pPr>
        <w:pStyle w:val="null3"/>
        <w:ind w:firstLine="960"/>
      </w:pPr>
      <w:r>
        <w:rPr/>
        <w:t>详见附件：业绩</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详见附件：1、货物采购类合同.docx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