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版本号：241219004</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全数字彩色多普勒超声诊断仪</w:t>
      </w:r>
    </w:p>
    <w:p>
      <w:pPr>
        <w:pStyle w:val="null3"/>
        <w:jc w:val="center"/>
        <w:outlineLvl w:val="2"/>
      </w:pPr>
      <w:r>
        <w:rPr>
          <w:sz w:val="28"/>
          <w:b/>
        </w:rPr>
        <w:t>采购项目编号：</w:t>
      </w:r>
      <w:r>
        <w:rPr>
          <w:sz w:val="28"/>
          <w:b/>
        </w:rPr>
        <w:t>SXZBBJ2024-51</w:t>
      </w:r>
      <w:r>
        <w:br/>
      </w:r>
      <w:r>
        <w:br/>
      </w:r>
      <w:r>
        <w:br/>
      </w:r>
    </w:p>
    <w:p>
      <w:pPr>
        <w:pStyle w:val="null3"/>
        <w:jc w:val="center"/>
        <w:outlineLvl w:val="2"/>
      </w:pPr>
      <w:r>
        <w:rPr>
          <w:sz w:val="28"/>
          <w:b/>
        </w:rPr>
        <w:t>西安医学院附属宝鸡医院</w:t>
      </w:r>
    </w:p>
    <w:p>
      <w:pPr>
        <w:pStyle w:val="null3"/>
        <w:jc w:val="center"/>
        <w:outlineLvl w:val="2"/>
      </w:pPr>
      <w:r>
        <w:rPr>
          <w:sz w:val="28"/>
          <w:b/>
        </w:rPr>
        <w:t>陕西盛鑫药械招标有限公司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陕西盛鑫药械招标有限公司</w:t>
      </w:r>
      <w:r>
        <w:rPr/>
        <w:t>（以下简称“代理机构”）受</w:t>
      </w:r>
      <w:r>
        <w:rPr/>
        <w:t>西安医学院附属宝鸡医院</w:t>
      </w:r>
      <w:r>
        <w:rPr/>
        <w:t>委托，拟对</w:t>
      </w:r>
      <w:r>
        <w:rPr/>
        <w:t>全数字彩色多普勒超声诊断仪</w:t>
      </w:r>
      <w:r>
        <w:rPr/>
        <w:t>采用竞争性谈判采购方式进行采购，兹邀请供应商参加本项目的竞争性谈判。</w:t>
      </w:r>
    </w:p>
    <w:p>
      <w:pPr>
        <w:pStyle w:val="null3"/>
        <w:outlineLvl w:val="2"/>
      </w:pPr>
      <w:r>
        <w:rPr>
          <w:sz w:val="28"/>
          <w:b/>
        </w:rPr>
        <w:t>一、项目编号：</w:t>
      </w:r>
      <w:r>
        <w:rPr>
          <w:sz w:val="28"/>
          <w:b/>
        </w:rPr>
        <w:t>SXZBBJ2024-51</w:t>
      </w:r>
    </w:p>
    <w:p>
      <w:pPr>
        <w:pStyle w:val="null3"/>
        <w:outlineLvl w:val="2"/>
      </w:pPr>
      <w:r>
        <w:rPr>
          <w:sz w:val="28"/>
          <w:b/>
        </w:rPr>
        <w:t>二、项目名称：</w:t>
      </w:r>
      <w:r>
        <w:rPr>
          <w:sz w:val="28"/>
          <w:b/>
        </w:rPr>
        <w:t>全数字彩色多普勒超声诊断仪</w:t>
      </w:r>
    </w:p>
    <w:p>
      <w:pPr>
        <w:pStyle w:val="null3"/>
        <w:outlineLvl w:val="2"/>
      </w:pPr>
      <w:r>
        <w:rPr>
          <w:sz w:val="28"/>
          <w:b/>
        </w:rPr>
        <w:t>三、谈判项目简介：</w:t>
      </w:r>
    </w:p>
    <w:p>
      <w:pPr>
        <w:pStyle w:val="null3"/>
        <w:ind w:firstLine="480"/>
      </w:pPr>
      <w:r>
        <w:rPr/>
        <w:t>西安医学院附属宝鸡医院全数字彩色多普勒超声诊断仪采购项目，设备名称：全数字彩色多普勒超声诊断仪；数量：1台；采购预算：60.00万元；采购方式：竞争性谈判。</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1、具有独立承担民事责任的能力：提供合法有效的统一社会信用代码的营业执照。</w:t>
      </w:r>
    </w:p>
    <w:p>
      <w:pPr>
        <w:pStyle w:val="null3"/>
      </w:pPr>
      <w:r>
        <w:rPr/>
        <w:t>2、投标授权：投标代表参加投标，提供法定代表人授权委托书及授权代表身份证复印件（法定代表人参加投标，提供法定代表人证明书及法定代表人身份证复印件）</w:t>
      </w:r>
    </w:p>
    <w:p>
      <w:pPr>
        <w:pStyle w:val="null3"/>
      </w:pPr>
      <w:r>
        <w:rPr/>
        <w:t>3、具有良好的商业信誉和健全的财务会计制度：提供2023年度经审计的财务会计报告，或其开标截止之日前6个月内基本存款账户开户银行出具的资信证明；</w:t>
      </w:r>
    </w:p>
    <w:p>
      <w:pPr>
        <w:pStyle w:val="null3"/>
      </w:pPr>
      <w:r>
        <w:rPr/>
        <w:t>4、有履行合同所必需的设备和专业技术能力：提供有履行合同所必需的设备和专业技术能力书面承诺</w:t>
      </w:r>
    </w:p>
    <w:p>
      <w:pPr>
        <w:pStyle w:val="null3"/>
      </w:pPr>
      <w:r>
        <w:rPr/>
        <w:t>5、有依法缴纳税收和社会保障资金的良好记录：提供2024年任意一个月的纳税证明或完税证明（依法免税的供应商应提供相关文件证明）和社会保障资金缴纳证明（专用收据或社会保险缴纳清单或参保缴费证明，依法不需要缴纳社会保障资金的供应商应提供相关文件证明）</w:t>
      </w:r>
    </w:p>
    <w:p>
      <w:pPr>
        <w:pStyle w:val="null3"/>
      </w:pPr>
      <w:r>
        <w:rPr/>
        <w:t>6、参加政府采购活动前三年内在经营活动中没有重大违法记录：提供参加政府采购活动前三年内在经营活动中没有重大违法记录书面声明</w:t>
      </w:r>
    </w:p>
    <w:p>
      <w:pPr>
        <w:pStyle w:val="null3"/>
      </w:pPr>
      <w:r>
        <w:rPr/>
        <w:t>7、投标产品经营资质：经销商的应提供《医疗器械经营许可证》或《医疗器械经营备案凭证》及投标产品《医疗器械注册证》；制造厂家的须出具投标产品《医疗器械生产许可证》（进口产品除外）、《医疗器械经营许可证》及所投产品《医疗器械注册证》。所投产品属于二类医疗设备的应提供《医疗器械经营备案凭证》，所投产品属于三类医疗设备的应提供《医疗器械经营许可证》。所投产品不属于医疗设备的，提供相关产品证明文件。</w:t>
      </w:r>
    </w:p>
    <w:p>
      <w:pPr>
        <w:pStyle w:val="null3"/>
      </w:pPr>
      <w:r>
        <w:rPr/>
        <w:t>8、非联合体投标：本项目不允许联合体投标，提供书面声明。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西安医学院附属宝鸡医院</w:t>
      </w:r>
    </w:p>
    <w:p>
      <w:pPr>
        <w:pStyle w:val="null3"/>
      </w:pPr>
      <w:r>
        <w:rPr/>
        <w:t xml:space="preserve"> 地址： </w:t>
      </w:r>
      <w:r>
        <w:rPr/>
        <w:t>陕西省宝鸡市渭滨区清姜路4号</w:t>
      </w:r>
    </w:p>
    <w:p>
      <w:pPr>
        <w:pStyle w:val="null3"/>
      </w:pPr>
      <w:r>
        <w:rPr/>
        <w:t xml:space="preserve"> 邮编： </w:t>
      </w:r>
      <w:r>
        <w:rPr/>
        <w:t>721000</w:t>
      </w:r>
    </w:p>
    <w:p>
      <w:pPr>
        <w:pStyle w:val="null3"/>
      </w:pPr>
      <w:r>
        <w:rPr/>
        <w:t xml:space="preserve"> 联系人： </w:t>
      </w:r>
      <w:r>
        <w:rPr/>
        <w:t>王老师</w:t>
      </w:r>
    </w:p>
    <w:p>
      <w:pPr>
        <w:pStyle w:val="null3"/>
      </w:pPr>
      <w:r>
        <w:rPr/>
        <w:t xml:space="preserve"> 联系电话： </w:t>
      </w:r>
      <w:r>
        <w:rPr/>
        <w:t>0917-3212081</w:t>
      </w:r>
    </w:p>
    <w:p>
      <w:pPr>
        <w:pStyle w:val="null3"/>
        <w:outlineLvl w:val="3"/>
      </w:pPr>
      <w:r>
        <w:rPr>
          <w:sz w:val="24"/>
          <w:b/>
        </w:rPr>
        <w:t>代理机构：</w:t>
      </w:r>
      <w:r>
        <w:rPr>
          <w:sz w:val="24"/>
          <w:b/>
        </w:rPr>
        <w:t>陕西盛鑫药械招标有限公司</w:t>
      </w:r>
    </w:p>
    <w:p>
      <w:pPr>
        <w:pStyle w:val="null3"/>
      </w:pPr>
      <w:r>
        <w:rPr/>
        <w:t xml:space="preserve"> 地址： </w:t>
      </w:r>
      <w:r>
        <w:rPr/>
        <w:t>西安市雁塔区南二环西段88号老三届世纪星大厦28层K座</w:t>
      </w:r>
    </w:p>
    <w:p>
      <w:pPr>
        <w:pStyle w:val="null3"/>
      </w:pPr>
      <w:r>
        <w:rPr/>
        <w:t xml:space="preserve"> 邮编： </w:t>
      </w:r>
      <w:r>
        <w:rPr/>
        <w:t>710065</w:t>
      </w:r>
    </w:p>
    <w:p>
      <w:pPr>
        <w:pStyle w:val="null3"/>
      </w:pPr>
      <w:r>
        <w:rPr/>
        <w:t xml:space="preserve"> 联系人： </w:t>
      </w:r>
      <w:r>
        <w:rPr/>
        <w:t>刘老师</w:t>
      </w:r>
    </w:p>
    <w:p>
      <w:pPr>
        <w:pStyle w:val="null3"/>
      </w:pPr>
      <w:r>
        <w:rPr/>
        <w:t xml:space="preserve"> 联系电话： </w:t>
      </w:r>
      <w:r>
        <w:rPr/>
        <w:t>029-81873383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开户名称：陕西盛鑫药械招标有限公司</w:t>
            </w:r>
          </w:p>
          <w:p>
            <w:pPr>
              <w:pStyle w:val="null3"/>
            </w:pPr>
            <w:r>
              <w:rPr/>
              <w:t>开户银行：中国工商银行西安吉祥路支行</w:t>
            </w:r>
          </w:p>
          <w:p>
            <w:pPr>
              <w:pStyle w:val="null3"/>
            </w:pPr>
            <w:r>
              <w:rPr/>
              <w:t>银行账号：3700079419200031802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代理服务费收费标准：参照原国家计委计价格〔2002〕1980号文和国家发改委发改办价格〔2003〕857号文的计算方法计算收取，不足4000元，按4000元收取，由中标人支付。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西安医学院附属宝鸡医院</w:t>
      </w:r>
      <w:r>
        <w:rPr/>
        <w:t>和</w:t>
      </w:r>
      <w:r>
        <w:rPr/>
        <w:t>陕西盛鑫药械招标有限公司</w:t>
      </w:r>
      <w:r>
        <w:rPr/>
        <w:t>享有。竞争性谈判文件中供应商参加本次政府采购活动应当具备的条件、技术清单、参数、商务及其他要求由</w:t>
      </w:r>
      <w:r>
        <w:rPr/>
        <w:t>西安医学院附属宝鸡医院</w:t>
      </w:r>
      <w:r>
        <w:rPr/>
        <w:t>负责解释。除上述竞争性谈判文件内容，其他内容由</w:t>
      </w:r>
      <w:r>
        <w:rPr/>
        <w:t>陕西盛鑫药械招标有限公司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西安医学院附属宝鸡医院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陕西盛鑫药械招标有限公司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按照国家相关法律法规及该设备的招标文件条款进行验收。</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陕西盛鑫药械招标有限公司</w:t>
      </w:r>
      <w:r>
        <w:rPr/>
        <w:t xml:space="preserve"> 负责答复；供应商对除采购需求外的采购文件的询问、质疑由</w:t>
      </w:r>
      <w:r>
        <w:rPr/>
        <w:t>陕西盛鑫药械招标有限公司</w:t>
      </w:r>
      <w:r>
        <w:rPr/>
        <w:t xml:space="preserve"> 负责答复；供应商对采购过程、采购结果的询问、质疑由 </w:t>
      </w:r>
      <w:r>
        <w:rPr/>
        <w:t>陕西盛鑫药械招标有限公司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联系人：刘老师</w:t>
      </w:r>
    </w:p>
    <w:p>
      <w:pPr>
        <w:pStyle w:val="null3"/>
      </w:pPr>
      <w:r>
        <w:rPr/>
        <w:t>联系电话：029-81873383</w:t>
      </w:r>
    </w:p>
    <w:p>
      <w:pPr>
        <w:pStyle w:val="null3"/>
      </w:pPr>
      <w:r>
        <w:rPr/>
        <w:t>地址：西安市雁塔区南二环西段88号老三届世纪星大厦28层K座</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西安医学院附属宝鸡医院全数字彩色多普勒超声诊断仪采购项目；设备名称：全数字彩色多普勒超声诊断仪；数量：1台；采购预算：60万元；采购方式：竞争性谈判。</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全数字彩色多普勒超声诊断仪</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标的名称：全数字彩色多普勒超声诊断仪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微软雅黑" w:hAnsi="微软雅黑" w:cs="微软雅黑" w:eastAsia="微软雅黑"/>
                <w:sz w:val="24"/>
              </w:rPr>
              <w:t>主机及</w:t>
            </w:r>
            <w:r>
              <w:rPr>
                <w:rFonts w:ascii="微软雅黑" w:hAnsi="微软雅黑" w:cs="微软雅黑" w:eastAsia="微软雅黑"/>
                <w:sz w:val="24"/>
              </w:rPr>
              <w:t>技术</w:t>
            </w:r>
            <w:r>
              <w:rPr>
                <w:rFonts w:ascii="微软雅黑" w:hAnsi="微软雅黑" w:cs="微软雅黑" w:eastAsia="微软雅黑"/>
                <w:sz w:val="24"/>
              </w:rPr>
              <w:t>参数要求</w:t>
            </w:r>
          </w:p>
          <w:p>
            <w:pPr>
              <w:pStyle w:val="null3"/>
              <w:jc w:val="left"/>
            </w:pPr>
            <w:r>
              <w:rPr>
                <w:rFonts w:ascii="微软雅黑" w:hAnsi="微软雅黑" w:cs="微软雅黑" w:eastAsia="微软雅黑"/>
                <w:sz w:val="24"/>
              </w:rPr>
              <w:t>1、通用功能</w:t>
            </w:r>
          </w:p>
          <w:p>
            <w:pPr>
              <w:pStyle w:val="null3"/>
              <w:jc w:val="left"/>
            </w:pPr>
            <w:r>
              <w:rPr>
                <w:rFonts w:ascii="微软雅黑" w:hAnsi="微软雅黑" w:cs="微软雅黑" w:eastAsia="微软雅黑"/>
                <w:sz w:val="24"/>
              </w:rPr>
              <w:t>1.1、</w:t>
            </w:r>
            <w:r>
              <w:rPr>
                <w:rFonts w:ascii="微软雅黑" w:hAnsi="微软雅黑" w:cs="微软雅黑" w:eastAsia="微软雅黑"/>
                <w:sz w:val="24"/>
              </w:rPr>
              <w:t>21英寸高分辨率液晶显示器</w:t>
            </w:r>
            <w:r>
              <w:rPr>
                <w:rFonts w:ascii="微软雅黑" w:hAnsi="微软雅黑" w:cs="微软雅黑" w:eastAsia="微软雅黑"/>
                <w:sz w:val="24"/>
              </w:rPr>
              <w:t>，</w:t>
            </w:r>
            <w:r>
              <w:rPr>
                <w:rFonts w:ascii="微软雅黑" w:hAnsi="微软雅黑" w:cs="微软雅黑" w:eastAsia="微软雅黑"/>
                <w:sz w:val="24"/>
              </w:rPr>
              <w:t>≥13英寸液晶触摸屏</w:t>
            </w:r>
            <w:r>
              <w:rPr>
                <w:rFonts w:ascii="微软雅黑" w:hAnsi="微软雅黑" w:cs="微软雅黑" w:eastAsia="微软雅黑"/>
                <w:sz w:val="24"/>
              </w:rPr>
              <w:t>，操作台可以上下调整位置</w:t>
            </w:r>
          </w:p>
          <w:p>
            <w:pPr>
              <w:pStyle w:val="null3"/>
              <w:jc w:val="left"/>
            </w:pPr>
            <w:r>
              <w:rPr>
                <w:rFonts w:ascii="微软雅黑" w:hAnsi="微软雅黑" w:cs="微软雅黑" w:eastAsia="微软雅黑"/>
                <w:sz w:val="24"/>
              </w:rPr>
              <w:t>1.2、</w:t>
            </w:r>
            <w:r>
              <w:rPr>
                <w:rFonts w:ascii="微软雅黑" w:hAnsi="微软雅黑" w:cs="微软雅黑" w:eastAsia="微软雅黑"/>
                <w:sz w:val="24"/>
              </w:rPr>
              <w:t>二维灰阶模式</w:t>
            </w:r>
          </w:p>
          <w:p>
            <w:pPr>
              <w:pStyle w:val="null3"/>
              <w:jc w:val="left"/>
            </w:pPr>
            <w:r>
              <w:rPr>
                <w:rFonts w:ascii="微软雅黑" w:hAnsi="微软雅黑" w:cs="微软雅黑" w:eastAsia="微软雅黑"/>
                <w:sz w:val="24"/>
              </w:rPr>
              <w:t>1.3、</w:t>
            </w:r>
            <w:r>
              <w:rPr>
                <w:rFonts w:ascii="微软雅黑" w:hAnsi="微软雅黑" w:cs="微软雅黑" w:eastAsia="微软雅黑"/>
                <w:sz w:val="24"/>
              </w:rPr>
              <w:t>谐波成像模式</w:t>
            </w:r>
          </w:p>
          <w:p>
            <w:pPr>
              <w:pStyle w:val="null3"/>
              <w:jc w:val="left"/>
            </w:pPr>
            <w:r>
              <w:rPr>
                <w:rFonts w:ascii="微软雅黑" w:hAnsi="微软雅黑" w:cs="微软雅黑" w:eastAsia="微软雅黑"/>
                <w:sz w:val="24"/>
              </w:rPr>
              <w:t>1.4、</w:t>
            </w:r>
            <w:r>
              <w:rPr>
                <w:rFonts w:ascii="微软雅黑" w:hAnsi="微软雅黑" w:cs="微软雅黑" w:eastAsia="微软雅黑"/>
                <w:sz w:val="24"/>
              </w:rPr>
              <w:t>M型模式</w:t>
            </w:r>
          </w:p>
          <w:p>
            <w:pPr>
              <w:pStyle w:val="null3"/>
              <w:jc w:val="left"/>
            </w:pPr>
            <w:r>
              <w:rPr>
                <w:rFonts w:ascii="微软雅黑" w:hAnsi="微软雅黑" w:cs="微软雅黑" w:eastAsia="微软雅黑"/>
                <w:sz w:val="24"/>
              </w:rPr>
              <w:t>1.5、</w:t>
            </w:r>
            <w:r>
              <w:rPr>
                <w:rFonts w:ascii="微软雅黑" w:hAnsi="微软雅黑" w:cs="微软雅黑" w:eastAsia="微软雅黑"/>
                <w:sz w:val="24"/>
              </w:rPr>
              <w:t>彩色</w:t>
            </w:r>
            <w:r>
              <w:rPr>
                <w:rFonts w:ascii="微软雅黑" w:hAnsi="微软雅黑" w:cs="微软雅黑" w:eastAsia="微软雅黑"/>
                <w:sz w:val="24"/>
              </w:rPr>
              <w:t>M型模式</w:t>
            </w:r>
          </w:p>
          <w:p>
            <w:pPr>
              <w:pStyle w:val="null3"/>
              <w:jc w:val="left"/>
            </w:pPr>
            <w:r>
              <w:rPr>
                <w:rFonts w:ascii="微软雅黑" w:hAnsi="微软雅黑" w:cs="微软雅黑" w:eastAsia="微软雅黑"/>
                <w:sz w:val="24"/>
              </w:rPr>
              <w:t>1.6、</w:t>
            </w:r>
            <w:r>
              <w:rPr>
                <w:rFonts w:ascii="微软雅黑" w:hAnsi="微软雅黑" w:cs="微软雅黑" w:eastAsia="微软雅黑"/>
                <w:sz w:val="24"/>
              </w:rPr>
              <w:t>解剖</w:t>
            </w:r>
            <w:r>
              <w:rPr>
                <w:rFonts w:ascii="微软雅黑" w:hAnsi="微软雅黑" w:cs="微软雅黑" w:eastAsia="微软雅黑"/>
                <w:sz w:val="24"/>
              </w:rPr>
              <w:t>M型模式 (≥3条取样线)</w:t>
            </w:r>
          </w:p>
          <w:p>
            <w:pPr>
              <w:pStyle w:val="null3"/>
              <w:jc w:val="left"/>
            </w:pPr>
            <w:r>
              <w:rPr>
                <w:rFonts w:ascii="微软雅黑" w:hAnsi="微软雅黑" w:cs="微软雅黑" w:eastAsia="微软雅黑"/>
                <w:sz w:val="24"/>
              </w:rPr>
              <w:t>1.7、</w:t>
            </w:r>
            <w:r>
              <w:rPr>
                <w:rFonts w:ascii="微软雅黑" w:hAnsi="微软雅黑" w:cs="微软雅黑" w:eastAsia="微软雅黑"/>
                <w:sz w:val="24"/>
              </w:rPr>
              <w:t>彩色多普勒成像</w:t>
            </w:r>
            <w:r>
              <w:rPr>
                <w:rFonts w:ascii="微软雅黑" w:hAnsi="微软雅黑" w:cs="微软雅黑" w:eastAsia="微软雅黑"/>
                <w:sz w:val="24"/>
              </w:rPr>
              <w:t>（包括彩色、能量、方向能量多普勒模式）</w:t>
            </w:r>
          </w:p>
          <w:p>
            <w:pPr>
              <w:pStyle w:val="null3"/>
              <w:jc w:val="left"/>
            </w:pPr>
            <w:r>
              <w:rPr>
                <w:rFonts w:ascii="微软雅黑" w:hAnsi="微软雅黑" w:cs="微软雅黑" w:eastAsia="微软雅黑"/>
                <w:sz w:val="24"/>
              </w:rPr>
              <w:t>1.8、</w:t>
            </w:r>
            <w:r>
              <w:rPr>
                <w:rFonts w:ascii="微软雅黑" w:hAnsi="微软雅黑" w:cs="微软雅黑" w:eastAsia="微软雅黑"/>
                <w:sz w:val="24"/>
              </w:rPr>
              <w:t>频谱多普勒成像</w:t>
            </w:r>
            <w:r>
              <w:rPr>
                <w:rFonts w:ascii="微软雅黑" w:hAnsi="微软雅黑" w:cs="微软雅黑" w:eastAsia="微软雅黑"/>
                <w:sz w:val="24"/>
              </w:rPr>
              <w:t>（包括脉冲多普勒、高脉冲重复频率、连续波多普勒）</w:t>
            </w:r>
          </w:p>
          <w:p>
            <w:pPr>
              <w:pStyle w:val="null3"/>
              <w:jc w:val="left"/>
            </w:pPr>
            <w:r>
              <w:rPr>
                <w:rFonts w:ascii="微软雅黑" w:hAnsi="微软雅黑" w:cs="微软雅黑" w:eastAsia="微软雅黑"/>
                <w:sz w:val="24"/>
              </w:rPr>
              <w:t>1.9、</w:t>
            </w:r>
            <w:r>
              <w:rPr>
                <w:rFonts w:ascii="微软雅黑" w:hAnsi="微软雅黑" w:cs="微软雅黑" w:eastAsia="微软雅黑"/>
                <w:sz w:val="24"/>
              </w:rPr>
              <w:t>组织多普勒成像（包括</w:t>
            </w:r>
            <w:r>
              <w:rPr>
                <w:rFonts w:ascii="&quot;times new roman&quot;" w:hAnsi="&quot;times new roman&quot;" w:cs="&quot;times new roman&quot;" w:eastAsia="&quot;times new roman&quot;"/>
                <w:sz w:val="24"/>
              </w:rPr>
              <w:t>TVI, TVD, TVM, TEI</w:t>
            </w:r>
            <w:r>
              <w:rPr>
                <w:rFonts w:ascii="微软雅黑" w:hAnsi="微软雅黑" w:cs="微软雅黑" w:eastAsia="微软雅黑"/>
                <w:sz w:val="24"/>
              </w:rPr>
              <w:t>4种模式）</w:t>
            </w:r>
          </w:p>
          <w:p>
            <w:pPr>
              <w:pStyle w:val="null3"/>
              <w:jc w:val="left"/>
            </w:pPr>
            <w:r>
              <w:rPr>
                <w:rFonts w:ascii="微软雅黑" w:hAnsi="微软雅黑" w:cs="微软雅黑" w:eastAsia="微软雅黑"/>
                <w:sz w:val="24"/>
              </w:rPr>
              <w:t>1.10、</w:t>
            </w:r>
            <w:r>
              <w:rPr>
                <w:rFonts w:ascii="微软雅黑" w:hAnsi="微软雅黑" w:cs="微软雅黑" w:eastAsia="微软雅黑"/>
                <w:sz w:val="24"/>
              </w:rPr>
              <w:t>曲线解剖</w:t>
            </w:r>
            <w:r>
              <w:rPr>
                <w:rFonts w:ascii="微软雅黑" w:hAnsi="微软雅黑" w:cs="微软雅黑" w:eastAsia="微软雅黑"/>
                <w:sz w:val="24"/>
              </w:rPr>
              <w:t>M型模式，支持多段曲线连续对心肌取样分析</w:t>
            </w:r>
          </w:p>
          <w:p>
            <w:pPr>
              <w:pStyle w:val="null3"/>
              <w:jc w:val="left"/>
            </w:pPr>
            <w:r>
              <w:rPr>
                <w:rFonts w:ascii="微软雅黑" w:hAnsi="微软雅黑" w:cs="微软雅黑" w:eastAsia="微软雅黑"/>
                <w:sz w:val="24"/>
              </w:rPr>
              <w:t>1.11、</w:t>
            </w:r>
            <w:r>
              <w:rPr>
                <w:rFonts w:ascii="微软雅黑" w:hAnsi="微软雅黑" w:cs="微软雅黑" w:eastAsia="微软雅黑"/>
                <w:sz w:val="24"/>
              </w:rPr>
              <w:t>自由臂三维成像</w:t>
            </w:r>
          </w:p>
          <w:p>
            <w:pPr>
              <w:pStyle w:val="null3"/>
              <w:jc w:val="left"/>
            </w:pPr>
            <w:r>
              <w:rPr>
                <w:rFonts w:ascii="微软雅黑" w:hAnsi="微软雅黑" w:cs="微软雅黑" w:eastAsia="微软雅黑"/>
                <w:sz w:val="24"/>
              </w:rPr>
              <w:t>1.12、</w:t>
            </w:r>
            <w:r>
              <w:rPr>
                <w:rFonts w:ascii="微软雅黑" w:hAnsi="微软雅黑" w:cs="微软雅黑" w:eastAsia="微软雅黑"/>
                <w:sz w:val="24"/>
              </w:rPr>
              <w:t>实时宽景成像</w:t>
            </w:r>
          </w:p>
          <w:p>
            <w:pPr>
              <w:pStyle w:val="null3"/>
              <w:jc w:val="left"/>
            </w:pPr>
            <w:r>
              <w:rPr>
                <w:rFonts w:ascii="微软雅黑" w:hAnsi="微软雅黑" w:cs="微软雅黑" w:eastAsia="微软雅黑"/>
                <w:sz w:val="24"/>
              </w:rPr>
              <w:t>1.13、</w:t>
            </w:r>
            <w:r>
              <w:rPr>
                <w:rFonts w:ascii="微软雅黑" w:hAnsi="微软雅黑" w:cs="微软雅黑" w:eastAsia="微软雅黑"/>
                <w:sz w:val="24"/>
              </w:rPr>
              <w:t>空间复合成像</w:t>
            </w:r>
            <w:r>
              <w:rPr>
                <w:rFonts w:ascii="微软雅黑" w:hAnsi="微软雅黑" w:cs="微软雅黑" w:eastAsia="微软雅黑"/>
                <w:sz w:val="24"/>
              </w:rPr>
              <w:t>，发射线</w:t>
            </w:r>
            <w:r>
              <w:rPr>
                <w:rFonts w:ascii="微软雅黑" w:hAnsi="微软雅黑" w:cs="微软雅黑" w:eastAsia="微软雅黑"/>
                <w:sz w:val="24"/>
              </w:rPr>
              <w:t>≥9条。</w:t>
            </w:r>
          </w:p>
          <w:p>
            <w:pPr>
              <w:pStyle w:val="null3"/>
              <w:jc w:val="left"/>
            </w:pPr>
            <w:r>
              <w:rPr>
                <w:rFonts w:ascii="微软雅黑" w:hAnsi="微软雅黑" w:cs="微软雅黑" w:eastAsia="微软雅黑"/>
                <w:sz w:val="24"/>
              </w:rPr>
              <w:t>1.14、</w:t>
            </w:r>
            <w:r>
              <w:rPr>
                <w:rFonts w:ascii="微软雅黑" w:hAnsi="微软雅黑" w:cs="微软雅黑" w:eastAsia="微软雅黑"/>
                <w:sz w:val="24"/>
              </w:rPr>
              <w:t>斑点噪声抑制技术</w:t>
            </w:r>
            <w:r>
              <w:rPr>
                <w:rFonts w:ascii="微软雅黑" w:hAnsi="微软雅黑" w:cs="微软雅黑" w:eastAsia="微软雅黑"/>
                <w:sz w:val="24"/>
              </w:rPr>
              <w:t>可支持所有探头</w:t>
            </w:r>
          </w:p>
          <w:p>
            <w:pPr>
              <w:pStyle w:val="null3"/>
              <w:jc w:val="left"/>
            </w:pPr>
            <w:r>
              <w:rPr>
                <w:rFonts w:ascii="微软雅黑" w:hAnsi="微软雅黑" w:cs="微软雅黑" w:eastAsia="微软雅黑"/>
                <w:sz w:val="24"/>
              </w:rPr>
              <w:t>1.15</w:t>
            </w:r>
            <w:r>
              <w:rPr>
                <w:rFonts w:ascii="微软雅黑" w:hAnsi="微软雅黑" w:cs="微软雅黑" w:eastAsia="微软雅黑"/>
                <w:sz w:val="24"/>
              </w:rPr>
              <w:t>、</w:t>
            </w:r>
            <w:r>
              <w:rPr>
                <w:rFonts w:ascii="微软雅黑" w:hAnsi="微软雅黑" w:cs="微软雅黑" w:eastAsia="微软雅黑"/>
                <w:sz w:val="24"/>
              </w:rPr>
              <w:t>频率复合成像</w:t>
            </w:r>
          </w:p>
          <w:p>
            <w:pPr>
              <w:pStyle w:val="null3"/>
              <w:jc w:val="left"/>
            </w:pPr>
            <w:r>
              <w:rPr>
                <w:rFonts w:ascii="微软雅黑" w:hAnsi="微软雅黑" w:cs="微软雅黑" w:eastAsia="微软雅黑"/>
                <w:sz w:val="24"/>
              </w:rPr>
              <w:t>1.16、</w:t>
            </w:r>
            <w:r>
              <w:rPr>
                <w:rFonts w:ascii="微软雅黑" w:hAnsi="微软雅黑" w:cs="微软雅黑" w:eastAsia="微软雅黑"/>
                <w:sz w:val="24"/>
              </w:rPr>
              <w:t>扩展成像要求支持凸阵、线阵、容积探头</w:t>
            </w:r>
          </w:p>
          <w:p>
            <w:pPr>
              <w:pStyle w:val="null3"/>
              <w:jc w:val="left"/>
            </w:pPr>
            <w:r>
              <w:rPr>
                <w:rFonts w:ascii="微软雅黑" w:hAnsi="微软雅黑" w:cs="微软雅黑" w:eastAsia="微软雅黑"/>
                <w:sz w:val="24"/>
              </w:rPr>
              <w:t>1.17、</w:t>
            </w:r>
            <w:r>
              <w:rPr>
                <w:rFonts w:ascii="微软雅黑" w:hAnsi="微软雅黑" w:cs="微软雅黑" w:eastAsia="微软雅黑"/>
                <w:sz w:val="24"/>
              </w:rPr>
              <w:t>组织特异性成像，根据不同组织特性，可选多种成像条件，提高图像质量</w:t>
            </w:r>
          </w:p>
          <w:p>
            <w:pPr>
              <w:pStyle w:val="null3"/>
              <w:jc w:val="left"/>
            </w:pPr>
            <w:r>
              <w:rPr>
                <w:rFonts w:ascii="微软雅黑" w:hAnsi="微软雅黑" w:cs="微软雅黑" w:eastAsia="微软雅黑"/>
                <w:sz w:val="24"/>
              </w:rPr>
              <w:t>1.18、</w:t>
            </w:r>
            <w:r>
              <w:rPr>
                <w:rFonts w:ascii="微软雅黑" w:hAnsi="微软雅黑" w:cs="微软雅黑" w:eastAsia="微软雅黑"/>
                <w:sz w:val="24"/>
              </w:rPr>
              <w:t>全屏放大，要求支持</w:t>
            </w:r>
            <w:r>
              <w:rPr>
                <w:rFonts w:ascii="微软雅黑" w:hAnsi="微软雅黑" w:cs="微软雅黑" w:eastAsia="微软雅黑"/>
                <w:sz w:val="24"/>
              </w:rPr>
              <w:t>3种不同图像区域的显示模式，并提供图片证明或现场演示</w:t>
            </w:r>
          </w:p>
          <w:p>
            <w:pPr>
              <w:pStyle w:val="null3"/>
              <w:jc w:val="left"/>
            </w:pPr>
            <w:r>
              <w:rPr>
                <w:rFonts w:ascii="微软雅黑" w:hAnsi="微软雅黑" w:cs="微软雅黑" w:eastAsia="微软雅黑"/>
                <w:sz w:val="24"/>
              </w:rPr>
              <w:t>1.19、</w:t>
            </w:r>
            <w:r>
              <w:rPr>
                <w:rFonts w:ascii="微软雅黑" w:hAnsi="微软雅黑" w:cs="微软雅黑" w:eastAsia="微软雅黑"/>
                <w:sz w:val="24"/>
              </w:rPr>
              <w:t>局部放大（支持前端、后端放大）</w:t>
            </w:r>
          </w:p>
          <w:p>
            <w:pPr>
              <w:pStyle w:val="null3"/>
              <w:jc w:val="left"/>
            </w:pPr>
            <w:r>
              <w:rPr>
                <w:rFonts w:ascii="微软雅黑" w:hAnsi="微软雅黑" w:cs="微软雅黑" w:eastAsia="微软雅黑"/>
                <w:sz w:val="24"/>
              </w:rPr>
              <w:t>1.20、</w:t>
            </w:r>
            <w:r>
              <w:rPr>
                <w:rFonts w:ascii="微软雅黑" w:hAnsi="微软雅黑" w:cs="微软雅黑" w:eastAsia="微软雅黑"/>
                <w:sz w:val="24"/>
              </w:rPr>
              <w:t>一键优化，要求一键快速优化二维图像、彩色图像、频谱图像</w:t>
            </w:r>
          </w:p>
          <w:p>
            <w:pPr>
              <w:pStyle w:val="null3"/>
              <w:jc w:val="left"/>
            </w:pPr>
            <w:r>
              <w:rPr>
                <w:rFonts w:ascii="微软雅黑" w:hAnsi="微软雅黑" w:cs="微软雅黑" w:eastAsia="微软雅黑"/>
                <w:sz w:val="24"/>
              </w:rPr>
              <w:t>1.21、</w:t>
            </w:r>
            <w:r>
              <w:rPr>
                <w:rFonts w:ascii="微软雅黑" w:hAnsi="微软雅黑" w:cs="微软雅黑" w:eastAsia="微软雅黑"/>
                <w:sz w:val="24"/>
              </w:rPr>
              <w:t>支持移动终端系统：超声设备与智能设备无线连接，通过无线连接将超声机器的临床图像传输到手机或平板电脑</w:t>
            </w:r>
          </w:p>
          <w:p>
            <w:pPr>
              <w:pStyle w:val="null3"/>
              <w:jc w:val="left"/>
            </w:pPr>
            <w:r>
              <w:rPr>
                <w:rFonts w:ascii="微软雅黑" w:hAnsi="微软雅黑" w:cs="微软雅黑" w:eastAsia="微软雅黑"/>
                <w:sz w:val="24"/>
              </w:rPr>
              <w:t>*1.22</w:t>
            </w:r>
            <w:r>
              <w:rPr>
                <w:rFonts w:ascii="微软雅黑" w:hAnsi="微软雅黑" w:cs="微软雅黑" w:eastAsia="微软雅黑"/>
                <w:sz w:val="24"/>
              </w:rPr>
              <w:t>自助超声教学系统，支持包括泌尿等多个临床应用，机器内部能提供标准超声声像图、解剖示意图、扫查手法图及扫查技巧介绍，支持医生对超声扫查的自学和训练，支持以上单窗口图像放大功能</w:t>
            </w:r>
          </w:p>
          <w:p>
            <w:pPr>
              <w:pStyle w:val="null3"/>
              <w:jc w:val="left"/>
            </w:pPr>
            <w:r>
              <w:rPr>
                <w:rFonts w:ascii="微软雅黑" w:hAnsi="微软雅黑" w:cs="微软雅黑" w:eastAsia="微软雅黑"/>
                <w:sz w:val="24"/>
              </w:rPr>
              <w:t>1.</w:t>
            </w:r>
            <w:r>
              <w:rPr>
                <w:rFonts w:ascii="微软雅黑" w:hAnsi="微软雅黑" w:cs="微软雅黑" w:eastAsia="微软雅黑"/>
                <w:sz w:val="24"/>
              </w:rPr>
              <w:t>2</w:t>
            </w:r>
            <w:r>
              <w:rPr>
                <w:rFonts w:ascii="微软雅黑" w:hAnsi="微软雅黑" w:cs="微软雅黑" w:eastAsia="微软雅黑"/>
                <w:sz w:val="24"/>
              </w:rPr>
              <w:t>3</w:t>
            </w:r>
            <w:r>
              <w:rPr>
                <w:rFonts w:ascii="微软雅黑" w:hAnsi="微软雅黑" w:cs="微软雅黑" w:eastAsia="微软雅黑"/>
                <w:sz w:val="24"/>
              </w:rPr>
              <w:t>、</w:t>
            </w:r>
            <w:r>
              <w:rPr>
                <w:rFonts w:ascii="微软雅黑" w:hAnsi="微软雅黑" w:cs="微软雅黑" w:eastAsia="微软雅黑"/>
                <w:sz w:val="24"/>
              </w:rPr>
              <w:t>焦点位置自动调节。随深度变化焦点位置自动优化，简化操作流程</w:t>
            </w:r>
          </w:p>
          <w:p>
            <w:pPr>
              <w:pStyle w:val="null3"/>
              <w:jc w:val="left"/>
            </w:pPr>
            <w:r>
              <w:rPr>
                <w:rFonts w:ascii="微软雅黑" w:hAnsi="微软雅黑" w:cs="微软雅黑" w:eastAsia="微软雅黑"/>
                <w:sz w:val="24"/>
              </w:rPr>
              <w:t>1.</w:t>
            </w:r>
            <w:r>
              <w:rPr>
                <w:rFonts w:ascii="微软雅黑" w:hAnsi="微软雅黑" w:cs="微软雅黑" w:eastAsia="微软雅黑"/>
                <w:sz w:val="24"/>
              </w:rPr>
              <w:t>2</w:t>
            </w:r>
            <w:r>
              <w:rPr>
                <w:rFonts w:ascii="微软雅黑" w:hAnsi="微软雅黑" w:cs="微软雅黑" w:eastAsia="微软雅黑"/>
                <w:sz w:val="24"/>
              </w:rPr>
              <w:t>4</w:t>
            </w:r>
            <w:r>
              <w:rPr>
                <w:rFonts w:ascii="微软雅黑" w:hAnsi="微软雅黑" w:cs="微软雅黑" w:eastAsia="微软雅黑"/>
                <w:sz w:val="24"/>
              </w:rPr>
              <w:t>、</w:t>
            </w:r>
            <w:r>
              <w:rPr>
                <w:rFonts w:ascii="微软雅黑" w:hAnsi="微软雅黑" w:cs="微软雅黑" w:eastAsia="微软雅黑"/>
                <w:sz w:val="24"/>
              </w:rPr>
              <w:t>全中文操作系统界面、操作菜单并可选多种语言</w:t>
            </w:r>
          </w:p>
          <w:p>
            <w:pPr>
              <w:pStyle w:val="null3"/>
              <w:jc w:val="left"/>
            </w:pPr>
            <w:r>
              <w:rPr>
                <w:rFonts w:ascii="微软雅黑" w:hAnsi="微软雅黑" w:cs="微软雅黑" w:eastAsia="微软雅黑"/>
                <w:sz w:val="24"/>
              </w:rPr>
              <w:t>1.</w:t>
            </w:r>
            <w:r>
              <w:rPr>
                <w:rFonts w:ascii="微软雅黑" w:hAnsi="微软雅黑" w:cs="微软雅黑" w:eastAsia="微软雅黑"/>
                <w:sz w:val="24"/>
              </w:rPr>
              <w:t>2</w:t>
            </w:r>
            <w:r>
              <w:rPr>
                <w:rFonts w:ascii="微软雅黑" w:hAnsi="微软雅黑" w:cs="微软雅黑" w:eastAsia="微软雅黑"/>
                <w:sz w:val="24"/>
              </w:rPr>
              <w:t>5</w:t>
            </w:r>
            <w:r>
              <w:rPr>
                <w:rFonts w:ascii="微软雅黑" w:hAnsi="微软雅黑" w:cs="微软雅黑" w:eastAsia="微软雅黑"/>
                <w:sz w:val="24"/>
              </w:rPr>
              <w:t>、</w:t>
            </w:r>
            <w:r>
              <w:rPr>
                <w:rFonts w:ascii="微软雅黑" w:hAnsi="微软雅黑" w:cs="微软雅黑" w:eastAsia="微软雅黑"/>
                <w:sz w:val="24"/>
              </w:rPr>
              <w:t>原始数据处理，可处理参数</w:t>
            </w:r>
            <w:r>
              <w:rPr>
                <w:rFonts w:ascii="微软雅黑" w:hAnsi="微软雅黑" w:cs="微软雅黑" w:eastAsia="微软雅黑"/>
                <w:sz w:val="24"/>
              </w:rPr>
              <w:t>≥30项</w:t>
            </w:r>
          </w:p>
          <w:p>
            <w:pPr>
              <w:pStyle w:val="null3"/>
              <w:jc w:val="left"/>
            </w:pPr>
            <w:r>
              <w:rPr>
                <w:rFonts w:ascii="微软雅黑" w:hAnsi="微软雅黑" w:cs="微软雅黑" w:eastAsia="微软雅黑"/>
                <w:sz w:val="24"/>
              </w:rPr>
              <w:t>*1.</w:t>
            </w:r>
            <w:r>
              <w:rPr>
                <w:rFonts w:ascii="微软雅黑" w:hAnsi="微软雅黑" w:cs="微软雅黑" w:eastAsia="微软雅黑"/>
                <w:sz w:val="24"/>
              </w:rPr>
              <w:t>2</w:t>
            </w:r>
            <w:r>
              <w:rPr>
                <w:rFonts w:ascii="微软雅黑" w:hAnsi="微软雅黑" w:cs="微软雅黑" w:eastAsia="微软雅黑"/>
                <w:sz w:val="24"/>
              </w:rPr>
              <w:t>6</w:t>
            </w:r>
            <w:r>
              <w:rPr>
                <w:rFonts w:ascii="微软雅黑" w:hAnsi="微软雅黑" w:cs="微软雅黑" w:eastAsia="微软雅黑"/>
                <w:sz w:val="24"/>
              </w:rPr>
              <w:t>、</w:t>
            </w:r>
            <w:r>
              <w:rPr>
                <w:rFonts w:ascii="微软雅黑" w:hAnsi="微软雅黑" w:cs="微软雅黑" w:eastAsia="微软雅黑"/>
                <w:sz w:val="24"/>
              </w:rPr>
              <w:t>可选配</w:t>
            </w:r>
            <w:r>
              <w:rPr>
                <w:rFonts w:ascii="微软雅黑" w:hAnsi="微软雅黑" w:cs="微软雅黑" w:eastAsia="微软雅黑"/>
                <w:sz w:val="24"/>
              </w:rPr>
              <w:t>造影成像，双计时器，双实时显示组织图像与造影图像</w:t>
            </w:r>
          </w:p>
          <w:p>
            <w:pPr>
              <w:pStyle w:val="null3"/>
              <w:jc w:val="left"/>
            </w:pPr>
            <w:r>
              <w:rPr>
                <w:rFonts w:ascii="微软雅黑" w:hAnsi="微软雅黑" w:cs="微软雅黑" w:eastAsia="微软雅黑"/>
                <w:sz w:val="24"/>
              </w:rPr>
              <w:t>1.27、可选配</w:t>
            </w:r>
            <w:r>
              <w:rPr>
                <w:rFonts w:ascii="微软雅黑" w:hAnsi="微软雅黑" w:cs="微软雅黑" w:eastAsia="微软雅黑"/>
                <w:sz w:val="24"/>
              </w:rPr>
              <w:t>弹性成像，具备压力曲线提示图标，提高图像易获性</w:t>
            </w:r>
          </w:p>
          <w:p>
            <w:pPr>
              <w:pStyle w:val="null3"/>
              <w:jc w:val="both"/>
            </w:pPr>
            <w:r>
              <w:rPr>
                <w:rFonts w:ascii="微软雅黑" w:hAnsi="微软雅黑" w:cs="微软雅黑" w:eastAsia="微软雅黑"/>
                <w:sz w:val="24"/>
              </w:rPr>
              <w:t>2、</w:t>
            </w:r>
            <w:r>
              <w:rPr>
                <w:rFonts w:ascii="微软雅黑" w:hAnsi="微软雅黑" w:cs="微软雅黑" w:eastAsia="微软雅黑"/>
                <w:sz w:val="24"/>
              </w:rPr>
              <w:t>探头规格</w:t>
            </w:r>
          </w:p>
          <w:p>
            <w:pPr>
              <w:pStyle w:val="null3"/>
              <w:jc w:val="left"/>
            </w:pPr>
            <w:r>
              <w:rPr>
                <w:rFonts w:ascii="微软雅黑" w:hAnsi="微软雅黑" w:cs="微软雅黑" w:eastAsia="微软雅黑"/>
                <w:sz w:val="24"/>
              </w:rPr>
              <w:t>2.1、</w:t>
            </w:r>
            <w:r>
              <w:rPr>
                <w:rFonts w:ascii="微软雅黑" w:hAnsi="微软雅黑" w:cs="微软雅黑" w:eastAsia="微软雅黑"/>
                <w:sz w:val="24"/>
              </w:rPr>
              <w:t>腹部标配探头：频率范围</w:t>
            </w:r>
            <w:r>
              <w:rPr>
                <w:rFonts w:ascii="微软雅黑" w:hAnsi="微软雅黑" w:cs="微软雅黑" w:eastAsia="微软雅黑"/>
                <w:sz w:val="24"/>
              </w:rPr>
              <w:t>2.0-5.0MHz</w:t>
            </w:r>
          </w:p>
          <w:p>
            <w:pPr>
              <w:pStyle w:val="null3"/>
              <w:jc w:val="left"/>
            </w:pPr>
            <w:r>
              <w:rPr>
                <w:rFonts w:ascii="微软雅黑" w:hAnsi="微软雅黑" w:cs="微软雅黑" w:eastAsia="微软雅黑"/>
                <w:sz w:val="24"/>
              </w:rPr>
              <w:t>2.2、</w:t>
            </w:r>
            <w:r>
              <w:rPr>
                <w:rFonts w:ascii="微软雅黑" w:hAnsi="微软雅黑" w:cs="微软雅黑" w:eastAsia="微软雅黑"/>
                <w:sz w:val="24"/>
              </w:rPr>
              <w:t>浅表探头：频率范围</w:t>
            </w:r>
            <w:r>
              <w:rPr>
                <w:rFonts w:ascii="微软雅黑" w:hAnsi="微软雅黑" w:cs="微软雅黑" w:eastAsia="微软雅黑"/>
                <w:sz w:val="24"/>
              </w:rPr>
              <w:t>6</w:t>
            </w:r>
            <w:r>
              <w:rPr>
                <w:rFonts w:ascii="微软雅黑" w:hAnsi="微软雅黑" w:cs="微软雅黑" w:eastAsia="微软雅黑"/>
                <w:sz w:val="24"/>
              </w:rPr>
              <w:t>.0-1</w:t>
            </w:r>
            <w:r>
              <w:rPr>
                <w:rFonts w:ascii="微软雅黑" w:hAnsi="微软雅黑" w:cs="微软雅黑" w:eastAsia="微软雅黑"/>
                <w:sz w:val="24"/>
              </w:rPr>
              <w:t>3</w:t>
            </w:r>
            <w:r>
              <w:rPr>
                <w:rFonts w:ascii="微软雅黑" w:hAnsi="微软雅黑" w:cs="微软雅黑" w:eastAsia="微软雅黑"/>
                <w:sz w:val="24"/>
              </w:rPr>
              <w:t>.0MHz</w:t>
            </w:r>
          </w:p>
          <w:p>
            <w:pPr>
              <w:pStyle w:val="null3"/>
              <w:jc w:val="left"/>
            </w:pPr>
            <w:r>
              <w:rPr>
                <w:rFonts w:ascii="微软雅黑" w:hAnsi="微软雅黑" w:cs="微软雅黑" w:eastAsia="微软雅黑"/>
                <w:sz w:val="24"/>
              </w:rPr>
              <w:t>2.3、</w:t>
            </w:r>
            <w:r>
              <w:rPr>
                <w:rFonts w:ascii="微软雅黑" w:hAnsi="微软雅黑" w:cs="微软雅黑" w:eastAsia="微软雅黑"/>
                <w:sz w:val="24"/>
              </w:rPr>
              <w:t>阴式探头：频率范围</w:t>
            </w:r>
            <w:r>
              <w:rPr>
                <w:rFonts w:ascii="微软雅黑" w:hAnsi="微软雅黑" w:cs="微软雅黑" w:eastAsia="微软雅黑"/>
                <w:sz w:val="24"/>
              </w:rPr>
              <w:t>4</w:t>
            </w:r>
            <w:r>
              <w:rPr>
                <w:rFonts w:ascii="微软雅黑" w:hAnsi="微软雅黑" w:cs="微软雅黑" w:eastAsia="微软雅黑"/>
                <w:sz w:val="24"/>
              </w:rPr>
              <w:t>.0-</w:t>
            </w:r>
            <w:r>
              <w:rPr>
                <w:rFonts w:ascii="微软雅黑" w:hAnsi="微软雅黑" w:cs="微软雅黑" w:eastAsia="微软雅黑"/>
                <w:sz w:val="24"/>
              </w:rPr>
              <w:t>10</w:t>
            </w:r>
            <w:r>
              <w:rPr>
                <w:rFonts w:ascii="微软雅黑" w:hAnsi="微软雅黑" w:cs="微软雅黑" w:eastAsia="微软雅黑"/>
                <w:sz w:val="24"/>
              </w:rPr>
              <w:t>.0MHz，最大扫描角度≥150°</w:t>
            </w:r>
          </w:p>
          <w:p>
            <w:pPr>
              <w:pStyle w:val="null3"/>
              <w:jc w:val="left"/>
            </w:pPr>
            <w:r>
              <w:rPr>
                <w:rFonts w:ascii="微软雅黑" w:hAnsi="微软雅黑" w:cs="微软雅黑" w:eastAsia="微软雅黑"/>
                <w:sz w:val="24"/>
              </w:rPr>
              <w:t>2.4、</w:t>
            </w:r>
            <w:r>
              <w:rPr>
                <w:rFonts w:ascii="微软雅黑" w:hAnsi="微软雅黑" w:cs="微软雅黑" w:eastAsia="微软雅黑"/>
                <w:sz w:val="24"/>
              </w:rPr>
              <w:t>心脏探头：频率范围</w:t>
            </w:r>
            <w:r>
              <w:rPr>
                <w:rFonts w:ascii="微软雅黑" w:hAnsi="微软雅黑" w:cs="微软雅黑" w:eastAsia="微软雅黑"/>
                <w:sz w:val="24"/>
              </w:rPr>
              <w:t>2.0-</w:t>
            </w:r>
            <w:r>
              <w:rPr>
                <w:rFonts w:ascii="微软雅黑" w:hAnsi="微软雅黑" w:cs="微软雅黑" w:eastAsia="微软雅黑"/>
                <w:sz w:val="24"/>
              </w:rPr>
              <w:t>5</w:t>
            </w:r>
            <w:r>
              <w:rPr>
                <w:rFonts w:ascii="微软雅黑" w:hAnsi="微软雅黑" w:cs="微软雅黑" w:eastAsia="微软雅黑"/>
                <w:sz w:val="24"/>
              </w:rPr>
              <w:t>.0MHz</w:t>
            </w:r>
            <w:r>
              <w:rPr>
                <w:rFonts w:ascii="微软雅黑" w:hAnsi="微软雅黑" w:cs="微软雅黑" w:eastAsia="微软雅黑"/>
                <w:sz w:val="24"/>
              </w:rPr>
              <w:t>，扫描角度</w:t>
            </w:r>
            <w:r>
              <w:rPr>
                <w:rFonts w:ascii="微软雅黑" w:hAnsi="微软雅黑" w:cs="微软雅黑" w:eastAsia="微软雅黑"/>
                <w:sz w:val="24"/>
              </w:rPr>
              <w:t>110</w:t>
            </w:r>
            <w:r>
              <w:rPr>
                <w:rFonts w:ascii="微软雅黑" w:hAnsi="微软雅黑" w:cs="微软雅黑" w:eastAsia="微软雅黑"/>
                <w:sz w:val="24"/>
              </w:rPr>
              <w:t>°</w:t>
            </w:r>
            <w:r>
              <w:rPr>
                <w:rFonts w:ascii="微软雅黑" w:hAnsi="微软雅黑" w:cs="微软雅黑" w:eastAsia="微软雅黑"/>
                <w:sz w:val="24"/>
              </w:rPr>
              <w:t>（附图）</w:t>
            </w:r>
          </w:p>
          <w:p>
            <w:pPr>
              <w:pStyle w:val="null3"/>
              <w:jc w:val="left"/>
            </w:pPr>
            <w:r>
              <w:rPr>
                <w:rFonts w:ascii="微软雅黑" w:hAnsi="微软雅黑" w:cs="微软雅黑" w:eastAsia="微软雅黑"/>
                <w:sz w:val="24"/>
              </w:rPr>
              <w:t>3、系统技术参数</w:t>
            </w:r>
          </w:p>
          <w:p>
            <w:pPr>
              <w:pStyle w:val="null3"/>
              <w:ind w:left="510"/>
              <w:jc w:val="both"/>
            </w:pPr>
            <w:r>
              <w:rPr>
                <w:rFonts w:ascii="微软雅黑" w:hAnsi="微软雅黑" w:cs="微软雅黑" w:eastAsia="微软雅黑"/>
                <w:sz w:val="24"/>
              </w:rPr>
              <w:t>3.</w:t>
            </w:r>
            <w:r>
              <w:rPr>
                <w:rFonts w:ascii="微软雅黑" w:hAnsi="微软雅黑" w:cs="微软雅黑" w:eastAsia="微软雅黑"/>
                <w:sz w:val="24"/>
              </w:rPr>
              <w:t>1</w:t>
            </w:r>
            <w:r>
              <w:rPr>
                <w:rFonts w:ascii="微软雅黑" w:hAnsi="微软雅黑" w:cs="微软雅黑" w:eastAsia="微软雅黑"/>
                <w:sz w:val="24"/>
              </w:rPr>
              <w:t>、二维灰阶成像</w:t>
            </w:r>
          </w:p>
          <w:p>
            <w:pPr>
              <w:pStyle w:val="null3"/>
              <w:ind w:left="510"/>
              <w:jc w:val="both"/>
            </w:pPr>
            <w:r>
              <w:rPr>
                <w:rFonts w:ascii="微软雅黑" w:hAnsi="微软雅黑" w:cs="微软雅黑" w:eastAsia="微软雅黑"/>
                <w:sz w:val="24"/>
              </w:rPr>
              <w:t>3.1.1、</w:t>
            </w:r>
            <w:r>
              <w:rPr>
                <w:rFonts w:ascii="微软雅黑" w:hAnsi="微软雅黑" w:cs="微软雅黑" w:eastAsia="微软雅黑"/>
                <w:sz w:val="24"/>
              </w:rPr>
              <w:t>≥256灰阶</w:t>
            </w:r>
          </w:p>
          <w:p>
            <w:pPr>
              <w:pStyle w:val="null3"/>
              <w:ind w:left="510"/>
              <w:jc w:val="both"/>
            </w:pPr>
            <w:r>
              <w:rPr>
                <w:rFonts w:ascii="微软雅黑" w:hAnsi="微软雅黑" w:cs="微软雅黑" w:eastAsia="微软雅黑"/>
                <w:sz w:val="24"/>
              </w:rPr>
              <w:t>*3.1.2、</w:t>
            </w:r>
            <w:r>
              <w:rPr>
                <w:rFonts w:ascii="微软雅黑" w:hAnsi="微软雅黑" w:cs="微软雅黑" w:eastAsia="微软雅黑"/>
                <w:sz w:val="24"/>
              </w:rPr>
              <w:t>增益调节</w:t>
            </w:r>
            <w:r>
              <w:rPr>
                <w:rFonts w:ascii="微软雅黑" w:hAnsi="微软雅黑" w:cs="微软雅黑" w:eastAsia="微软雅黑"/>
                <w:sz w:val="24"/>
              </w:rPr>
              <w:t>功能</w:t>
            </w:r>
            <w:r>
              <w:rPr>
                <w:rFonts w:ascii="微软雅黑" w:hAnsi="微软雅黑" w:cs="微软雅黑" w:eastAsia="微软雅黑"/>
                <w:sz w:val="24"/>
              </w:rPr>
              <w:t>，</w:t>
            </w:r>
            <w:r>
              <w:rPr>
                <w:rFonts w:ascii="微软雅黑" w:hAnsi="微软雅黑" w:cs="微软雅黑" w:eastAsia="微软雅黑"/>
                <w:sz w:val="24"/>
              </w:rPr>
              <w:t>TGC调节≥8段</w:t>
            </w:r>
            <w:r>
              <w:rPr>
                <w:rFonts w:ascii="微软雅黑" w:hAnsi="微软雅黑" w:cs="微软雅黑" w:eastAsia="微软雅黑"/>
                <w:sz w:val="24"/>
              </w:rPr>
              <w:t>，</w:t>
            </w:r>
            <w:r>
              <w:rPr>
                <w:rFonts w:ascii="微软雅黑" w:hAnsi="微软雅黑" w:cs="微软雅黑" w:eastAsia="微软雅黑"/>
                <w:sz w:val="24"/>
              </w:rPr>
              <w:t>LGC调节≥8段（附图</w:t>
            </w:r>
            <w:r>
              <w:rPr>
                <w:rFonts w:ascii="微软雅黑" w:hAnsi="微软雅黑" w:cs="微软雅黑" w:eastAsia="微软雅黑"/>
                <w:sz w:val="24"/>
              </w:rPr>
              <w:t>）</w:t>
            </w:r>
          </w:p>
          <w:p>
            <w:pPr>
              <w:pStyle w:val="null3"/>
              <w:ind w:left="510"/>
              <w:jc w:val="both"/>
            </w:pPr>
            <w:r>
              <w:rPr>
                <w:rFonts w:ascii="微软雅黑" w:hAnsi="微软雅黑" w:cs="微软雅黑" w:eastAsia="微软雅黑"/>
                <w:sz w:val="24"/>
              </w:rPr>
              <w:t>3.1.3、</w:t>
            </w:r>
            <w:r>
              <w:rPr>
                <w:rFonts w:ascii="微软雅黑" w:hAnsi="微软雅黑" w:cs="微软雅黑" w:eastAsia="微软雅黑"/>
                <w:sz w:val="24"/>
              </w:rPr>
              <w:t>系统动态范围</w:t>
            </w:r>
            <w:r>
              <w:rPr>
                <w:rFonts w:ascii="微软雅黑" w:hAnsi="微软雅黑" w:cs="微软雅黑" w:eastAsia="微软雅黑"/>
                <w:sz w:val="24"/>
              </w:rPr>
              <w:t>≥26</w:t>
            </w:r>
            <w:r>
              <w:rPr>
                <w:rFonts w:ascii="微软雅黑" w:hAnsi="微软雅黑" w:cs="微软雅黑" w:eastAsia="微软雅黑"/>
                <w:sz w:val="24"/>
              </w:rPr>
              <w:t>5</w:t>
            </w:r>
            <w:r>
              <w:rPr>
                <w:rFonts w:ascii="微软雅黑" w:hAnsi="微软雅黑" w:cs="微软雅黑" w:eastAsia="微软雅黑"/>
                <w:sz w:val="24"/>
              </w:rPr>
              <w:t xml:space="preserve"> dB</w:t>
            </w:r>
            <w:r>
              <w:rPr>
                <w:rFonts w:ascii="微软雅黑" w:hAnsi="微软雅黑" w:cs="微软雅黑" w:eastAsia="微软雅黑"/>
                <w:sz w:val="24"/>
              </w:rPr>
              <w:t>。</w:t>
            </w:r>
          </w:p>
          <w:p>
            <w:pPr>
              <w:pStyle w:val="null3"/>
              <w:ind w:left="510"/>
              <w:jc w:val="both"/>
            </w:pPr>
            <w:r>
              <w:rPr>
                <w:rFonts w:ascii="微软雅黑" w:hAnsi="微软雅黑" w:cs="微软雅黑" w:eastAsia="微软雅黑"/>
                <w:sz w:val="24"/>
              </w:rPr>
              <w:t>3.1.4、</w:t>
            </w:r>
            <w:r>
              <w:rPr>
                <w:rFonts w:ascii="微软雅黑" w:hAnsi="微软雅黑" w:cs="微软雅黑" w:eastAsia="微软雅黑"/>
                <w:sz w:val="24"/>
              </w:rPr>
              <w:t>凸阵探头最大视角，</w:t>
            </w:r>
            <w:r>
              <w:rPr>
                <w:rFonts w:ascii="微软雅黑" w:hAnsi="微软雅黑" w:cs="微软雅黑" w:eastAsia="微软雅黑"/>
                <w:sz w:val="24"/>
              </w:rPr>
              <w:t>18 cm深度时，帧频≥50帧（附图）</w:t>
            </w:r>
          </w:p>
          <w:p>
            <w:pPr>
              <w:pStyle w:val="null3"/>
              <w:ind w:left="510"/>
              <w:jc w:val="both"/>
            </w:pPr>
            <w:r>
              <w:rPr>
                <w:rFonts w:ascii="微软雅黑" w:hAnsi="微软雅黑" w:cs="微软雅黑" w:eastAsia="微软雅黑"/>
                <w:sz w:val="24"/>
              </w:rPr>
              <w:t>3.1.5、</w:t>
            </w:r>
            <w:r>
              <w:rPr>
                <w:rFonts w:ascii="微软雅黑" w:hAnsi="微软雅黑" w:cs="微软雅黑" w:eastAsia="微软雅黑"/>
                <w:sz w:val="24"/>
              </w:rPr>
              <w:t>相控阵探头</w:t>
            </w:r>
            <w:r>
              <w:rPr>
                <w:rFonts w:ascii="微软雅黑" w:hAnsi="微软雅黑" w:cs="微软雅黑" w:eastAsia="微软雅黑"/>
                <w:sz w:val="24"/>
              </w:rPr>
              <w:t>90°视角，18 cm深度时，帧频≥</w:t>
            </w:r>
            <w:r>
              <w:rPr>
                <w:rFonts w:ascii="微软雅黑" w:hAnsi="微软雅黑" w:cs="微软雅黑" w:eastAsia="微软雅黑"/>
                <w:sz w:val="24"/>
              </w:rPr>
              <w:t>80</w:t>
            </w:r>
            <w:r>
              <w:rPr>
                <w:rFonts w:ascii="微软雅黑" w:hAnsi="微软雅黑" w:cs="微软雅黑" w:eastAsia="微软雅黑"/>
                <w:sz w:val="24"/>
              </w:rPr>
              <w:t>帧</w:t>
            </w:r>
            <w:r>
              <w:rPr>
                <w:rFonts w:ascii="微软雅黑" w:hAnsi="微软雅黑" w:cs="微软雅黑" w:eastAsia="微软雅黑"/>
                <w:sz w:val="24"/>
              </w:rPr>
              <w:t>（附图）</w:t>
            </w:r>
          </w:p>
          <w:p>
            <w:pPr>
              <w:pStyle w:val="null3"/>
              <w:ind w:left="510"/>
              <w:jc w:val="both"/>
            </w:pPr>
            <w:r>
              <w:rPr>
                <w:rFonts w:ascii="微软雅黑" w:hAnsi="微软雅黑" w:cs="微软雅黑" w:eastAsia="微软雅黑"/>
                <w:sz w:val="24"/>
              </w:rPr>
              <w:t>3.2、</w:t>
            </w:r>
            <w:r>
              <w:rPr>
                <w:rFonts w:ascii="微软雅黑" w:hAnsi="微软雅黑" w:cs="微软雅黑" w:eastAsia="微软雅黑"/>
                <w:sz w:val="24"/>
              </w:rPr>
              <w:t>频谱多普勒</w:t>
            </w:r>
          </w:p>
          <w:p>
            <w:pPr>
              <w:pStyle w:val="null3"/>
              <w:ind w:left="510"/>
              <w:jc w:val="both"/>
            </w:pPr>
            <w:r>
              <w:rPr>
                <w:rFonts w:ascii="微软雅黑" w:hAnsi="微软雅黑" w:cs="微软雅黑" w:eastAsia="微软雅黑"/>
                <w:sz w:val="24"/>
              </w:rPr>
              <w:t>3.2.1、</w:t>
            </w:r>
            <w:r>
              <w:rPr>
                <w:rFonts w:ascii="微软雅黑" w:hAnsi="微软雅黑" w:cs="微软雅黑" w:eastAsia="微软雅黑"/>
                <w:sz w:val="24"/>
              </w:rPr>
              <w:t>方式：脉冲波多普勒</w:t>
            </w:r>
            <w:r>
              <w:rPr>
                <w:rFonts w:ascii="微软雅黑" w:hAnsi="微软雅黑" w:cs="微软雅黑" w:eastAsia="微软雅黑"/>
                <w:sz w:val="24"/>
              </w:rPr>
              <w:t>PWD；高脉冲重复频率HPRF；连续波多普勒CWD</w:t>
            </w:r>
          </w:p>
          <w:p>
            <w:pPr>
              <w:pStyle w:val="null3"/>
              <w:ind w:left="510"/>
              <w:jc w:val="both"/>
            </w:pPr>
            <w:r>
              <w:rPr>
                <w:rFonts w:ascii="微软雅黑" w:hAnsi="微软雅黑" w:cs="微软雅黑" w:eastAsia="微软雅黑"/>
                <w:sz w:val="24"/>
              </w:rPr>
              <w:t>3.2.2、</w:t>
            </w:r>
            <w:r>
              <w:rPr>
                <w:rFonts w:ascii="微软雅黑" w:hAnsi="微软雅黑" w:cs="微软雅黑" w:eastAsia="微软雅黑"/>
                <w:sz w:val="24"/>
              </w:rPr>
              <w:t>多普勒发射频率可视可调</w:t>
            </w:r>
          </w:p>
          <w:p>
            <w:pPr>
              <w:pStyle w:val="null3"/>
              <w:ind w:left="510"/>
              <w:jc w:val="both"/>
            </w:pPr>
            <w:r>
              <w:rPr>
                <w:rFonts w:ascii="微软雅黑" w:hAnsi="微软雅黑" w:cs="微软雅黑" w:eastAsia="微软雅黑"/>
                <w:sz w:val="24"/>
              </w:rPr>
              <w:t>3.2.3、</w:t>
            </w:r>
            <w:r>
              <w:rPr>
                <w:rFonts w:ascii="微软雅黑" w:hAnsi="微软雅黑" w:cs="微软雅黑" w:eastAsia="微软雅黑"/>
                <w:sz w:val="24"/>
              </w:rPr>
              <w:t>最大测量速度：</w:t>
            </w:r>
            <w:r>
              <w:rPr>
                <w:rFonts w:ascii="微软雅黑" w:hAnsi="微软雅黑" w:cs="微软雅黑" w:eastAsia="微软雅黑"/>
                <w:sz w:val="24"/>
              </w:rPr>
              <w:t>PWD：≥20m/s ；CWD: ≥40m/s；最小测量速度：≤1mm/s</w:t>
            </w:r>
          </w:p>
          <w:p>
            <w:pPr>
              <w:pStyle w:val="null3"/>
              <w:ind w:left="510"/>
              <w:jc w:val="both"/>
            </w:pPr>
            <w:r>
              <w:rPr>
                <w:rFonts w:ascii="微软雅黑" w:hAnsi="微软雅黑" w:cs="微软雅黑" w:eastAsia="微软雅黑"/>
                <w:sz w:val="24"/>
              </w:rPr>
              <w:t>3.3、</w:t>
            </w:r>
            <w:r>
              <w:rPr>
                <w:rFonts w:ascii="微软雅黑" w:hAnsi="微软雅黑" w:cs="微软雅黑" w:eastAsia="微软雅黑"/>
                <w:sz w:val="24"/>
              </w:rPr>
              <w:t>彩色多普勒</w:t>
            </w:r>
          </w:p>
          <w:p>
            <w:pPr>
              <w:pStyle w:val="null3"/>
              <w:ind w:left="510"/>
              <w:jc w:val="both"/>
            </w:pPr>
            <w:r>
              <w:rPr>
                <w:rFonts w:ascii="微软雅黑" w:hAnsi="微软雅黑" w:cs="微软雅黑" w:eastAsia="微软雅黑"/>
                <w:sz w:val="24"/>
              </w:rPr>
              <w:t>3.3.1、</w:t>
            </w:r>
            <w:r>
              <w:rPr>
                <w:rFonts w:ascii="微软雅黑" w:hAnsi="微软雅黑" w:cs="微软雅黑" w:eastAsia="微软雅黑"/>
                <w:sz w:val="24"/>
              </w:rPr>
              <w:t>显示方式：速度分散显示、能量显示、速度显示、方差显示</w:t>
            </w:r>
          </w:p>
          <w:p>
            <w:pPr>
              <w:pStyle w:val="null3"/>
              <w:ind w:left="510"/>
              <w:jc w:val="both"/>
            </w:pPr>
            <w:r>
              <w:rPr>
                <w:rFonts w:ascii="微软雅黑" w:hAnsi="微软雅黑" w:cs="微软雅黑" w:eastAsia="微软雅黑"/>
                <w:sz w:val="24"/>
              </w:rPr>
              <w:t>3.3.2、</w:t>
            </w:r>
            <w:r>
              <w:rPr>
                <w:rFonts w:ascii="微软雅黑" w:hAnsi="微软雅黑" w:cs="微软雅黑" w:eastAsia="微软雅黑"/>
                <w:sz w:val="24"/>
              </w:rPr>
              <w:t>彩色多普勒频率可视可调</w:t>
            </w:r>
          </w:p>
          <w:p>
            <w:pPr>
              <w:pStyle w:val="null3"/>
              <w:ind w:left="510"/>
              <w:jc w:val="both"/>
            </w:pPr>
            <w:r>
              <w:rPr>
                <w:rFonts w:ascii="微软雅黑" w:hAnsi="微软雅黑" w:cs="微软雅黑" w:eastAsia="微软雅黑"/>
                <w:sz w:val="24"/>
              </w:rPr>
              <w:t>3.3.3、双幅实时显示、包括双幅不同模式实时显示（附图）</w:t>
            </w:r>
          </w:p>
          <w:p>
            <w:pPr>
              <w:pStyle w:val="null3"/>
              <w:ind w:left="510"/>
              <w:jc w:val="both"/>
            </w:pPr>
            <w:r>
              <w:rPr>
                <w:rFonts w:ascii="微软雅黑" w:hAnsi="微软雅黑" w:cs="微软雅黑" w:eastAsia="微软雅黑"/>
                <w:sz w:val="24"/>
              </w:rPr>
              <w:t>3.3.4、</w:t>
            </w:r>
            <w:r>
              <w:rPr>
                <w:rFonts w:ascii="微软雅黑" w:hAnsi="微软雅黑" w:cs="微软雅黑" w:eastAsia="微软雅黑"/>
                <w:sz w:val="24"/>
              </w:rPr>
              <w:t>凸阵探头最大视角，最大取样框，</w:t>
            </w:r>
            <w:r>
              <w:rPr>
                <w:rFonts w:ascii="微软雅黑" w:hAnsi="微软雅黑" w:cs="微软雅黑" w:eastAsia="微软雅黑"/>
                <w:sz w:val="24"/>
              </w:rPr>
              <w:t>18cm深度时，彩色帧频≥</w:t>
            </w:r>
            <w:r>
              <w:rPr>
                <w:rFonts w:ascii="微软雅黑" w:hAnsi="微软雅黑" w:cs="微软雅黑" w:eastAsia="微软雅黑"/>
                <w:sz w:val="24"/>
              </w:rPr>
              <w:t>50</w:t>
            </w:r>
            <w:r>
              <w:rPr>
                <w:rFonts w:ascii="微软雅黑" w:hAnsi="微软雅黑" w:cs="微软雅黑" w:eastAsia="微软雅黑"/>
                <w:sz w:val="24"/>
              </w:rPr>
              <w:t>帧</w:t>
            </w:r>
            <w:r>
              <w:rPr>
                <w:rFonts w:ascii="微软雅黑" w:hAnsi="微软雅黑" w:cs="微软雅黑" w:eastAsia="微软雅黑"/>
                <w:sz w:val="24"/>
              </w:rPr>
              <w:t>（附图）</w:t>
            </w:r>
          </w:p>
          <w:p>
            <w:pPr>
              <w:pStyle w:val="null3"/>
              <w:ind w:left="510"/>
              <w:jc w:val="both"/>
            </w:pPr>
            <w:r>
              <w:rPr>
                <w:rFonts w:ascii="微软雅黑" w:hAnsi="微软雅黑" w:cs="微软雅黑" w:eastAsia="微软雅黑"/>
                <w:sz w:val="24"/>
              </w:rPr>
              <w:t>3.3.5、</w:t>
            </w:r>
            <w:r>
              <w:rPr>
                <w:rFonts w:ascii="微软雅黑" w:hAnsi="微软雅黑" w:cs="微软雅黑" w:eastAsia="微软雅黑"/>
                <w:sz w:val="24"/>
              </w:rPr>
              <w:t>相控阵探头</w:t>
            </w:r>
            <w:r>
              <w:rPr>
                <w:rFonts w:ascii="微软雅黑" w:hAnsi="微软雅黑" w:cs="微软雅黑" w:eastAsia="微软雅黑"/>
                <w:sz w:val="24"/>
              </w:rPr>
              <w:t>90°视角, 最大取样框，18cm深度时，彩色帧频≥</w:t>
            </w:r>
            <w:r>
              <w:rPr>
                <w:rFonts w:ascii="微软雅黑" w:hAnsi="微软雅黑" w:cs="微软雅黑" w:eastAsia="微软雅黑"/>
                <w:sz w:val="24"/>
              </w:rPr>
              <w:t>80</w:t>
            </w:r>
            <w:r>
              <w:rPr>
                <w:rFonts w:ascii="微软雅黑" w:hAnsi="微软雅黑" w:cs="微软雅黑" w:eastAsia="微软雅黑"/>
                <w:sz w:val="24"/>
              </w:rPr>
              <w:t>帧</w:t>
            </w:r>
            <w:r>
              <w:rPr>
                <w:rFonts w:ascii="微软雅黑" w:hAnsi="微软雅黑" w:cs="微软雅黑" w:eastAsia="微软雅黑"/>
                <w:sz w:val="24"/>
              </w:rPr>
              <w:t>（附图）</w:t>
            </w:r>
          </w:p>
          <w:p>
            <w:pPr>
              <w:pStyle w:val="null3"/>
              <w:ind w:left="510"/>
              <w:jc w:val="both"/>
            </w:pPr>
            <w:r>
              <w:rPr>
                <w:rFonts w:ascii="微软雅黑" w:hAnsi="微软雅黑" w:cs="微软雅黑" w:eastAsia="微软雅黑"/>
                <w:sz w:val="24"/>
              </w:rPr>
              <w:t>4、</w:t>
            </w:r>
            <w:r>
              <w:rPr>
                <w:rFonts w:ascii="微软雅黑" w:hAnsi="微软雅黑" w:cs="微软雅黑" w:eastAsia="微软雅黑"/>
                <w:sz w:val="24"/>
              </w:rPr>
              <w:t>测量和分析</w:t>
            </w:r>
            <w:r>
              <w:rPr>
                <w:rFonts w:ascii="微软雅黑" w:hAnsi="微软雅黑" w:cs="微软雅黑" w:eastAsia="微软雅黑"/>
                <w:sz w:val="24"/>
              </w:rPr>
              <w:t>功能</w:t>
            </w:r>
          </w:p>
          <w:p>
            <w:pPr>
              <w:pStyle w:val="null3"/>
              <w:ind w:left="510"/>
              <w:jc w:val="both"/>
            </w:pPr>
            <w:r>
              <w:rPr>
                <w:rFonts w:ascii="微软雅黑" w:hAnsi="微软雅黑" w:cs="微软雅黑" w:eastAsia="微软雅黑"/>
                <w:sz w:val="24"/>
              </w:rPr>
              <w:t>4.1、</w:t>
            </w:r>
            <w:r>
              <w:rPr>
                <w:rFonts w:ascii="微软雅黑" w:hAnsi="微软雅黑" w:cs="微软雅黑" w:eastAsia="微软雅黑"/>
                <w:sz w:val="24"/>
              </w:rPr>
              <w:t>一般测量</w:t>
            </w:r>
          </w:p>
          <w:p>
            <w:pPr>
              <w:pStyle w:val="null3"/>
              <w:ind w:left="510"/>
              <w:jc w:val="both"/>
            </w:pPr>
            <w:r>
              <w:rPr>
                <w:rFonts w:ascii="微软雅黑" w:hAnsi="微软雅黑" w:cs="微软雅黑" w:eastAsia="微软雅黑"/>
                <w:sz w:val="24"/>
              </w:rPr>
              <w:t>4.2、</w:t>
            </w:r>
            <w:r>
              <w:rPr>
                <w:rFonts w:ascii="微软雅黑" w:hAnsi="微软雅黑" w:cs="微软雅黑" w:eastAsia="微软雅黑"/>
                <w:sz w:val="24"/>
              </w:rPr>
              <w:t>妇产科测量</w:t>
            </w:r>
          </w:p>
          <w:p>
            <w:pPr>
              <w:pStyle w:val="null3"/>
              <w:ind w:left="510"/>
              <w:jc w:val="both"/>
            </w:pPr>
            <w:r>
              <w:rPr>
                <w:rFonts w:ascii="微软雅黑" w:hAnsi="微软雅黑" w:cs="微软雅黑" w:eastAsia="微软雅黑"/>
                <w:sz w:val="24"/>
              </w:rPr>
              <w:t>4.3、</w:t>
            </w:r>
            <w:r>
              <w:rPr>
                <w:rFonts w:ascii="微软雅黑" w:hAnsi="微软雅黑" w:cs="微软雅黑" w:eastAsia="微软雅黑"/>
                <w:sz w:val="24"/>
              </w:rPr>
              <w:t>心功能测量与分析</w:t>
            </w:r>
          </w:p>
          <w:p>
            <w:pPr>
              <w:pStyle w:val="null3"/>
              <w:ind w:left="510"/>
              <w:jc w:val="both"/>
            </w:pPr>
            <w:r>
              <w:rPr>
                <w:rFonts w:ascii="微软雅黑" w:hAnsi="微软雅黑" w:cs="微软雅黑" w:eastAsia="微软雅黑"/>
                <w:sz w:val="24"/>
              </w:rPr>
              <w:t>4.4、</w:t>
            </w:r>
            <w:r>
              <w:rPr>
                <w:rFonts w:ascii="微软雅黑" w:hAnsi="微软雅黑" w:cs="微软雅黑" w:eastAsia="微软雅黑"/>
                <w:sz w:val="24"/>
              </w:rPr>
              <w:t>多普勒血流测量与计算</w:t>
            </w:r>
          </w:p>
          <w:p>
            <w:pPr>
              <w:pStyle w:val="null3"/>
              <w:ind w:left="510"/>
              <w:jc w:val="both"/>
            </w:pPr>
            <w:r>
              <w:rPr>
                <w:rFonts w:ascii="微软雅黑" w:hAnsi="微软雅黑" w:cs="微软雅黑" w:eastAsia="微软雅黑"/>
                <w:sz w:val="24"/>
              </w:rPr>
              <w:t>4.5、</w:t>
            </w:r>
            <w:r>
              <w:rPr>
                <w:rFonts w:ascii="微软雅黑" w:hAnsi="微软雅黑" w:cs="微软雅黑" w:eastAsia="微软雅黑"/>
                <w:sz w:val="24"/>
              </w:rPr>
              <w:t>频谱多普勒自动包络测量和计算</w:t>
            </w:r>
          </w:p>
          <w:p>
            <w:pPr>
              <w:pStyle w:val="null3"/>
              <w:ind w:left="510"/>
              <w:jc w:val="both"/>
            </w:pPr>
            <w:r>
              <w:rPr>
                <w:rFonts w:ascii="微软雅黑" w:hAnsi="微软雅黑" w:cs="微软雅黑" w:eastAsia="微软雅黑"/>
                <w:sz w:val="24"/>
              </w:rPr>
              <w:t>4.6、</w:t>
            </w:r>
            <w:r>
              <w:rPr>
                <w:rFonts w:ascii="微软雅黑" w:hAnsi="微软雅黑" w:cs="微软雅黑" w:eastAsia="微软雅黑"/>
                <w:sz w:val="24"/>
              </w:rPr>
              <w:t>泌尿科测量与分析</w:t>
            </w:r>
          </w:p>
          <w:p>
            <w:pPr>
              <w:pStyle w:val="null3"/>
              <w:ind w:left="510"/>
              <w:jc w:val="both"/>
            </w:pPr>
            <w:r>
              <w:rPr>
                <w:rFonts w:ascii="微软雅黑" w:hAnsi="微软雅黑" w:cs="微软雅黑" w:eastAsia="微软雅黑"/>
                <w:sz w:val="24"/>
              </w:rPr>
              <w:t>5、</w:t>
            </w:r>
            <w:r>
              <w:rPr>
                <w:rFonts w:ascii="微软雅黑" w:hAnsi="微软雅黑" w:cs="微软雅黑" w:eastAsia="微软雅黑"/>
                <w:sz w:val="24"/>
              </w:rPr>
              <w:t>检查存储和管理</w:t>
            </w:r>
          </w:p>
          <w:p>
            <w:pPr>
              <w:pStyle w:val="null3"/>
              <w:ind w:left="510"/>
              <w:jc w:val="both"/>
            </w:pPr>
            <w:r>
              <w:rPr>
                <w:rFonts w:ascii="微软雅黑" w:hAnsi="微软雅黑" w:cs="微软雅黑" w:eastAsia="微软雅黑"/>
                <w:sz w:val="24"/>
              </w:rPr>
              <w:t>5.1、固态</w:t>
            </w:r>
            <w:r>
              <w:rPr>
                <w:rFonts w:ascii="微软雅黑" w:hAnsi="微软雅黑" w:cs="微软雅黑" w:eastAsia="微软雅黑"/>
                <w:sz w:val="24"/>
              </w:rPr>
              <w:t>硬盘</w:t>
            </w:r>
            <w:r>
              <w:rPr>
                <w:rFonts w:ascii="微软雅黑" w:hAnsi="微软雅黑" w:cs="微软雅黑" w:eastAsia="微软雅黑"/>
                <w:sz w:val="24"/>
              </w:rPr>
              <w:t>容量</w:t>
            </w:r>
            <w:r>
              <w:rPr>
                <w:rFonts w:ascii="微软雅黑" w:hAnsi="微软雅黑" w:cs="微软雅黑" w:eastAsia="微软雅黑"/>
                <w:sz w:val="24"/>
              </w:rPr>
              <w:t>≥512GB</w:t>
            </w:r>
          </w:p>
          <w:p>
            <w:pPr>
              <w:pStyle w:val="null3"/>
              <w:ind w:left="510"/>
              <w:jc w:val="both"/>
            </w:pPr>
            <w:r>
              <w:rPr>
                <w:rFonts w:ascii="微软雅黑" w:hAnsi="微软雅黑" w:cs="微软雅黑" w:eastAsia="微软雅黑"/>
                <w:sz w:val="24"/>
              </w:rPr>
              <w:t>5.2、多种导出图像格式：动态图像、静态图像以PC格式直接导出，无需特殊软件即能在普通PC机上直接观看图像。导出、备份图像数据资料同时，可进行实时检查，不影响检查操作</w:t>
            </w:r>
          </w:p>
          <w:p>
            <w:pPr>
              <w:pStyle w:val="null3"/>
              <w:ind w:left="510"/>
              <w:jc w:val="both"/>
            </w:pPr>
            <w:r>
              <w:rPr>
                <w:rFonts w:ascii="微软雅黑" w:hAnsi="微软雅黑" w:cs="微软雅黑" w:eastAsia="微软雅黑"/>
                <w:sz w:val="24"/>
              </w:rPr>
              <w:t>6、连通性要求</w:t>
            </w:r>
          </w:p>
          <w:p>
            <w:pPr>
              <w:pStyle w:val="null3"/>
              <w:ind w:left="510"/>
              <w:jc w:val="both"/>
            </w:pPr>
            <w:r>
              <w:rPr>
                <w:rFonts w:ascii="微软雅黑" w:hAnsi="微软雅黑" w:cs="微软雅黑" w:eastAsia="微软雅黑"/>
                <w:sz w:val="24"/>
              </w:rPr>
              <w:t>6.1、</w:t>
            </w:r>
            <w:r>
              <w:rPr>
                <w:rFonts w:ascii="微软雅黑" w:hAnsi="微软雅黑" w:cs="微软雅黑" w:eastAsia="微软雅黑"/>
                <w:sz w:val="24"/>
              </w:rPr>
              <w:t>具有</w:t>
            </w:r>
            <w:r>
              <w:rPr>
                <w:rFonts w:ascii="微软雅黑" w:hAnsi="微软雅黑" w:cs="微软雅黑" w:eastAsia="微软雅黑"/>
                <w:sz w:val="24"/>
              </w:rPr>
              <w:t>DICOM3.0接口部件</w:t>
            </w:r>
          </w:p>
          <w:p>
            <w:pPr>
              <w:pStyle w:val="null3"/>
              <w:jc w:val="left"/>
            </w:pPr>
            <w:r>
              <w:rPr>
                <w:rFonts w:ascii="微软雅黑" w:hAnsi="微软雅黑" w:cs="微软雅黑" w:eastAsia="微软雅黑"/>
                <w:sz w:val="24"/>
              </w:rPr>
              <w:t>6.2、</w:t>
            </w:r>
            <w:r>
              <w:rPr>
                <w:rFonts w:ascii="微软雅黑" w:hAnsi="微软雅黑" w:cs="微软雅黑" w:eastAsia="微软雅黑"/>
                <w:sz w:val="24"/>
              </w:rPr>
              <w:t>支持网络连接</w:t>
            </w:r>
          </w:p>
          <w:p>
            <w:pPr>
              <w:pStyle w:val="null3"/>
              <w:ind w:left="510"/>
              <w:jc w:val="both"/>
            </w:pPr>
            <w:r>
              <w:rPr>
                <w:rFonts w:ascii="微软雅黑" w:hAnsi="微软雅黑" w:cs="微软雅黑" w:eastAsia="微软雅黑"/>
                <w:sz w:val="24"/>
              </w:rPr>
              <w:t>6.3、信号</w:t>
            </w:r>
            <w:r>
              <w:rPr>
                <w:rFonts w:ascii="微软雅黑" w:hAnsi="微软雅黑" w:cs="微软雅黑" w:eastAsia="微软雅黑"/>
                <w:sz w:val="24"/>
              </w:rPr>
              <w:t>输入、输出接口：</w:t>
            </w:r>
            <w:r>
              <w:rPr>
                <w:rFonts w:ascii="微软雅黑" w:hAnsi="微软雅黑" w:cs="微软雅黑" w:eastAsia="微软雅黑"/>
                <w:sz w:val="24"/>
              </w:rPr>
              <w:t>S-Video、USB、HDMI等</w:t>
            </w:r>
          </w:p>
          <w:p>
            <w:pPr>
              <w:pStyle w:val="null3"/>
              <w:ind w:left="510"/>
              <w:jc w:val="both"/>
            </w:pPr>
            <w:r>
              <w:rPr>
                <w:rFonts w:ascii="微软雅黑" w:hAnsi="微软雅黑" w:cs="微软雅黑" w:eastAsia="微软雅黑"/>
                <w:sz w:val="24"/>
              </w:rPr>
              <w:t>7、</w:t>
            </w:r>
            <w:r>
              <w:rPr>
                <w:rFonts w:ascii="微软雅黑" w:hAnsi="微软雅黑" w:cs="微软雅黑" w:eastAsia="微软雅黑"/>
                <w:sz w:val="24"/>
              </w:rPr>
              <w:t>质保期</w:t>
            </w:r>
            <w:r>
              <w:rPr>
                <w:rFonts w:ascii="微软雅黑" w:hAnsi="微软雅黑" w:cs="微软雅黑" w:eastAsia="微软雅黑"/>
                <w:sz w:val="24"/>
              </w:rPr>
              <w:t>≥2年</w:t>
            </w:r>
          </w:p>
          <w:p>
            <w:pPr>
              <w:pStyle w:val="null3"/>
              <w:jc w:val="both"/>
            </w:pPr>
            <w:r>
              <w:rPr>
                <w:rFonts w:ascii="微软雅黑" w:hAnsi="微软雅黑" w:cs="微软雅黑" w:eastAsia="微软雅黑"/>
                <w:sz w:val="24"/>
              </w:rPr>
              <w:t>8、</w:t>
            </w:r>
            <w:r>
              <w:rPr>
                <w:rFonts w:ascii="微软雅黑" w:hAnsi="微软雅黑" w:cs="微软雅黑" w:eastAsia="微软雅黑"/>
                <w:sz w:val="24"/>
              </w:rPr>
              <w:t>生产日期：该设备须为到货之日前六个月内生产的产品</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自合同签订之日起30日历日内交货。</w:t>
      </w:r>
    </w:p>
    <w:p>
      <w:pPr>
        <w:pStyle w:val="null3"/>
        <w:outlineLvl w:val="3"/>
      </w:pPr>
      <w:r>
        <w:rPr>
          <w:sz w:val="24"/>
          <w:b/>
        </w:rPr>
        <w:t>3.4.2交货地点和方式</w:t>
      </w:r>
    </w:p>
    <w:p>
      <w:pPr>
        <w:pStyle w:val="null3"/>
      </w:pPr>
      <w:r>
        <w:rPr/>
        <w:t>采购包1：</w:t>
      </w:r>
    </w:p>
    <w:p>
      <w:pPr>
        <w:pStyle w:val="null3"/>
      </w:pPr>
      <w:r>
        <w:rPr/>
        <w:t>西安医学院附属宝鸡医院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货到安装验收合格三个月后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货到安装验收合格六个月后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货到安装验收合格两年后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按照国家相关法律法规及该设备的招标文件条款进行验收。货物到达采购人指定地点后，由投标人和采购人约定时间根据合同要求进行清点验收，确认产地品牌、规格型号和数量等。设备安装、调试、自检正常，且可正常使用后，由投标人书面向采购人申请正式验收。投标人按照采购人的验收管理制度和流程准备好验收资料后，按约定时间进行设备运行（正式）验收。设备验收合格后，验收人员在设备验收单上签字作为对货物的最终认可。 投标人须向采购人提交货物实施过程中的所有资料，以便日后管理和维护。 验收依据：本合同及附件文本；国家相应的标准、规范；招标文件、投标文件、澄清表（函）；易损配件、备件报价单；提供原厂质保文件；其它。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要求投标设备原厂质保≥2年。合同签订时，投标人向采购人提供和原厂签订的≥2年的质保合同，内容需明确已响应的质保内容和拟签订采购合同的履约约定内容，并明确质保期内出现质量问题，全权由原厂负责处理。 质保期内，设备发生质量问题，在接到采购方通知后，供应商服务响应时间不超过2小时，4小时内派出专业的维修人员进行现场检测维修，解决问题不超过 24小时。对问题较大、短期内不能解决的，为不影响采购方正常工作，供应商在7日内免费提供替代产品，所发生的全部费用由乙方承担。若需返厂维修，相关一切费用由供应商承担。20个工作日内仍无法修复的，需免费更换同规格、同型号原厂全新产品，更换产品所产生的相关费用均由供应商承担。质保期期内设备停机时间自动计算为免费质保延长时间。 投标人销售及原厂维修人员须定期巡访医院，及时解决相关设备的各种问题。质保期内保证整机按照保养手册至少每季度保养一次。 质保期内提供的所有服务，不收取任何费用。 投标人在质保期结束前，对设备进行系统测试，全面保养维护，确保设备正常运行。 质保期满后：投标人提供每年不低于2次的巡访，以保证设备正常运行。如采购人要求，投标人须提供优惠有偿维修服务，并负责成本价供应设备所需的原厂备品、备件，提供主要易损备件报价单。设备出现的故障，投标人应提供及时、有效的技术支持和售后服务，维修更换的配件、备件质保时间为≥12个月，投标人保证所提供的零备件按成本价收取费用，免工时费。</w:t>
      </w:r>
    </w:p>
    <w:p>
      <w:pPr>
        <w:pStyle w:val="null3"/>
        <w:outlineLvl w:val="3"/>
      </w:pPr>
      <w:r>
        <w:rPr>
          <w:sz w:val="24"/>
          <w:b/>
        </w:rPr>
        <w:t>3.4.8违约责任及解决争议的方法</w:t>
      </w:r>
    </w:p>
    <w:p>
      <w:pPr>
        <w:pStyle w:val="null3"/>
      </w:pPr>
      <w:r>
        <w:rPr/>
        <w:t>采购包1：</w:t>
      </w:r>
    </w:p>
    <w:p>
      <w:pPr>
        <w:pStyle w:val="null3"/>
      </w:pPr>
      <w:r>
        <w:rPr/>
        <w:t>按《政府采购法》、《民法典》中的相关条款执行。未按合同要求提供设备或质量不能满足技术要求，采购人会同监督机构、采购代理机构有权终止合同并对供方违约行为进行追究，同时按政府采购供应商管理办法进行相应的处罚。</w:t>
      </w:r>
    </w:p>
    <w:p>
      <w:pPr>
        <w:pStyle w:val="null3"/>
        <w:jc w:val="left"/>
        <w:outlineLvl w:val="3"/>
      </w:pPr>
      <w:r>
        <w:rPr>
          <w:sz w:val="24"/>
          <w:b/>
        </w:rPr>
        <w:t>3.5其他要求</w:t>
      </w:r>
    </w:p>
    <w:p>
      <w:pPr>
        <w:pStyle w:val="null3"/>
      </w:pPr>
      <w:r>
        <w:rPr/>
        <w:t>采购包1：</w:t>
      </w:r>
    </w:p>
    <w:p>
      <w:pPr>
        <w:pStyle w:val="null3"/>
      </w:pPr>
      <w:r>
        <w:rPr/>
        <w:t>保证设备技术指标先进、产品全新、质量性能可靠、进货渠道正常，配置合理，全面满足甲方要求。 符合国家有关规范要求和技术标准，确保达到最佳运行状态。 具有良好的外观，适合安装场所的使用。 供应商为采购方提供的设备须为原厂生产全新产品，如果供应商提供产品非原厂生产全新产品，一经查实，甲方有权要求乙方更换符合招标文件所要求的全新产品，一切经济损失由乙方全部承担。 使用培训：设备安装调试完成后，投标人须安排原厂工程师对设备使用人员进行设备安装调试及操作应用等技术培训，直至使用人员熟练掌握该设备的全部功能操作。提供每年不低于2次的理论和操作应用培训。培训环节产生的相关费用包含于投标价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1.提供了有效的法人或者其他组织的营业执照等证明文件，自然人的身份证明； 2.依法缴纳税收和社会保障资金的证明材料复印件； 3.提供了可充分满足履行合同所需设备和专业技术能力的声明或承诺； 4.提供了有效的参加政府采购活动前3年内在经营活动中没有重大违法记录的书面声明；</w:t>
            </w:r>
          </w:p>
        </w:tc>
        <w:tc>
          <w:tcPr>
            <w:tcW w:type="dxa" w:w="1661"/>
          </w:tcPr>
          <w:p>
            <w:pPr>
              <w:pStyle w:val="null3"/>
            </w:pPr>
            <w:r>
              <w:rPr/>
              <w:t>资格证明文件（格式）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提供2023年度经审计的财务会计报告，或其开标截止之日前6个月内基本存款账户开户银行出具的资信证明；</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供应商出现以下情况不得参与谈判：1.单位负责人为同一人或者存在直接控股、管理关系的不同供应商不得参加同一合同项下的政府采购活动；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执行政府采购促进中小企业发展的相关政策：</w:t>
            </w:r>
          </w:p>
        </w:tc>
        <w:tc>
          <w:tcPr>
            <w:tcW w:type="dxa" w:w="3322"/>
          </w:tcPr>
          <w:p>
            <w:pPr>
              <w:pStyle w:val="null3"/>
            </w:pPr>
            <w:r>
              <w:rPr/>
              <w:t>（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陕西省中小企业政府采购信用融资办法》（陕财办采[2018]23号）；（5）《财政部发展改革委生态环境部市场监管总局关于调整优化节能产品、环境标志产品政府采购执行机制的通知》（财库[2019]9号）；（6）《关于印发节能产品政府采购品目清单的通知》（财库[2019]19号）；（7）《关于运用政府采购政策支持脱贫攻坚的通知》（财库[2019]27号）；（8）《陕西省财政厅关于加快推进我省中小企业政府采购信用融资工作的通知》（陕财办采[2020]15号）；（9）关于印发《政府采购促进中小企业发展管理办法》的通知（财库[2020]46号）；（10）《关于运用政府采购政策支持乡村产业振兴的通知》（财库[2021]19号）；（11）财政部关于进一步加大政府采购支持中小企业力度的通知（财库[2022]19号）；（12）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提供合法有效的统一社会信用代码的营业执照。</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投标授权</w:t>
            </w:r>
          </w:p>
        </w:tc>
        <w:tc>
          <w:tcPr>
            <w:tcW w:type="dxa" w:w="3322"/>
          </w:tcPr>
          <w:p>
            <w:pPr>
              <w:pStyle w:val="null3"/>
            </w:pPr>
            <w:r>
              <w:rPr/>
              <w:t>投标代表参加投标，提供法定代表人授权委托书及授权代表身份证复印件（法定代表人参加投标，提供法定代表人证明书及法定代表人身份证复印件）</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具有良好的商业信誉和健全的财务会计制度</w:t>
            </w:r>
          </w:p>
        </w:tc>
        <w:tc>
          <w:tcPr>
            <w:tcW w:type="dxa" w:w="3322"/>
          </w:tcPr>
          <w:p>
            <w:pPr>
              <w:pStyle w:val="null3"/>
            </w:pPr>
            <w:r>
              <w:rPr/>
              <w:t>提供2023年度经审计的财务会计报告，或其开标截止之日前6个月内基本存款账户开户银行出具的资信证明；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有履行合同所必需的设备和专业技术能力</w:t>
            </w:r>
          </w:p>
        </w:tc>
        <w:tc>
          <w:tcPr>
            <w:tcW w:type="dxa" w:w="3322"/>
          </w:tcPr>
          <w:p>
            <w:pPr>
              <w:pStyle w:val="null3"/>
            </w:pPr>
            <w:r>
              <w:rPr/>
              <w:t>提供有履行合同所必需的设备和专业技术能力书面承诺</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提供2024年任意一个月的纳税证明或完税证明（依法免税的供应商应提供相关文件证明）和社会保障资金缴纳证明（专用收据或社会保险缴纳清单或参保缴费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投标产品经营资质</w:t>
            </w:r>
          </w:p>
        </w:tc>
        <w:tc>
          <w:tcPr>
            <w:tcW w:type="dxa" w:w="3322"/>
          </w:tcPr>
          <w:p>
            <w:pPr>
              <w:pStyle w:val="null3"/>
            </w:pPr>
            <w:r>
              <w:rPr/>
              <w:t>经销商的应提供《医疗器械经营许可证》或《医疗器械经营备案凭证》及投标产品《医疗器械注册证》；制造厂家的须出具投标产品《医疗器械生产许可证》（进口产品除外）、《医疗器械经营许可证》及所投产品《医疗器械注册证》。所投产品属于二类医疗设备的应提供《医疗器械经营备案凭证》，所投产品属于三类医疗设备的应提供《医疗器械经营许可证》。所投产品不属于医疗设备的，提供相关产品证明文件。</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w:t>
            </w:r>
          </w:p>
        </w:tc>
        <w:tc>
          <w:tcPr>
            <w:tcW w:type="dxa" w:w="3322"/>
          </w:tcPr>
          <w:p>
            <w:pPr>
              <w:pStyle w:val="null3"/>
            </w:pPr>
            <w:r>
              <w:rPr/>
              <w:t>本项目不允许联合体投标，提供书面声明。</w:t>
            </w:r>
          </w:p>
        </w:tc>
        <w:tc>
          <w:tcPr>
            <w:tcW w:type="dxa" w:w="1661"/>
          </w:tcPr>
          <w:p>
            <w:pPr>
              <w:pStyle w:val="null3"/>
            </w:pPr>
            <w:r>
              <w:rPr/>
              <w:t>资格证明文件（格式）</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供应商首次谈判报价未出现选择性报价</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供应商按谈判文件要求签字及加盖单位公章</w:t>
            </w:r>
          </w:p>
        </w:tc>
        <w:tc>
          <w:tcPr>
            <w:tcW w:type="dxa" w:w="3322"/>
          </w:tcPr>
          <w:p>
            <w:pPr>
              <w:pStyle w:val="null3"/>
            </w:pPr>
            <w:r>
              <w:rPr/>
              <w:t>供应商按谈判文件要求签字及加盖单位公章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谈判响应文件按谈判文件要求法定代表人或其授权代表签字</w:t>
            </w:r>
          </w:p>
        </w:tc>
        <w:tc>
          <w:tcPr>
            <w:tcW w:type="dxa" w:w="3322"/>
          </w:tcPr>
          <w:p>
            <w:pPr>
              <w:pStyle w:val="null3"/>
            </w:pPr>
            <w:r>
              <w:rPr/>
              <w:t>谈判响应文件按谈判文件要求法定代表人或其授权代表签字</w:t>
            </w:r>
          </w:p>
        </w:tc>
        <w:tc>
          <w:tcPr>
            <w:tcW w:type="dxa" w:w="1661"/>
          </w:tcPr>
          <w:p>
            <w:pPr>
              <w:pStyle w:val="null3"/>
            </w:pPr>
            <w:r>
              <w:rPr/>
              <w:t>响应文件封面 资格证明文件（格式） 响应函</w:t>
            </w:r>
          </w:p>
        </w:tc>
      </w:tr>
      <w:tr>
        <w:tc>
          <w:tcPr>
            <w:tcW w:type="dxa" w:w="831"/>
          </w:tcPr>
          <w:p>
            <w:pPr>
              <w:pStyle w:val="null3"/>
            </w:pPr>
            <w:r>
              <w:rPr/>
              <w:t>4</w:t>
            </w:r>
          </w:p>
        </w:tc>
        <w:tc>
          <w:tcPr>
            <w:tcW w:type="dxa" w:w="2492"/>
          </w:tcPr>
          <w:p>
            <w:pPr>
              <w:pStyle w:val="null3"/>
            </w:pPr>
            <w:r>
              <w:rPr/>
              <w:t>有效期达到谈判文件的要求</w:t>
            </w:r>
          </w:p>
        </w:tc>
        <w:tc>
          <w:tcPr>
            <w:tcW w:type="dxa" w:w="3322"/>
          </w:tcPr>
          <w:p>
            <w:pPr>
              <w:pStyle w:val="null3"/>
            </w:pPr>
            <w:r>
              <w:rPr/>
              <w:t>有效期达到谈判文件的要求</w:t>
            </w:r>
          </w:p>
        </w:tc>
        <w:tc>
          <w:tcPr>
            <w:tcW w:type="dxa" w:w="1661"/>
          </w:tcPr>
          <w:p>
            <w:pPr>
              <w:pStyle w:val="null3"/>
            </w:pPr>
            <w:r>
              <w:rPr/>
              <w:t>响应文件封面 资格证明文件（格式） 响应函</w:t>
            </w:r>
          </w:p>
        </w:tc>
      </w:tr>
      <w:tr>
        <w:tc>
          <w:tcPr>
            <w:tcW w:type="dxa" w:w="831"/>
          </w:tcPr>
          <w:p>
            <w:pPr>
              <w:pStyle w:val="null3"/>
            </w:pPr>
            <w:r>
              <w:rPr/>
              <w:t>5</w:t>
            </w:r>
          </w:p>
        </w:tc>
        <w:tc>
          <w:tcPr>
            <w:tcW w:type="dxa" w:w="2492"/>
          </w:tcPr>
          <w:p>
            <w:pPr>
              <w:pStyle w:val="null3"/>
            </w:pPr>
            <w:r>
              <w:rPr/>
              <w:t>谈判报价未超出采购预算</w:t>
            </w:r>
          </w:p>
        </w:tc>
        <w:tc>
          <w:tcPr>
            <w:tcW w:type="dxa" w:w="3322"/>
          </w:tcPr>
          <w:p>
            <w:pPr>
              <w:pStyle w:val="null3"/>
            </w:pPr>
            <w:r>
              <w:rPr/>
              <w:t>谈判报价未超出采购预算</w:t>
            </w:r>
          </w:p>
        </w:tc>
        <w:tc>
          <w:tcPr>
            <w:tcW w:type="dxa" w:w="1661"/>
          </w:tcPr>
          <w:p>
            <w:pPr>
              <w:pStyle w:val="null3"/>
            </w:pPr>
            <w:r>
              <w:rPr/>
              <w:t>响应文件封面 标的清单 报价表</w:t>
            </w:r>
          </w:p>
        </w:tc>
      </w:tr>
      <w:tr>
        <w:tc>
          <w:tcPr>
            <w:tcW w:type="dxa" w:w="831"/>
          </w:tcPr>
          <w:p>
            <w:pPr>
              <w:pStyle w:val="null3"/>
            </w:pPr>
            <w:r>
              <w:rPr/>
              <w:t>6</w:t>
            </w:r>
          </w:p>
        </w:tc>
        <w:tc>
          <w:tcPr>
            <w:tcW w:type="dxa" w:w="2492"/>
          </w:tcPr>
          <w:p>
            <w:pPr>
              <w:pStyle w:val="null3"/>
            </w:pPr>
            <w:r>
              <w:rPr/>
              <w:t>所有采购需求的指标无负偏离的</w:t>
            </w:r>
          </w:p>
        </w:tc>
        <w:tc>
          <w:tcPr>
            <w:tcW w:type="dxa" w:w="3322"/>
          </w:tcPr>
          <w:p>
            <w:pPr>
              <w:pStyle w:val="null3"/>
            </w:pPr>
            <w:r>
              <w:rPr/>
              <w:t>所有采购需求的指标无负偏离的</w:t>
            </w:r>
          </w:p>
        </w:tc>
        <w:tc>
          <w:tcPr>
            <w:tcW w:type="dxa" w:w="1661"/>
          </w:tcPr>
          <w:p>
            <w:pPr>
              <w:pStyle w:val="null3"/>
            </w:pPr>
            <w:r>
              <w:rPr/>
              <w:t>产品技术参数表</w:t>
            </w:r>
          </w:p>
        </w:tc>
      </w:tr>
      <w:tr>
        <w:tc>
          <w:tcPr>
            <w:tcW w:type="dxa" w:w="831"/>
          </w:tcPr>
          <w:p>
            <w:pPr>
              <w:pStyle w:val="null3"/>
            </w:pPr>
            <w:r>
              <w:rPr/>
              <w:t>7</w:t>
            </w:r>
          </w:p>
        </w:tc>
        <w:tc>
          <w:tcPr>
            <w:tcW w:type="dxa" w:w="2492"/>
          </w:tcPr>
          <w:p>
            <w:pPr>
              <w:pStyle w:val="null3"/>
            </w:pPr>
            <w:r>
              <w:rPr/>
              <w:t>所有商务要求无负偏离的</w:t>
            </w:r>
          </w:p>
        </w:tc>
        <w:tc>
          <w:tcPr>
            <w:tcW w:type="dxa" w:w="3322"/>
          </w:tcPr>
          <w:p>
            <w:pPr>
              <w:pStyle w:val="null3"/>
            </w:pPr>
            <w:r>
              <w:rPr/>
              <w:t>所有商务要求无负偏离的</w:t>
            </w:r>
          </w:p>
        </w:tc>
        <w:tc>
          <w:tcPr>
            <w:tcW w:type="dxa" w:w="1661"/>
          </w:tcPr>
          <w:p>
            <w:pPr>
              <w:pStyle w:val="null3"/>
            </w:pPr>
            <w:r>
              <w:rPr/>
              <w:t>响应文件封面 商务应答表</w:t>
            </w:r>
          </w:p>
        </w:tc>
      </w:tr>
      <w:tr>
        <w:tc>
          <w:tcPr>
            <w:tcW w:type="dxa" w:w="831"/>
          </w:tcPr>
          <w:p>
            <w:pPr>
              <w:pStyle w:val="null3"/>
            </w:pPr>
            <w:r>
              <w:rPr/>
              <w:t>8</w:t>
            </w:r>
          </w:p>
        </w:tc>
        <w:tc>
          <w:tcPr>
            <w:tcW w:type="dxa" w:w="2492"/>
          </w:tcPr>
          <w:p>
            <w:pPr>
              <w:pStyle w:val="null3"/>
            </w:pPr>
            <w:r>
              <w:rPr/>
              <w:t>谈判内容未出现漏项或数量与要求不符</w:t>
            </w:r>
          </w:p>
        </w:tc>
        <w:tc>
          <w:tcPr>
            <w:tcW w:type="dxa" w:w="3322"/>
          </w:tcPr>
          <w:p>
            <w:pPr>
              <w:pStyle w:val="null3"/>
            </w:pPr>
            <w:r>
              <w:rPr/>
              <w:t>谈判内容未出现漏项或数量与要求不符</w:t>
            </w:r>
          </w:p>
        </w:tc>
        <w:tc>
          <w:tcPr>
            <w:tcW w:type="dxa" w:w="1661"/>
          </w:tcPr>
          <w:p>
            <w:pPr>
              <w:pStyle w:val="null3"/>
            </w:pPr>
            <w:r>
              <w:rPr/>
              <w:t>响应文件封面 资格证明文件（格式） 产品技术参数表 商务应答表 标的清单 报价表 响应函</w:t>
            </w:r>
          </w:p>
        </w:tc>
      </w:tr>
      <w:tr>
        <w:tc>
          <w:tcPr>
            <w:tcW w:type="dxa" w:w="831"/>
          </w:tcPr>
          <w:p>
            <w:pPr>
              <w:pStyle w:val="null3"/>
            </w:pPr>
            <w:r>
              <w:rPr/>
              <w:t>9</w:t>
            </w:r>
          </w:p>
        </w:tc>
        <w:tc>
          <w:tcPr>
            <w:tcW w:type="dxa" w:w="2492"/>
          </w:tcPr>
          <w:p>
            <w:pPr>
              <w:pStyle w:val="null3"/>
            </w:pPr>
            <w:r>
              <w:rPr/>
              <w:t>供应商按要求缴纳保证金的</w:t>
            </w:r>
          </w:p>
        </w:tc>
        <w:tc>
          <w:tcPr>
            <w:tcW w:type="dxa" w:w="3322"/>
          </w:tcPr>
          <w:p>
            <w:pPr>
              <w:pStyle w:val="null3"/>
            </w:pPr>
            <w:r>
              <w:rPr/>
              <w:t>供应商按要求缴纳保证金的</w:t>
            </w:r>
          </w:p>
        </w:tc>
        <w:tc>
          <w:tcPr>
            <w:tcW w:type="dxa" w:w="1661"/>
          </w:tcPr>
          <w:p>
            <w:pPr>
              <w:pStyle w:val="null3"/>
            </w:pPr>
            <w:r>
              <w:rPr/>
              <w:t>响应文件封面 资格证明文件（格式）</w:t>
            </w:r>
          </w:p>
        </w:tc>
      </w:tr>
      <w:tr>
        <w:tc>
          <w:tcPr>
            <w:tcW w:type="dxa" w:w="831"/>
          </w:tcPr>
          <w:p>
            <w:pPr>
              <w:pStyle w:val="null3"/>
            </w:pPr>
            <w:r>
              <w:rPr/>
              <w:t>10</w:t>
            </w:r>
          </w:p>
        </w:tc>
        <w:tc>
          <w:tcPr>
            <w:tcW w:type="dxa" w:w="2492"/>
          </w:tcPr>
          <w:p>
            <w:pPr>
              <w:pStyle w:val="null3"/>
            </w:pPr>
            <w:r>
              <w:rPr/>
              <w:t>技术指标提供相关证明材料支持的</w:t>
            </w:r>
          </w:p>
        </w:tc>
        <w:tc>
          <w:tcPr>
            <w:tcW w:type="dxa" w:w="3322"/>
          </w:tcPr>
          <w:p>
            <w:pPr>
              <w:pStyle w:val="null3"/>
            </w:pPr>
            <w:r>
              <w:rPr/>
              <w:t>技术指标提供相关证明材料支持的</w:t>
            </w:r>
          </w:p>
        </w:tc>
        <w:tc>
          <w:tcPr>
            <w:tcW w:type="dxa" w:w="1661"/>
          </w:tcPr>
          <w:p>
            <w:pPr>
              <w:pStyle w:val="null3"/>
            </w:pPr>
            <w:r>
              <w:rPr/>
              <w:t>响应文件封面 产品技术参数表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详见附件：资格证明文件（格式）</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