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版本号：241217001</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热重分析仪与电磁参数高温测量系统等设备采购项目</w:t>
      </w:r>
    </w:p>
    <w:p>
      <w:pPr>
        <w:pStyle w:val="null3"/>
        <w:jc w:val="center"/>
        <w:outlineLvl w:val="2"/>
      </w:pPr>
      <w:r>
        <w:rPr>
          <w:sz w:val="28"/>
          <w:b/>
        </w:rPr>
        <w:t>采购项目编号：</w:t>
      </w:r>
      <w:r>
        <w:rPr>
          <w:sz w:val="28"/>
          <w:b/>
        </w:rPr>
        <w:t>HZGH-2024-091</w:t>
      </w:r>
      <w:r>
        <w:br/>
      </w:r>
      <w:r>
        <w:br/>
      </w:r>
      <w:r>
        <w:br/>
      </w:r>
    </w:p>
    <w:p>
      <w:pPr>
        <w:pStyle w:val="null3"/>
        <w:jc w:val="center"/>
        <w:outlineLvl w:val="2"/>
      </w:pPr>
      <w:r>
        <w:rPr>
          <w:sz w:val="28"/>
          <w:b/>
        </w:rPr>
        <w:t>西北大学</w:t>
      </w:r>
    </w:p>
    <w:p>
      <w:pPr>
        <w:pStyle w:val="null3"/>
        <w:jc w:val="center"/>
        <w:outlineLvl w:val="2"/>
      </w:pPr>
      <w:r>
        <w:rPr>
          <w:sz w:val="28"/>
          <w:b/>
        </w:rPr>
        <w:t>华招广和项目管理有限公司</w:t>
      </w:r>
      <w:r>
        <w:rPr>
          <w:sz w:val="28"/>
          <w:b/>
        </w:rPr>
        <w:t>共同编制</w:t>
      </w:r>
    </w:p>
    <w:p>
      <w:pPr>
        <w:pStyle w:val="null3"/>
        <w:jc w:val="center"/>
        <w:outlineLvl w:val="2"/>
      </w:pPr>
      <w:r>
        <w:rPr>
          <w:sz w:val="28"/>
          <w:b/>
        </w:rPr>
        <w:t>2024年12月17日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华招广和项目管理有限公司</w:t>
      </w:r>
      <w:r>
        <w:rPr/>
        <w:t>（以下简称“代理机构”）受</w:t>
      </w:r>
      <w:r>
        <w:rPr/>
        <w:t>西北大学</w:t>
      </w:r>
      <w:r>
        <w:rPr/>
        <w:t>委托，拟对</w:t>
      </w:r>
      <w:r>
        <w:rPr/>
        <w:t>热重分析仪与电磁参数高温测量系统等设备采购项目</w:t>
      </w:r>
      <w:r>
        <w:rPr/>
        <w:t>采用竞争性谈判采购方式进行采购，兹邀请供应商参加本项目的竞争性谈判。</w:t>
      </w:r>
    </w:p>
    <w:p>
      <w:pPr>
        <w:pStyle w:val="null3"/>
        <w:outlineLvl w:val="2"/>
      </w:pPr>
      <w:r>
        <w:rPr>
          <w:sz w:val="28"/>
          <w:b/>
        </w:rPr>
        <w:t>一、项目编号：</w:t>
      </w:r>
      <w:r>
        <w:rPr>
          <w:sz w:val="28"/>
          <w:b/>
        </w:rPr>
        <w:t>HZGH-2024-091</w:t>
      </w:r>
    </w:p>
    <w:p>
      <w:pPr>
        <w:pStyle w:val="null3"/>
        <w:outlineLvl w:val="2"/>
      </w:pPr>
      <w:r>
        <w:rPr>
          <w:sz w:val="28"/>
          <w:b/>
        </w:rPr>
        <w:t>二、项目名称：</w:t>
      </w:r>
      <w:r>
        <w:rPr>
          <w:sz w:val="28"/>
          <w:b/>
        </w:rPr>
        <w:t>热重分析仪与电磁参数高温测量系统等设备采购项目</w:t>
      </w:r>
    </w:p>
    <w:p>
      <w:pPr>
        <w:pStyle w:val="null3"/>
        <w:outlineLvl w:val="2"/>
      </w:pPr>
      <w:r>
        <w:rPr>
          <w:sz w:val="28"/>
          <w:b/>
        </w:rPr>
        <w:t>三、谈判项目简介：</w:t>
      </w:r>
    </w:p>
    <w:p>
      <w:pPr>
        <w:pStyle w:val="null3"/>
        <w:ind w:firstLine="480"/>
      </w:pPr>
      <w:r>
        <w:rPr/>
        <w:t>热重分析仪与电磁参数高温测量系统等设备采购，具体详见采购文件。</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采购包1（热重分析仪与电磁参数高温测量系统等设备采购项目第一包）：属于专门面向中小企业采购。</w:t>
      </w:r>
    </w:p>
    <w:p>
      <w:pPr>
        <w:pStyle w:val="null3"/>
      </w:pPr>
      <w:r>
        <w:rPr/>
        <w:t>采购包2（热重分析仪与电磁参数高温测量系统等设备采购项目第二包）：属于专门面向中小企业采购。</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1、营业执照：具有独立承担民事责任能力的法人、其他组织或自然人，并出具合法有效的营业执照或事业单位法人证书等国家规定的相关证明，自然人参与的提供其身份证明；</w:t>
      </w:r>
    </w:p>
    <w:p>
      <w:pPr>
        <w:pStyle w:val="null3"/>
      </w:pPr>
      <w:r>
        <w:rPr/>
        <w:t>2、财务状况报告：提供具有财务审计资质单位出具的2022年度或2023年度财务报告（成立时间至开标时间不足一年的可提供成立后任意时段的资产负债表）或开标前六个月内其基本账户银行出具的资信证明（附开户许可证或基本账户证明）或政府采购信用担保机构出具的投标担保函；</w:t>
      </w:r>
    </w:p>
    <w:p>
      <w:pPr>
        <w:pStyle w:val="null3"/>
      </w:pPr>
      <w:r>
        <w:rPr/>
        <w:t>3、税收缴纳证明：提供2024年1月1日至今任意一个月已缴纳的纳税证明或完税证明（时间以税款所属日期为准）；（依法免税的供应商应提供相关文件证明）</w:t>
      </w:r>
    </w:p>
    <w:p>
      <w:pPr>
        <w:pStyle w:val="null3"/>
      </w:pPr>
      <w:r>
        <w:rPr/>
        <w:t>4、社会保障资金缴纳证明：提供2024年1月1日至今任意一个月的社保缴费凭据或社保机构开具的社会保险参保缴费情况证明；（依法不需要缴纳社会保障资金的供应商应提供相关证明）</w:t>
      </w:r>
    </w:p>
    <w:p>
      <w:pPr>
        <w:pStyle w:val="null3"/>
      </w:pPr>
      <w:r>
        <w:rPr/>
        <w:t>5、具有履行本合同所必需的设备和专业技术能力的说明及承诺：提供具有履行本合同所必需的设备和专业技术能力的说明及承诺；（格式自拟，加盖供应商公章）</w:t>
      </w:r>
    </w:p>
    <w:p>
      <w:pPr>
        <w:pStyle w:val="null3"/>
      </w:pPr>
      <w:r>
        <w:rPr/>
        <w:t>6、参加政府采购活动前三年内在经营活动中没有重大违法记录的书面声明：提供参加政府采购活动前三年内在经营活动中没有重大违法记录的书面声明。（格式自拟，加盖供应商公章）</w:t>
      </w:r>
    </w:p>
    <w:p>
      <w:pPr>
        <w:pStyle w:val="null3"/>
      </w:pPr>
      <w:r>
        <w:rPr/>
        <w:t>7、法定代表人或负责人资格证明书：法定代表人或负责人参与投标时需提供法定代表人或负责人资格证明书（附法定代表人或负责人身份证复印件）；</w:t>
      </w:r>
    </w:p>
    <w:p>
      <w:pPr>
        <w:pStyle w:val="null3"/>
      </w:pPr>
      <w:r>
        <w:rPr/>
        <w:t>8、法定代表人或负责人授权委托书：被授权人参与投标时需提供法定代表人或负责人授权委托书（附法定代表人或负责人及被授权人身份证复印件）；</w:t>
      </w:r>
    </w:p>
    <w:p>
      <w:pPr>
        <w:pStyle w:val="null3"/>
      </w:pPr>
      <w:r>
        <w:rPr/>
        <w:t>9、谈判保证金交纳凭证或担保函：谈判保证金交纳凭证或担保函；（保证金交纳凭证复印件或担保函复印件加盖公章）</w:t>
      </w:r>
    </w:p>
    <w:p>
      <w:pPr>
        <w:pStyle w:val="null3"/>
      </w:pPr>
      <w:r>
        <w:rPr/>
        <w:t>10、信用查询：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书面承诺函，格式自拟加盖供应商公章）</w:t>
      </w:r>
    </w:p>
    <w:p>
      <w:pPr>
        <w:pStyle w:val="null3"/>
      </w:pPr>
      <w:r>
        <w:rPr/>
        <w:t>11、单位负责人为同一人或者存在直接控股、管理关系的不同供应商，不得参加同一合同项下的政府采购活动：单位负责人为同一人或者存在直接控股、管理关系的不同供应商，不得参加同一合同项下的政府采购活动；（提供书面承诺函，格式自拟加盖供应商公章）</w:t>
      </w:r>
    </w:p>
    <w:p>
      <w:pPr>
        <w:pStyle w:val="null3"/>
      </w:pPr>
      <w:r>
        <w:rPr/>
        <w:t>12、本项目不接受联合体谈判：本项目不接受联合体谈判。（提供书面承诺函，格式自拟加盖供应商公章）</w:t>
      </w:r>
    </w:p>
    <w:p>
      <w:pPr>
        <w:pStyle w:val="null3"/>
      </w:pPr>
      <w:r>
        <w:rPr/>
        <w:t>13、本项目专门面向中小企业采购：须符合《政府采购促进中小企业发展管理办法》（财库〔2020〕46号）规定的中小企业参加。（提供《中小企业声明函》，式样见竞争性谈判响应文件格式）</w:t>
      </w:r>
    </w:p>
    <w:p>
      <w:pPr>
        <w:pStyle w:val="null3"/>
      </w:pPr>
      <w:r>
        <w:rPr/>
        <w:t>采购包2：</w:t>
      </w:r>
    </w:p>
    <w:p>
      <w:pPr>
        <w:pStyle w:val="null3"/>
      </w:pPr>
      <w:r>
        <w:rPr/>
        <w:t>1、营业执照：具有独立承担民事责任能力的法人、其他组织或自然人，并出具合法有效的营业执照或事业单位法人证书等国家规定的相关证明，自然人参与的提供其身份证明；</w:t>
      </w:r>
    </w:p>
    <w:p>
      <w:pPr>
        <w:pStyle w:val="null3"/>
      </w:pPr>
      <w:r>
        <w:rPr/>
        <w:t>2、财务状况报告：提供具有财务审计资质单位出具的2022年度或2023年度财务报告（成立时间至开标时间不足一年的可提供成立后任意时段的资产负债表）或开标前六个月内其基本账户银行出具的资信证明（附开户许可证或基本账户证明）或政府采购信用担保机构出具的投标担保函；</w:t>
      </w:r>
    </w:p>
    <w:p>
      <w:pPr>
        <w:pStyle w:val="null3"/>
      </w:pPr>
      <w:r>
        <w:rPr/>
        <w:t>3、税收缴纳证明：提供2024年1月1日至今任意一个月已缴纳的纳税证明或完税证明（时间以税款所属日期为准）；（依法免税的供应商应提供相关文件证明）</w:t>
      </w:r>
    </w:p>
    <w:p>
      <w:pPr>
        <w:pStyle w:val="null3"/>
      </w:pPr>
      <w:r>
        <w:rPr/>
        <w:t>4、社会保障资金缴纳证明：提供2024年1月1日至今任意一个月的社保缴费凭据或社保机构开具的社会保险参保缴费情况证明；（依法不需要缴纳社会保障资金的供应商应提供相关证明）</w:t>
      </w:r>
    </w:p>
    <w:p>
      <w:pPr>
        <w:pStyle w:val="null3"/>
      </w:pPr>
      <w:r>
        <w:rPr/>
        <w:t>5、具有履行本合同所必需的设备和专业技术能力的说明及承诺：提供具有履行本合同所必需的设备和专业技术能力的说明及承诺；（格式自拟，加盖供应商公章）</w:t>
      </w:r>
    </w:p>
    <w:p>
      <w:pPr>
        <w:pStyle w:val="null3"/>
      </w:pPr>
      <w:r>
        <w:rPr/>
        <w:t>6、参加政府采购活动前三年内在经营活动中没有重大违法记录的书面声明：提供参加政府采购活动前三年内在经营活动中没有重大违法记录的书面声明。（格式自拟，加盖供应商公章）</w:t>
      </w:r>
    </w:p>
    <w:p>
      <w:pPr>
        <w:pStyle w:val="null3"/>
      </w:pPr>
      <w:r>
        <w:rPr/>
        <w:t>7、法定代表人或负责人资格证明书：法定代表人或负责人参与投标时需提供法定代表人或负责人资格证明书（附法定代表人或负责人身份证复印件）；</w:t>
      </w:r>
    </w:p>
    <w:p>
      <w:pPr>
        <w:pStyle w:val="null3"/>
      </w:pPr>
      <w:r>
        <w:rPr/>
        <w:t>8、法定代表人或负责人授权委托书：被授权人参与投标时需提供法定代表人或负责人授权委托书（附法定代表人或负责人及被授权人身份证复印件）；</w:t>
      </w:r>
    </w:p>
    <w:p>
      <w:pPr>
        <w:pStyle w:val="null3"/>
      </w:pPr>
      <w:r>
        <w:rPr/>
        <w:t>9、谈判保证金交纳凭证或担保函：谈判保证金交纳凭证或担保函；（保证金交纳凭证复印件或担保函复印件加盖公章）</w:t>
      </w:r>
    </w:p>
    <w:p>
      <w:pPr>
        <w:pStyle w:val="null3"/>
      </w:pPr>
      <w:r>
        <w:rPr/>
        <w:t>10、信用查询：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书面承诺函，格式自拟加盖供应商公章）</w:t>
      </w:r>
    </w:p>
    <w:p>
      <w:pPr>
        <w:pStyle w:val="null3"/>
      </w:pPr>
      <w:r>
        <w:rPr/>
        <w:t>11、单位负责人为同一人或者存在直接控股、管理关系的不同供应商，不得参加同一合同项下的政府采购活动：单位负责人为同一人或者存在直接控股、管理关系的不同供应商，不得参加同一合同项下的政府采购活动；（提供书面承诺函，格式自拟加盖供应商公章）</w:t>
      </w:r>
    </w:p>
    <w:p>
      <w:pPr>
        <w:pStyle w:val="null3"/>
      </w:pPr>
      <w:r>
        <w:rPr/>
        <w:t>12、本项目不接受联合体谈判：本项目不接受联合体谈判。（提供书面承诺函，格式自拟加盖供应商公章）</w:t>
      </w:r>
    </w:p>
    <w:p>
      <w:pPr>
        <w:pStyle w:val="null3"/>
      </w:pPr>
      <w:r>
        <w:rPr/>
        <w:t>13、本项目专门面向中小企业采购：须符合《政府采购促进中小企业发展管理办法》（财库〔2020〕46号）规定的中小企业参加。（提供《中小企业声明函》，式样见竞争性谈判响应文件格式）</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西北大学</w:t>
      </w:r>
    </w:p>
    <w:p>
      <w:pPr>
        <w:pStyle w:val="null3"/>
      </w:pPr>
      <w:r>
        <w:rPr/>
        <w:t xml:space="preserve"> 地址： </w:t>
      </w:r>
      <w:r>
        <w:rPr/>
        <w:t>太白北路229号</w:t>
      </w:r>
    </w:p>
    <w:p>
      <w:pPr>
        <w:pStyle w:val="null3"/>
      </w:pPr>
      <w:r>
        <w:rPr/>
        <w:t xml:space="preserve"> 邮编： </w:t>
      </w:r>
      <w:r>
        <w:rPr/>
        <w:t>710000</w:t>
      </w:r>
    </w:p>
    <w:p>
      <w:pPr>
        <w:pStyle w:val="null3"/>
      </w:pPr>
      <w:r>
        <w:rPr/>
        <w:t xml:space="preserve"> 联系人： </w:t>
      </w:r>
      <w:r>
        <w:rPr/>
        <w:t>张老师</w:t>
      </w:r>
    </w:p>
    <w:p>
      <w:pPr>
        <w:pStyle w:val="null3"/>
      </w:pPr>
      <w:r>
        <w:rPr/>
        <w:t xml:space="preserve"> 联系电话： </w:t>
      </w:r>
      <w:r>
        <w:rPr/>
        <w:t>029-88302565</w:t>
      </w:r>
    </w:p>
    <w:p>
      <w:pPr>
        <w:pStyle w:val="null3"/>
        <w:outlineLvl w:val="3"/>
      </w:pPr>
      <w:r>
        <w:rPr>
          <w:sz w:val="24"/>
          <w:b/>
        </w:rPr>
        <w:t>代理机构：</w:t>
      </w:r>
      <w:r>
        <w:rPr>
          <w:sz w:val="24"/>
          <w:b/>
        </w:rPr>
        <w:t>华招广和项目管理有限公司</w:t>
      </w:r>
    </w:p>
    <w:p>
      <w:pPr>
        <w:pStyle w:val="null3"/>
      </w:pPr>
      <w:r>
        <w:rPr/>
        <w:t xml:space="preserve"> 地址： </w:t>
      </w:r>
      <w:r>
        <w:rPr/>
        <w:t>西安市朱雀大街南段1号汇成天玺C座18层</w:t>
      </w:r>
    </w:p>
    <w:p>
      <w:pPr>
        <w:pStyle w:val="null3"/>
      </w:pPr>
      <w:r>
        <w:rPr/>
        <w:t xml:space="preserve"> 邮编： </w:t>
      </w:r>
      <w:r>
        <w:rPr/>
        <w:t>710000</w:t>
      </w:r>
    </w:p>
    <w:p>
      <w:pPr>
        <w:pStyle w:val="null3"/>
      </w:pPr>
      <w:r>
        <w:rPr/>
        <w:t xml:space="preserve"> 联系人： </w:t>
      </w:r>
      <w:r>
        <w:rPr/>
        <w:t>秦工</w:t>
      </w:r>
    </w:p>
    <w:p>
      <w:pPr>
        <w:pStyle w:val="null3"/>
      </w:pPr>
      <w:r>
        <w:rPr/>
        <w:t xml:space="preserve"> 联系电话： </w:t>
      </w:r>
      <w:r>
        <w:rPr/>
        <w:t>029-87592321</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采购包1：582,400.00元</w:t>
            </w:r>
          </w:p>
          <w:p>
            <w:pPr>
              <w:pStyle w:val="null3"/>
            </w:pPr>
            <w:r>
              <w:rPr/>
              <w:t>采购包2：744,000.00元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采购包1保证金金额：10,000.00元</w:t>
            </w:r>
          </w:p>
          <w:p>
            <w:pPr>
              <w:pStyle w:val="null3"/>
            </w:pPr>
            <w:r>
              <w:rPr/>
              <w:t>采购包2保证金金额：14,000.00元</w:t>
            </w:r>
          </w:p>
          <w:p>
            <w:pPr>
              <w:pStyle w:val="null3"/>
            </w:pPr>
            <w:r>
              <w:rPr/>
              <w:t>缴交渠道：电子保函,转账、支票、汇票等（需通过实体账户、户名及开户行信息）</w:t>
            </w:r>
          </w:p>
          <w:p>
            <w:pPr>
              <w:pStyle w:val="null3"/>
            </w:pPr>
            <w:r>
              <w:rPr/>
              <w:t>开户名称：华招广和项目管理有限公司</w:t>
            </w:r>
          </w:p>
          <w:p>
            <w:pPr>
              <w:pStyle w:val="null3"/>
            </w:pPr>
            <w:r>
              <w:rPr/>
              <w:t>开户银行：中信银行西安朱雀南路支行</w:t>
            </w:r>
          </w:p>
          <w:p>
            <w:pPr>
              <w:pStyle w:val="null3"/>
            </w:pPr>
            <w:r>
              <w:rPr/>
              <w:t>银行账号：8111 7010 1190 0609 835</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1、成交后，成交供应商与采购人洽谈合同条款，并签订供货合同，同时送代理机构归档，谈判文件及成交供应商响应文件均作为合同的组成部分；供应商成交后（无论整体或部分成交），须向学校交纳合同履约保证金，履约保证金金额为成交金额的5%。 转账账号：西北大学 611301015018001145006 交通银行太白路支行 转账金额到账后，可持银行回执到西北大学采购与招标办公室换取收据。待合同执行完毕、货物验收合格后凭验收单和缴款收据，合同履约保证金予以退还。如遇下列情况之一者，合同履约保证金不予退还，作为对采购人的赔偿： （1）合同签订后不能按合同时限要求供货或安装调试的； （2）所供货物与合同不符或验收不合格的； （3）不能按合同履约的。 2、根据需要，代理机构应协助采购人监督、协调和处理履约过程中出现的问题； 3、陕西省财政厅政府采购管理处在合同履行期间以及履行期后，可以随时检查项目的执行情况，对采购标准、采购内容进行调查核实，并对发现的问题进行处理。</w:t>
            </w:r>
          </w:p>
          <w:p>
            <w:pPr>
              <w:pStyle w:val="null3"/>
            </w:pPr>
            <w:r>
              <w:rPr/>
              <w:t>采购包2：缴纳</w:t>
            </w:r>
          </w:p>
          <w:p>
            <w:pPr>
              <w:pStyle w:val="null3"/>
            </w:pPr>
            <w:r>
              <w:rPr/>
              <w:t>本采购包履约保证金为合同金额的5.0%</w:t>
            </w:r>
          </w:p>
          <w:p>
            <w:pPr>
              <w:pStyle w:val="null3"/>
            </w:pPr>
            <w:r>
              <w:rPr/>
              <w:t>说明：1、成交后，成交供应商与采购人洽谈合同条款，并签订供货合同，同时送代理机构归档，谈判文件及成交供应商响应文件均作为合同的组成部分；供应商成交后（无论整体或部分成交），须向学校交纳合同履约保证金，履约保证金金额为成交金额的5%。 转账账号：西北大学 611301015018001145006 交通银行太白路支行 转账金额到账后，可持银行回执到西北大学采购与招标办公室换取收据。待合同执行完毕、货物验收合格后凭验收单和缴款收据，合同履约保证金予以退还。如遇下列情况之一者，合同履约保证金不予退还，作为对采购人的赔偿： （1）合同签订后不能按合同时限要求供货或安装调试的； （2）所供货物与合同不符或验收不合格的； （3）不能按合同履约的。 2、根据需要，代理机构应协助采购人监督、协调和处理履约过程中出现的问题； 3、陕西省财政厅政府采购管理处在合同履行期间以及履行期后，可以随时检查项目的执行情况，对采购标准、采购内容进行调查核实，并对发现的问题进行处理。</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成交人在领取成交通知书时，参照原《国家计委关于印发&lt;招标代理服务收费管理暂行办法&gt;的通知》(计价格〔2002〕1980号)、《国家发展改革委关于降低部分建设项目收费标准规范收费行为等有关问题的通知》(发改价格〔2011〕534号)以及财政部关于印发&lt;政府采购代理机构管理暂行办法&gt;的通知》（财库〔2018〕2号）规定，下浮20%，向华招广和项目管理有限公司交纳招标服务费。 2、招标代理服务费应采用转账形式交纳。3、收款账户如下：收款单位：华招广和项目管理有限公司 开户银行：中国建设银行股份有限公司西安金泰假日花城支行 银行账号：6105 0186 5800 0000 0059。</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西北大学</w:t>
      </w:r>
      <w:r>
        <w:rPr/>
        <w:t>和</w:t>
      </w:r>
      <w:r>
        <w:rPr/>
        <w:t>华招广和项目管理有限公司</w:t>
      </w:r>
      <w:r>
        <w:rPr/>
        <w:t>享有。竞争性谈判文件中供应商参加本次政府采购活动应当具备的条件、技术清单、参数、商务及其他要求由</w:t>
      </w:r>
      <w:r>
        <w:rPr/>
        <w:t>西北大学</w:t>
      </w:r>
      <w:r>
        <w:rPr/>
        <w:t>负责解释。除上述竞争性谈判文件内容，其他内容由</w:t>
      </w:r>
      <w:r>
        <w:rPr/>
        <w:t>华招广和项目管理有限公司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西北大学</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华招广和项目管理有限公司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按采购文件、响应文件及合同约定执行</w:t>
      </w:r>
    </w:p>
    <w:p>
      <w:pPr>
        <w:pStyle w:val="null3"/>
      </w:pPr>
      <w:r>
        <w:rPr/>
        <w:t>采购包2：</w:t>
      </w:r>
    </w:p>
    <w:p>
      <w:pPr>
        <w:pStyle w:val="null3"/>
      </w:pPr>
      <w:r>
        <w:rPr/>
        <w:t>按采购文件、响应文件及合同约定执行</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华招广和项目管理有限公司</w:t>
      </w:r>
      <w:r>
        <w:rPr/>
        <w:t xml:space="preserve"> 负责答复；供应商对除采购需求外的采购文件的询问、质疑由</w:t>
      </w:r>
      <w:r>
        <w:rPr/>
        <w:t>华招广和项目管理有限公司</w:t>
      </w:r>
      <w:r>
        <w:rPr/>
        <w:t xml:space="preserve"> 负责答复；供应商对采购过程、采购结果的询问、质疑由 </w:t>
      </w:r>
      <w:r>
        <w:rPr/>
        <w:t>华招广和项目管理有限公司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联系人：秦工</w:t>
      </w:r>
    </w:p>
    <w:p>
      <w:pPr>
        <w:pStyle w:val="null3"/>
      </w:pPr>
      <w:r>
        <w:rPr/>
        <w:t>联系电话：029-87592321</w:t>
      </w:r>
    </w:p>
    <w:p>
      <w:pPr>
        <w:pStyle w:val="null3"/>
      </w:pPr>
      <w:r>
        <w:rPr/>
        <w:t>地址：西安市朱雀大街南段1号汇成天玺C座18层</w:t>
      </w:r>
    </w:p>
    <w:p>
      <w:pPr>
        <w:pStyle w:val="null3"/>
      </w:pPr>
      <w:r>
        <w:rPr/>
        <w:t>邮编：710000</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热重分析仪与电磁参数高温测量系统等设备采购，具体详见采购文件。</w:t>
      </w:r>
    </w:p>
    <w:p>
      <w:pPr>
        <w:pStyle w:val="null3"/>
        <w:outlineLvl w:val="2"/>
      </w:pPr>
      <w:r>
        <w:rPr>
          <w:sz w:val="28"/>
          <w:b/>
        </w:rPr>
        <w:t>3.2采购内容</w:t>
      </w:r>
    </w:p>
    <w:p>
      <w:pPr>
        <w:pStyle w:val="null3"/>
      </w:pPr>
      <w:r>
        <w:rPr/>
        <w:t>采购包1：</w:t>
      </w:r>
    </w:p>
    <w:p>
      <w:pPr>
        <w:pStyle w:val="null3"/>
      </w:pPr>
      <w:r>
        <w:rPr/>
        <w:t>采购包预算金额（元）: 582,400.00</w:t>
      </w:r>
    </w:p>
    <w:p>
      <w:pPr>
        <w:pStyle w:val="null3"/>
      </w:pPr>
      <w:r>
        <w:rPr/>
        <w:t>采购包最高限价（元）: 582,400.00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热重分析仪和比表面积及孔隙度分析仪</w:t>
            </w:r>
          </w:p>
        </w:tc>
        <w:tc>
          <w:tcPr>
            <w:tcW w:type="dxa" w:w="831"/>
          </w:tcPr>
          <w:p>
            <w:pPr>
              <w:pStyle w:val="null3"/>
              <w:jc w:val="right"/>
            </w:pPr>
            <w:r>
              <w:rPr/>
              <w:t>1.00</w:t>
            </w:r>
          </w:p>
        </w:tc>
        <w:tc>
          <w:tcPr>
            <w:tcW w:type="dxa" w:w="831"/>
          </w:tcPr>
          <w:p>
            <w:pPr>
              <w:pStyle w:val="null3"/>
              <w:jc w:val="right"/>
            </w:pPr>
            <w:r>
              <w:rPr/>
              <w:t>582,400.00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744,000.00</w:t>
      </w:r>
    </w:p>
    <w:p>
      <w:pPr>
        <w:pStyle w:val="null3"/>
      </w:pPr>
      <w:r>
        <w:rPr/>
        <w:t>采购包最高限价（元）: 744,000.00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电磁参数高温测量系统</w:t>
            </w:r>
          </w:p>
        </w:tc>
        <w:tc>
          <w:tcPr>
            <w:tcW w:type="dxa" w:w="831"/>
          </w:tcPr>
          <w:p>
            <w:pPr>
              <w:pStyle w:val="null3"/>
              <w:jc w:val="right"/>
            </w:pPr>
            <w:r>
              <w:rPr/>
              <w:t>1.00</w:t>
            </w:r>
          </w:p>
        </w:tc>
        <w:tc>
          <w:tcPr>
            <w:tcW w:type="dxa" w:w="831"/>
          </w:tcPr>
          <w:p>
            <w:pPr>
              <w:pStyle w:val="null3"/>
              <w:jc w:val="right"/>
            </w:pPr>
            <w:r>
              <w:rPr/>
              <w:t>744,000.00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标的名称：热重分析仪和比表面积及孔隙度分析仪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160"/>
              <w:gridCol w:w="315"/>
              <w:gridCol w:w="1676"/>
              <w:gridCol w:w="181"/>
              <w:gridCol w:w="222"/>
            </w:tblGrid>
            <w:tr>
              <w:tc>
                <w:tcPr>
                  <w:tcW w:type="dxa" w:w="1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rPr>
                    <w:t>序号</w:t>
                  </w:r>
                </w:p>
              </w:tc>
              <w:tc>
                <w:tcPr>
                  <w:tcW w:type="dxa" w:w="3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rPr>
                    <w:t>货物名称</w:t>
                  </w:r>
                </w:p>
              </w:tc>
              <w:tc>
                <w:tcPr>
                  <w:tcW w:type="dxa" w:w="16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rPr>
                    <w:t>技术参数</w:t>
                  </w:r>
                </w:p>
              </w:tc>
              <w:tc>
                <w:tcPr>
                  <w:tcW w:type="dxa" w:w="1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rPr>
                    <w:t>数量</w:t>
                  </w:r>
                </w:p>
              </w:tc>
              <w:tc>
                <w:tcPr>
                  <w:tcW w:type="dxa" w:w="2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rPr>
                    <w:t>备注</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热重分析仪</w:t>
                  </w: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w:t>
                  </w:r>
                  <w:r>
                    <w:rPr>
                      <w:rFonts w:ascii="仿宋" w:hAnsi="仿宋" w:cs="仿宋" w:eastAsia="仿宋"/>
                      <w:sz w:val="24"/>
                    </w:rPr>
                    <w:t>1）测试温度范围为室温~1550℃。</w:t>
                  </w:r>
                </w:p>
                <w:p>
                  <w:pPr>
                    <w:pStyle w:val="null3"/>
                    <w:jc w:val="left"/>
                  </w:pPr>
                  <w:r>
                    <w:rPr>
                      <w:rFonts w:ascii="仿宋" w:hAnsi="仿宋" w:cs="仿宋" w:eastAsia="仿宋"/>
                      <w:sz w:val="24"/>
                    </w:rPr>
                    <w:t>（</w:t>
                  </w:r>
                  <w:r>
                    <w:rPr>
                      <w:rFonts w:ascii="仿宋" w:hAnsi="仿宋" w:cs="仿宋" w:eastAsia="仿宋"/>
                      <w:sz w:val="24"/>
                    </w:rPr>
                    <w:t>2）温度精度为0.01℃。</w:t>
                  </w:r>
                </w:p>
                <w:p>
                  <w:pPr>
                    <w:pStyle w:val="null3"/>
                    <w:jc w:val="left"/>
                  </w:pPr>
                  <w:r>
                    <w:rPr>
                      <w:rFonts w:ascii="仿宋" w:hAnsi="仿宋" w:cs="仿宋" w:eastAsia="仿宋"/>
                      <w:sz w:val="24"/>
                    </w:rPr>
                    <w:t>（</w:t>
                  </w:r>
                  <w:r>
                    <w:rPr>
                      <w:rFonts w:ascii="仿宋" w:hAnsi="仿宋" w:cs="仿宋" w:eastAsia="仿宋"/>
                      <w:sz w:val="24"/>
                    </w:rPr>
                    <w:t>3）天平测量范围为0.01mg~10g，十万分之一克微量样品也可识别重量反应。</w:t>
                  </w:r>
                </w:p>
                <w:p>
                  <w:pPr>
                    <w:pStyle w:val="null3"/>
                    <w:jc w:val="left"/>
                  </w:pPr>
                  <w:r>
                    <w:rPr>
                      <w:rFonts w:ascii="仿宋" w:hAnsi="仿宋" w:cs="仿宋" w:eastAsia="仿宋"/>
                      <w:sz w:val="24"/>
                    </w:rPr>
                    <w:t>（</w:t>
                  </w:r>
                  <w:r>
                    <w:rPr>
                      <w:rFonts w:ascii="仿宋" w:hAnsi="仿宋" w:cs="仿宋" w:eastAsia="仿宋"/>
                      <w:sz w:val="24"/>
                    </w:rPr>
                    <w:t>4）解析度为0.01mg。</w:t>
                  </w:r>
                </w:p>
                <w:p>
                  <w:pPr>
                    <w:pStyle w:val="null3"/>
                    <w:jc w:val="left"/>
                  </w:pPr>
                  <w:r>
                    <w:rPr>
                      <w:rFonts w:ascii="仿宋" w:hAnsi="仿宋" w:cs="仿宋" w:eastAsia="仿宋"/>
                      <w:sz w:val="24"/>
                    </w:rPr>
                    <w:t>（</w:t>
                  </w:r>
                  <w:r>
                    <w:rPr>
                      <w:rFonts w:ascii="仿宋" w:hAnsi="仿宋" w:cs="仿宋" w:eastAsia="仿宋"/>
                      <w:sz w:val="24"/>
                    </w:rPr>
                    <w:t>5）恒温时间为0~300min任意设定。</w:t>
                  </w:r>
                </w:p>
                <w:p>
                  <w:pPr>
                    <w:pStyle w:val="null3"/>
                    <w:jc w:val="left"/>
                  </w:pPr>
                  <w:r>
                    <w:rPr>
                      <w:rFonts w:ascii="仿宋" w:hAnsi="仿宋" w:cs="仿宋" w:eastAsia="仿宋"/>
                      <w:sz w:val="24"/>
                    </w:rPr>
                    <w:t>（</w:t>
                  </w:r>
                  <w:r>
                    <w:rPr>
                      <w:rFonts w:ascii="仿宋" w:hAnsi="仿宋" w:cs="仿宋" w:eastAsia="仿宋"/>
                      <w:sz w:val="24"/>
                    </w:rPr>
                    <w:t>6）升温、恒温、降温，配套提供定制半导体制冷装置。当温度大于1000℃，恒温时间小于30min。</w:t>
                  </w:r>
                </w:p>
                <w:p>
                  <w:pPr>
                    <w:pStyle w:val="null3"/>
                    <w:jc w:val="left"/>
                  </w:pPr>
                  <w:r>
                    <w:rPr>
                      <w:rFonts w:ascii="仿宋" w:hAnsi="仿宋" w:cs="仿宋" w:eastAsia="仿宋"/>
                      <w:sz w:val="24"/>
                    </w:rPr>
                    <w:t>（</w:t>
                  </w:r>
                  <w:r>
                    <w:rPr>
                      <w:rFonts w:ascii="仿宋" w:hAnsi="仿宋" w:cs="仿宋" w:eastAsia="仿宋"/>
                      <w:sz w:val="24"/>
                    </w:rPr>
                    <w:t>7）采用铂铑合金传感器，灵敏度高。</w:t>
                  </w:r>
                </w:p>
                <w:p>
                  <w:pPr>
                    <w:pStyle w:val="null3"/>
                    <w:spacing w:after="150"/>
                    <w:jc w:val="left"/>
                  </w:pPr>
                  <w:r>
                    <w:rPr>
                      <w:rFonts w:ascii="仿宋" w:hAnsi="仿宋" w:cs="仿宋" w:eastAsia="仿宋"/>
                      <w:sz w:val="24"/>
                      <w:color w:val="000000"/>
                    </w:rPr>
                    <w:t>（</w:t>
                  </w:r>
                  <w:r>
                    <w:rPr>
                      <w:rFonts w:ascii="仿宋" w:hAnsi="仿宋" w:cs="仿宋" w:eastAsia="仿宋"/>
                      <w:sz w:val="24"/>
                      <w:color w:val="000000"/>
                    </w:rPr>
                    <w:t>8）配置能够满足热重分析仪软件安装的电脑一台。</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1台</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比表面积及孔隙度分析仪</w:t>
                  </w: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w:t>
                  </w:r>
                  <w:r>
                    <w:rPr>
                      <w:rFonts w:ascii="仿宋" w:hAnsi="仿宋" w:cs="仿宋" w:eastAsia="仿宋"/>
                      <w:sz w:val="24"/>
                    </w:rPr>
                    <w:t>1）比表面范围 0.0001m2/g~无上限，重复性≤1%；孔径范围 0.35~500nm，孔径重复偏差≤0.02nm。</w:t>
                  </w:r>
                </w:p>
                <w:p>
                  <w:pPr>
                    <w:pStyle w:val="null3"/>
                    <w:jc w:val="left"/>
                  </w:pPr>
                  <w:r>
                    <w:rPr>
                      <w:rFonts w:ascii="仿宋" w:hAnsi="仿宋" w:cs="仿宋" w:eastAsia="仿宋"/>
                      <w:sz w:val="24"/>
                    </w:rPr>
                    <w:t>（</w:t>
                  </w:r>
                  <w:r>
                    <w:rPr>
                      <w:rFonts w:ascii="仿宋" w:hAnsi="仿宋" w:cs="仿宋" w:eastAsia="仿宋"/>
                      <w:sz w:val="24"/>
                    </w:rPr>
                    <w:t>2）3个样品测试位，原位设有3套独立的升降系统、3 个3L大容量真空玻璃内胆杜瓦瓶（每个分析站对应一个杜瓦瓶）。</w:t>
                  </w:r>
                </w:p>
                <w:p>
                  <w:pPr>
                    <w:pStyle w:val="null3"/>
                    <w:jc w:val="left"/>
                  </w:pPr>
                  <w:r>
                    <w:rPr>
                      <w:rFonts w:ascii="仿宋" w:hAnsi="仿宋" w:cs="仿宋" w:eastAsia="仿宋"/>
                      <w:sz w:val="24"/>
                    </w:rPr>
                    <w:t>（</w:t>
                  </w:r>
                  <w:r>
                    <w:rPr>
                      <w:rFonts w:ascii="仿宋" w:hAnsi="仿宋" w:cs="仿宋" w:eastAsia="仿宋"/>
                      <w:sz w:val="24"/>
                    </w:rPr>
                    <w:t>3）3个同位脱气站，3个加热炉，最高温度至400℃，可同时进行3个不同样品不同温度及时间的真空脱气预处理。</w:t>
                  </w:r>
                </w:p>
                <w:p>
                  <w:pPr>
                    <w:pStyle w:val="null3"/>
                    <w:jc w:val="left"/>
                  </w:pPr>
                  <w:r>
                    <w:rPr>
                      <w:rFonts w:ascii="仿宋" w:hAnsi="仿宋" w:cs="仿宋" w:eastAsia="仿宋"/>
                      <w:sz w:val="24"/>
                    </w:rPr>
                    <w:t>（</w:t>
                  </w:r>
                  <w:r>
                    <w:rPr>
                      <w:rFonts w:ascii="仿宋" w:hAnsi="仿宋" w:cs="仿宋" w:eastAsia="仿宋"/>
                      <w:sz w:val="24"/>
                    </w:rPr>
                    <w:t>4）冷阱2个，脱气站和分析站各一个，能有效去除水分、有害物质等。</w:t>
                  </w:r>
                </w:p>
                <w:p>
                  <w:pPr>
                    <w:pStyle w:val="null3"/>
                    <w:jc w:val="left"/>
                  </w:pPr>
                  <w:r>
                    <w:rPr>
                      <w:rFonts w:ascii="仿宋" w:hAnsi="仿宋" w:cs="仿宋" w:eastAsia="仿宋"/>
                      <w:sz w:val="24"/>
                    </w:rPr>
                    <w:t>（</w:t>
                  </w:r>
                  <w:r>
                    <w:rPr>
                      <w:rFonts w:ascii="仿宋" w:hAnsi="仿宋" w:cs="仿宋" w:eastAsia="仿宋"/>
                      <w:sz w:val="24"/>
                    </w:rPr>
                    <w:t>5）每个样品测试位设有独立的 P0 站，实时检测。</w:t>
                  </w:r>
                </w:p>
                <w:p>
                  <w:pPr>
                    <w:pStyle w:val="null3"/>
                    <w:jc w:val="left"/>
                  </w:pPr>
                  <w:r>
                    <w:rPr>
                      <w:rFonts w:ascii="仿宋" w:hAnsi="仿宋" w:cs="仿宋" w:eastAsia="仿宋"/>
                      <w:sz w:val="24"/>
                    </w:rPr>
                    <w:t>（</w:t>
                  </w:r>
                  <w:r>
                    <w:rPr>
                      <w:rFonts w:ascii="仿宋" w:hAnsi="仿宋" w:cs="仿宋" w:eastAsia="仿宋"/>
                      <w:sz w:val="24"/>
                    </w:rPr>
                    <w:t>6）分析站采用原装机械真空泵和涡轮分子泵，使真空度可达10</w:t>
                  </w:r>
                  <w:r>
                    <w:rPr>
                      <w:rFonts w:ascii="仿宋" w:hAnsi="仿宋" w:cs="仿宋" w:eastAsia="仿宋"/>
                      <w:sz w:val="24"/>
                      <w:vertAlign w:val="superscript"/>
                    </w:rPr>
                    <w:t>-8</w:t>
                  </w:r>
                  <w:r>
                    <w:rPr>
                      <w:rFonts w:ascii="仿宋" w:hAnsi="仿宋" w:cs="仿宋" w:eastAsia="仿宋"/>
                      <w:sz w:val="24"/>
                    </w:rPr>
                    <w:t>Pa。</w:t>
                  </w:r>
                </w:p>
                <w:p>
                  <w:pPr>
                    <w:pStyle w:val="null3"/>
                    <w:jc w:val="left"/>
                  </w:pPr>
                  <w:r>
                    <w:rPr>
                      <w:rFonts w:ascii="仿宋" w:hAnsi="仿宋" w:cs="仿宋" w:eastAsia="仿宋"/>
                      <w:sz w:val="24"/>
                    </w:rPr>
                    <w:t>（</w:t>
                  </w:r>
                  <w:r>
                    <w:rPr>
                      <w:rFonts w:ascii="仿宋" w:hAnsi="仿宋" w:cs="仿宋" w:eastAsia="仿宋"/>
                      <w:sz w:val="24"/>
                    </w:rPr>
                    <w:t>7）吸附等温线具有定压力和定点两种测试方法，软件有独立的界面实时显示每个样品的吸附过程，实时了解样品的吸附特性。</w:t>
                  </w:r>
                </w:p>
                <w:p>
                  <w:pPr>
                    <w:pStyle w:val="null3"/>
                    <w:jc w:val="left"/>
                  </w:pPr>
                  <w:r>
                    <w:rPr>
                      <w:rFonts w:ascii="仿宋" w:hAnsi="仿宋" w:cs="仿宋" w:eastAsia="仿宋"/>
                      <w:sz w:val="24"/>
                    </w:rPr>
                    <w:t>（</w:t>
                  </w:r>
                  <w:r>
                    <w:rPr>
                      <w:rFonts w:ascii="仿宋" w:hAnsi="仿宋" w:cs="仿宋" w:eastAsia="仿宋"/>
                      <w:sz w:val="24"/>
                    </w:rPr>
                    <w:t>8）仪器可拓展样品管异位真空密封塞以及真空密封系统。</w:t>
                  </w:r>
                </w:p>
                <w:p>
                  <w:pPr>
                    <w:pStyle w:val="null3"/>
                    <w:jc w:val="left"/>
                  </w:pPr>
                  <w:r>
                    <w:rPr>
                      <w:rFonts w:ascii="仿宋" w:hAnsi="仿宋" w:cs="仿宋" w:eastAsia="仿宋"/>
                      <w:sz w:val="24"/>
                    </w:rPr>
                    <w:t>（</w:t>
                  </w:r>
                  <w:r>
                    <w:rPr>
                      <w:rFonts w:ascii="仿宋" w:hAnsi="仿宋" w:cs="仿宋" w:eastAsia="仿宋"/>
                      <w:sz w:val="24"/>
                    </w:rPr>
                    <w:t>9）控制系统及温度测量：全部采用低温电磁阀自动控制，兼以外气室内部空间温度实时准确测定，并实时显示在软件控制界面，且实时纳入吸附量公式中。</w:t>
                  </w:r>
                </w:p>
                <w:p>
                  <w:pPr>
                    <w:pStyle w:val="null3"/>
                    <w:jc w:val="left"/>
                  </w:pPr>
                  <w:r>
                    <w:rPr>
                      <w:rFonts w:ascii="仿宋" w:hAnsi="仿宋" w:cs="仿宋" w:eastAsia="仿宋"/>
                      <w:sz w:val="24"/>
                    </w:rPr>
                    <w:t>（</w:t>
                  </w:r>
                  <w:r>
                    <w:rPr>
                      <w:rFonts w:ascii="仿宋" w:hAnsi="仿宋" w:cs="仿宋" w:eastAsia="仿宋"/>
                      <w:sz w:val="24"/>
                    </w:rPr>
                    <w:t>10）压力传感器大于等于12个，分析站大于等于9个，每个分析站均采用三级压力传感器，饱和蒸汽压大于等于3个，独立设置。</w:t>
                  </w:r>
                </w:p>
                <w:p>
                  <w:pPr>
                    <w:pStyle w:val="null3"/>
                    <w:spacing w:after="150"/>
                    <w:jc w:val="both"/>
                  </w:pPr>
                  <w:r>
                    <w:rPr>
                      <w:rFonts w:ascii="仿宋" w:hAnsi="仿宋" w:cs="仿宋" w:eastAsia="仿宋"/>
                      <w:sz w:val="24"/>
                      <w:color w:val="000000"/>
                    </w:rPr>
                    <w:t>（</w:t>
                  </w:r>
                  <w:r>
                    <w:rPr>
                      <w:rFonts w:ascii="仿宋" w:hAnsi="仿宋" w:cs="仿宋" w:eastAsia="仿宋"/>
                      <w:sz w:val="24"/>
                      <w:color w:val="000000"/>
                    </w:rPr>
                    <w:t>11）</w:t>
                  </w:r>
                  <w:r>
                    <w:rPr>
                      <w:rFonts w:ascii="仿宋" w:hAnsi="仿宋" w:cs="仿宋" w:eastAsia="仿宋"/>
                      <w:sz w:val="24"/>
                      <w:color w:val="000000"/>
                    </w:rPr>
                    <w:t>配置能</w:t>
                  </w:r>
                  <w:r>
                    <w:rPr>
                      <w:rFonts w:ascii="仿宋" w:hAnsi="仿宋" w:cs="仿宋" w:eastAsia="仿宋"/>
                      <w:sz w:val="24"/>
                      <w:color w:val="000000"/>
                    </w:rPr>
                    <w:t>够</w:t>
                  </w:r>
                  <w:r>
                    <w:rPr>
                      <w:rFonts w:ascii="仿宋" w:hAnsi="仿宋" w:cs="仿宋" w:eastAsia="仿宋"/>
                      <w:sz w:val="24"/>
                      <w:color w:val="000000"/>
                    </w:rPr>
                    <w:t>满足</w:t>
                  </w:r>
                  <w:r>
                    <w:rPr>
                      <w:rFonts w:ascii="仿宋" w:hAnsi="仿宋" w:cs="仿宋" w:eastAsia="仿宋"/>
                      <w:sz w:val="24"/>
                      <w:color w:val="000000"/>
                    </w:rPr>
                    <w:t>比表面积及孔隙度分析仪软件安装的电脑一台。</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1台</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核心</w:t>
                  </w:r>
                </w:p>
                <w:p>
                  <w:pPr>
                    <w:pStyle w:val="null3"/>
                    <w:jc w:val="center"/>
                  </w:pPr>
                  <w:r>
                    <w:rPr>
                      <w:rFonts w:ascii="仿宋" w:hAnsi="仿宋" w:cs="仿宋" w:eastAsia="仿宋"/>
                      <w:sz w:val="24"/>
                    </w:rPr>
                    <w:t>产品</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静电纺丝机</w:t>
                  </w: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w:t>
                  </w:r>
                  <w:r>
                    <w:rPr>
                      <w:rFonts w:ascii="仿宋" w:hAnsi="仿宋" w:cs="仿宋" w:eastAsia="仿宋"/>
                      <w:sz w:val="24"/>
                    </w:rPr>
                    <w:t>1）高压电源。喷头电压0.1 ~ + 50kV可调。接收器电压0.1 ~ -30kV可调。电压调节精度0.01kV，稳定性±1kV。高压电源数值通过触摸屏直接点触设置。具有短路保护功能。</w:t>
                  </w:r>
                </w:p>
                <w:p>
                  <w:pPr>
                    <w:pStyle w:val="null3"/>
                    <w:jc w:val="both"/>
                  </w:pPr>
                  <w:r>
                    <w:rPr>
                      <w:rFonts w:ascii="仿宋" w:hAnsi="仿宋" w:cs="仿宋" w:eastAsia="仿宋"/>
                      <w:sz w:val="24"/>
                    </w:rPr>
                    <w:t>（</w:t>
                  </w:r>
                  <w:r>
                    <w:rPr>
                      <w:rFonts w:ascii="仿宋" w:hAnsi="仿宋" w:cs="仿宋" w:eastAsia="仿宋"/>
                      <w:sz w:val="24"/>
                    </w:rPr>
                    <w:t>2）推注装置。</w:t>
                  </w:r>
                  <w:r>
                    <w:rPr>
                      <w:rFonts w:ascii="仿宋" w:hAnsi="仿宋" w:cs="仿宋" w:eastAsia="仿宋"/>
                      <w:sz w:val="24"/>
                    </w:rPr>
                    <w:t>每个微量泵可直推</w:t>
                  </w:r>
                  <w:r>
                    <w:rPr>
                      <w:rFonts w:ascii="仿宋" w:hAnsi="仿宋" w:cs="仿宋" w:eastAsia="仿宋"/>
                      <w:sz w:val="24"/>
                    </w:rPr>
                    <w:t>2个注射器。多规格注射器推注速度可调， mm/s或ml/h可相互切换，0.0001mm/s~0.8mm/s可调，调节精度0.0001mm/s；0.01ml/h~150ml/h可调，调节精度0.01ml/h。微量泵角度可</w:t>
                  </w:r>
                  <w:r>
                    <w:rPr>
                      <w:rFonts w:ascii="仿宋" w:hAnsi="仿宋" w:cs="仿宋" w:eastAsia="仿宋"/>
                      <w:sz w:val="24"/>
                    </w:rPr>
                    <w:t>±</w:t>
                  </w:r>
                  <w:r>
                    <w:rPr>
                      <w:rFonts w:ascii="仿宋" w:hAnsi="仿宋" w:cs="仿宋" w:eastAsia="仿宋"/>
                      <w:sz w:val="24"/>
                    </w:rPr>
                    <w:t>45°调节，水平纺丝，根据需要可进行垂直纺丝实验；</w:t>
                  </w:r>
                </w:p>
                <w:p>
                  <w:pPr>
                    <w:pStyle w:val="null3"/>
                    <w:jc w:val="both"/>
                  </w:pPr>
                  <w:r>
                    <w:rPr>
                      <w:rFonts w:ascii="仿宋" w:hAnsi="仿宋" w:cs="仿宋" w:eastAsia="仿宋"/>
                      <w:sz w:val="24"/>
                    </w:rPr>
                    <w:t>（</w:t>
                  </w:r>
                  <w:r>
                    <w:rPr>
                      <w:rFonts w:ascii="仿宋" w:hAnsi="仿宋" w:cs="仿宋" w:eastAsia="仿宋"/>
                      <w:sz w:val="24"/>
                    </w:rPr>
                    <w:t>3）微量泵移动装置。</w:t>
                  </w:r>
                  <w:r>
                    <w:rPr>
                      <w:rFonts w:ascii="仿宋" w:hAnsi="仿宋" w:cs="仿宋" w:eastAsia="仿宋"/>
                      <w:sz w:val="24"/>
                    </w:rPr>
                    <w:t>沿</w:t>
                  </w:r>
                  <w:r>
                    <w:rPr>
                      <w:rFonts w:ascii="仿宋" w:hAnsi="仿宋" w:cs="仿宋" w:eastAsia="仿宋"/>
                      <w:sz w:val="24"/>
                    </w:rPr>
                    <w:t>X、Y、Z</w:t>
                  </w:r>
                  <w:r>
                    <w:rPr>
                      <w:rFonts w:ascii="仿宋" w:hAnsi="仿宋" w:cs="仿宋" w:eastAsia="仿宋"/>
                      <w:sz w:val="24"/>
                    </w:rPr>
                    <w:t>三个方向均有较宽的调节距离；</w:t>
                  </w:r>
                </w:p>
                <w:p>
                  <w:pPr>
                    <w:pStyle w:val="null3"/>
                    <w:jc w:val="both"/>
                  </w:pPr>
                  <w:r>
                    <w:rPr>
                      <w:rFonts w:ascii="仿宋" w:hAnsi="仿宋" w:cs="仿宋" w:eastAsia="仿宋"/>
                      <w:sz w:val="24"/>
                    </w:rPr>
                    <w:t>（</w:t>
                  </w:r>
                  <w:r>
                    <w:rPr>
                      <w:rFonts w:ascii="仿宋" w:hAnsi="仿宋" w:cs="仿宋" w:eastAsia="仿宋"/>
                      <w:sz w:val="24"/>
                    </w:rPr>
                    <w:t>4）针头系统。单针头规格可选。多喷头组件，每个微量泵可直接推两个注射器。同轴针头的内外针头均可拆卸清洗，可循环使用，标配至少3套不同规格针头孔径；</w:t>
                  </w:r>
                  <w:r>
                    <w:rPr>
                      <w:rFonts w:ascii="&quot;times new roman&quot;" w:hAnsi="&quot;times new roman&quot;" w:cs="&quot;times new roman&quot;" w:eastAsia="&quot;times new roman&quot;"/>
                      <w:sz w:val="21"/>
                      <w:i/>
                    </w:rPr>
                    <w:t xml:space="preserve"> </w:t>
                  </w:r>
                </w:p>
                <w:p>
                  <w:pPr>
                    <w:pStyle w:val="null3"/>
                    <w:jc w:val="both"/>
                  </w:pPr>
                  <w:r>
                    <w:rPr>
                      <w:rFonts w:ascii="仿宋" w:hAnsi="仿宋" w:cs="仿宋" w:eastAsia="仿宋"/>
                      <w:sz w:val="24"/>
                    </w:rPr>
                    <w:t>（</w:t>
                  </w:r>
                  <w:r>
                    <w:rPr>
                      <w:rFonts w:ascii="仿宋" w:hAnsi="仿宋" w:cs="仿宋" w:eastAsia="仿宋"/>
                      <w:sz w:val="24"/>
                    </w:rPr>
                    <w:t>5）接收装置。平板接收器尺寸大于等于300mm</w:t>
                  </w:r>
                  <w:r>
                    <w:rPr>
                      <w:rFonts w:ascii="arial, helvetica, sans-serif" w:hAnsi="arial, helvetica, sans-serif" w:cs="arial, helvetica, sans-serif" w:eastAsia="arial, helvetica, sans-serif"/>
                      <w:sz w:val="24"/>
                    </w:rPr>
                    <w:t>×</w:t>
                  </w:r>
                  <w:r>
                    <w:rPr>
                      <w:rFonts w:ascii="仿宋" w:hAnsi="仿宋" w:cs="仿宋" w:eastAsia="仿宋"/>
                      <w:sz w:val="24"/>
                    </w:rPr>
                    <w:t>240mm,可直接挂在滚筒接收器前面使用；滚筒接收器：直径大于等于100mm，幅宽大于等于250mm,转速大于等于10000rpm，材质不锈钢。</w:t>
                  </w:r>
                  <w:r>
                    <w:rPr>
                      <w:rFonts w:ascii="仿宋" w:hAnsi="仿宋" w:cs="仿宋" w:eastAsia="仿宋"/>
                      <w:sz w:val="24"/>
                    </w:rPr>
                    <w:t>所有接收器通过触摸屏设置转速；</w:t>
                  </w:r>
                </w:p>
                <w:p>
                  <w:pPr>
                    <w:pStyle w:val="null3"/>
                    <w:jc w:val="both"/>
                  </w:pPr>
                  <w:r>
                    <w:rPr>
                      <w:rFonts w:ascii="仿宋" w:hAnsi="仿宋" w:cs="仿宋" w:eastAsia="仿宋"/>
                      <w:sz w:val="24"/>
                    </w:rPr>
                    <w:t>（</w:t>
                  </w:r>
                  <w:r>
                    <w:rPr>
                      <w:rFonts w:ascii="仿宋" w:hAnsi="仿宋" w:cs="仿宋" w:eastAsia="仿宋"/>
                      <w:sz w:val="24"/>
                    </w:rPr>
                    <w:t>6）控制系统。整机结构简单，控制系统集成化程度高，整机按钮和显示灯不超过5个，微电脑智能控制。具有一键开启/停止功能。机箱内壁及底板耐腐蚀，抗压能力强。移动平台设计合理，便于实验后清洁；</w:t>
                  </w:r>
                </w:p>
                <w:p>
                  <w:pPr>
                    <w:pStyle w:val="null3"/>
                    <w:jc w:val="both"/>
                  </w:pPr>
                  <w:r>
                    <w:rPr>
                      <w:rFonts w:ascii="仿宋" w:hAnsi="仿宋" w:cs="仿宋" w:eastAsia="仿宋"/>
                      <w:sz w:val="24"/>
                    </w:rPr>
                    <w:t>（</w:t>
                  </w:r>
                  <w:r>
                    <w:rPr>
                      <w:rFonts w:ascii="仿宋" w:hAnsi="仿宋" w:cs="仿宋" w:eastAsia="仿宋"/>
                      <w:sz w:val="24"/>
                    </w:rPr>
                    <w:t>7）环境控制。室温25度情况下，RT+5度~60度的湿度控制精度为±1℃。湿度30%~80%下，控制精度±5%；</w:t>
                  </w:r>
                </w:p>
                <w:p>
                  <w:pPr>
                    <w:pStyle w:val="null3"/>
                    <w:jc w:val="both"/>
                  </w:pPr>
                  <w:r>
                    <w:rPr>
                      <w:rFonts w:ascii="仿宋" w:hAnsi="仿宋" w:cs="仿宋" w:eastAsia="仿宋"/>
                      <w:sz w:val="24"/>
                    </w:rPr>
                    <w:t>（</w:t>
                  </w:r>
                  <w:r>
                    <w:rPr>
                      <w:rFonts w:ascii="仿宋" w:hAnsi="仿宋" w:cs="仿宋" w:eastAsia="仿宋"/>
                      <w:sz w:val="24"/>
                    </w:rPr>
                    <w:t>8）其他。安全装置：电源过压保护、电源过流保护、漏电保护、击穿保护、一键停机。机箱门开启方式为上掀式。</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1台</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pPr>
            <w:r>
              <w:rPr>
                <w:rFonts w:ascii="仿宋" w:hAnsi="仿宋" w:cs="仿宋" w:eastAsia="仿宋"/>
                <w:sz w:val="24"/>
                <w:b/>
                <w:color w:val="000000"/>
              </w:rPr>
              <w:t>（注：所有技术参数及配置不接受负偏离，出现负偏离按无效文件处理）</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标的名称：电磁参数高温测量系统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仿宋" w:hAnsi="仿宋" w:cs="仿宋" w:eastAsia="仿宋"/>
                <w:sz w:val="24"/>
                <w:b/>
                <w:color w:val="000000"/>
              </w:rPr>
              <w:t>电磁参数高温测量系统</w:t>
            </w:r>
            <w:r>
              <w:rPr>
                <w:rFonts w:ascii="仿宋" w:hAnsi="仿宋" w:cs="仿宋" w:eastAsia="仿宋"/>
                <w:sz w:val="24"/>
                <w:b/>
                <w:color w:val="000000"/>
              </w:rPr>
              <w:t>：数量，</w:t>
            </w:r>
            <w:r>
              <w:rPr>
                <w:rFonts w:ascii="仿宋" w:hAnsi="仿宋" w:cs="仿宋" w:eastAsia="仿宋"/>
                <w:sz w:val="24"/>
                <w:b/>
                <w:color w:val="000000"/>
              </w:rPr>
              <w:t>1套</w:t>
            </w:r>
          </w:p>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both"/>
                  </w:pPr>
                  <w:r>
                    <w:rPr>
                      <w:rFonts w:ascii="仿宋" w:hAnsi="仿宋" w:cs="仿宋" w:eastAsia="仿宋"/>
                      <w:sz w:val="24"/>
                      <w:b/>
                      <w:color w:val="000000"/>
                    </w:rPr>
                    <w:t>技术参数与性能指标</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color w:val="000000"/>
                    </w:rPr>
                    <w:t>（</w:t>
                  </w:r>
                  <w:r>
                    <w:rPr>
                      <w:rFonts w:ascii="仿宋" w:hAnsi="仿宋" w:cs="仿宋" w:eastAsia="仿宋"/>
                      <w:sz w:val="24"/>
                      <w:color w:val="000000"/>
                    </w:rPr>
                    <w:t>1）高温波导频率范围：6GHz~8GHz；8GHz~12GHz；12GHz~18GHz。</w:t>
                  </w:r>
                </w:p>
                <w:p>
                  <w:pPr>
                    <w:pStyle w:val="null3"/>
                    <w:jc w:val="both"/>
                  </w:pPr>
                  <w:r>
                    <w:rPr>
                      <w:rFonts w:ascii="仿宋" w:hAnsi="仿宋" w:cs="仿宋" w:eastAsia="仿宋"/>
                      <w:sz w:val="24"/>
                      <w:color w:val="000000"/>
                    </w:rPr>
                    <w:t>（</w:t>
                  </w:r>
                  <w:r>
                    <w:rPr>
                      <w:rFonts w:ascii="仿宋" w:hAnsi="仿宋" w:cs="仿宋" w:eastAsia="仿宋"/>
                      <w:sz w:val="24"/>
                      <w:color w:val="000000"/>
                    </w:rPr>
                    <w:t>2） 温度范围：室温~1000℃（真空或惰性气体环境）；室温~800℃（空气环境）。</w:t>
                  </w:r>
                </w:p>
                <w:p>
                  <w:pPr>
                    <w:pStyle w:val="null3"/>
                    <w:jc w:val="both"/>
                  </w:pPr>
                  <w:r>
                    <w:rPr>
                      <w:rFonts w:ascii="仿宋" w:hAnsi="仿宋" w:cs="仿宋" w:eastAsia="仿宋"/>
                      <w:sz w:val="24"/>
                      <w:color w:val="000000"/>
                    </w:rPr>
                    <w:t>（</w:t>
                  </w:r>
                  <w:r>
                    <w:rPr>
                      <w:rFonts w:ascii="仿宋" w:hAnsi="仿宋" w:cs="仿宋" w:eastAsia="仿宋"/>
                      <w:sz w:val="24"/>
                      <w:color w:val="000000"/>
                    </w:rPr>
                    <w:t>3）测试内容：介电常数，磁导率，电磁损耗角正切。</w:t>
                  </w:r>
                </w:p>
                <w:p>
                  <w:pPr>
                    <w:pStyle w:val="null3"/>
                    <w:jc w:val="both"/>
                  </w:pPr>
                  <w:r>
                    <w:rPr>
                      <w:rFonts w:ascii="仿宋" w:hAnsi="仿宋" w:cs="仿宋" w:eastAsia="仿宋"/>
                      <w:sz w:val="24"/>
                      <w:color w:val="000000"/>
                    </w:rPr>
                    <w:t>（</w:t>
                  </w:r>
                  <w:r>
                    <w:rPr>
                      <w:rFonts w:ascii="仿宋" w:hAnsi="仿宋" w:cs="仿宋" w:eastAsia="仿宋"/>
                      <w:sz w:val="24"/>
                      <w:color w:val="000000"/>
                    </w:rPr>
                    <w:t>4）测试不确定度：介电常数测试不确定度±5%；磁导率测试不确定度±3%。</w:t>
                  </w:r>
                </w:p>
                <w:p>
                  <w:pPr>
                    <w:pStyle w:val="null3"/>
                    <w:jc w:val="both"/>
                  </w:pPr>
                  <w:r>
                    <w:rPr>
                      <w:rFonts w:ascii="仿宋" w:hAnsi="仿宋" w:cs="仿宋" w:eastAsia="仿宋"/>
                      <w:sz w:val="24"/>
                      <w:b/>
                      <w:color w:val="000000"/>
                    </w:rPr>
                    <w:t>（注：所有技术参数及配置不接受负偏离，出现负偏离按无效文件处理）</w:t>
                  </w:r>
                </w:p>
              </w:tc>
            </w:tr>
          </w:tbl>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合同签订之日起80日内到货，10日内安装调试交付使用.</w:t>
      </w:r>
    </w:p>
    <w:p>
      <w:pPr>
        <w:pStyle w:val="null3"/>
      </w:pPr>
      <w:r>
        <w:rPr/>
        <w:t>采购包2：</w:t>
      </w:r>
    </w:p>
    <w:p>
      <w:pPr>
        <w:pStyle w:val="null3"/>
      </w:pPr>
      <w:r>
        <w:rPr/>
        <w:t>合同签订之日起80日内到货，10日内安装调试交付使用。</w:t>
      </w:r>
    </w:p>
    <w:p>
      <w:pPr>
        <w:pStyle w:val="null3"/>
        <w:outlineLvl w:val="3"/>
      </w:pPr>
      <w:r>
        <w:rPr>
          <w:sz w:val="24"/>
          <w:b/>
        </w:rPr>
        <w:t>3.4.2交货地点和方式</w:t>
      </w:r>
    </w:p>
    <w:p>
      <w:pPr>
        <w:pStyle w:val="null3"/>
      </w:pPr>
      <w:r>
        <w:rPr/>
        <w:t>采购包1：</w:t>
      </w:r>
    </w:p>
    <w:p>
      <w:pPr>
        <w:pStyle w:val="null3"/>
      </w:pPr>
      <w:r>
        <w:rPr/>
        <w:t>西北大学信息科学与技术学院指定地点</w:t>
      </w:r>
    </w:p>
    <w:p>
      <w:pPr>
        <w:pStyle w:val="null3"/>
      </w:pPr>
      <w:r>
        <w:rPr/>
        <w:t>采购包2：</w:t>
      </w:r>
    </w:p>
    <w:p>
      <w:pPr>
        <w:pStyle w:val="null3"/>
      </w:pPr>
      <w:r>
        <w:rPr/>
        <w:t>西北大学信息科学与技术学院指定地点</w:t>
      </w:r>
    </w:p>
    <w:p>
      <w:pPr>
        <w:pStyle w:val="null3"/>
        <w:outlineLvl w:val="3"/>
      </w:pPr>
      <w:r>
        <w:rPr>
          <w:sz w:val="24"/>
          <w:b/>
        </w:rPr>
        <w:t>3.4.3支付方式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合同生效后，乙方开具合同金额等额银行保函，甲方收到银行保函正本后，预付合同货款，待货物到达指定地点、安装调试验收合格后，甲方退还银行保函正本</w:t>
      </w:r>
      <w:r>
        <w:rPr/>
        <w:t xml:space="preserve"> ，达到付款条件起 </w:t>
      </w:r>
      <w:r>
        <w:rPr/>
        <w:t>30</w:t>
      </w:r>
      <w:r>
        <w:rPr/>
        <w:t xml:space="preserve"> 日内，支付合同总金额的 </w:t>
      </w:r>
      <w:r>
        <w:rPr/>
        <w:t>100.00</w:t>
      </w:r>
      <w:r>
        <w:rPr/>
        <w:t>%。</w:t>
      </w:r>
    </w:p>
    <w:p>
      <w:pPr>
        <w:pStyle w:val="null3"/>
      </w:pPr>
      <w:r>
        <w:rPr/>
        <w:t>采购包2：</w:t>
      </w:r>
      <w:r>
        <w:rPr/>
        <w:t xml:space="preserve"> 付款条件说明： </w:t>
      </w:r>
      <w:r>
        <w:rPr/>
        <w:t>合同生效后，乙方开具合同金额等额银行保函，甲方收到银行保函正本后，预付合同货款，待货物到达指定地点、安装调试验收合格后，甲方退还银行保函正本</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pPr>
      <w:r>
        <w:rPr/>
        <w:t>采购包2：</w:t>
      </w:r>
    </w:p>
    <w:p>
      <w:pPr>
        <w:pStyle w:val="null3"/>
      </w:pPr>
      <w:r>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3"/>
      </w:pPr>
      <w:r>
        <w:rPr>
          <w:sz w:val="24"/>
          <w:b/>
        </w:rPr>
        <w:t>3.4.6包装方式及运输</w:t>
      </w:r>
    </w:p>
    <w:p>
      <w:pPr>
        <w:pStyle w:val="null3"/>
      </w:pPr>
      <w:r>
        <w:rPr/>
        <w:t>采购包1：</w:t>
      </w:r>
    </w:p>
    <w:p>
      <w:pPr>
        <w:pStyle w:val="null3"/>
      </w:pPr>
      <w:r>
        <w:rPr/>
        <w:t>货物的运输方式由乙方自行选择，但包装必须符合国家标准或行业标准，满足航空、铁路或公路运输以及货物装卸要求，保证使用人收到的是无任何损伤的货物。否则，因此造成的损失由乙方自行承担。</w:t>
      </w:r>
    </w:p>
    <w:p>
      <w:pPr>
        <w:pStyle w:val="null3"/>
      </w:pPr>
      <w:r>
        <w:rPr/>
        <w:t>采购包2：</w:t>
      </w:r>
    </w:p>
    <w:p>
      <w:pPr>
        <w:pStyle w:val="null3"/>
      </w:pPr>
      <w:r>
        <w:rPr/>
        <w:t>货物的运输方式由乙方自行选择，但包装必须符合国家标准或行业标准，满足航空、铁路或公路运输以及货物装卸要求，保证使用人收到的是无任何损伤的货物。否则，因此造成的损失由乙方自行承担。</w:t>
      </w:r>
    </w:p>
    <w:p>
      <w:pPr>
        <w:pStyle w:val="null3"/>
        <w:outlineLvl w:val="3"/>
      </w:pPr>
      <w:r>
        <w:rPr>
          <w:sz w:val="24"/>
          <w:b/>
        </w:rPr>
        <w:t>3.4.7质量保修范围和保修期</w:t>
      </w:r>
    </w:p>
    <w:p>
      <w:pPr>
        <w:pStyle w:val="null3"/>
      </w:pPr>
      <w:r>
        <w:rPr/>
        <w:t>采购包1：</w:t>
      </w:r>
    </w:p>
    <w:p>
      <w:pPr>
        <w:pStyle w:val="null3"/>
      </w:pPr>
      <w:r>
        <w:rPr/>
        <w:t>1、质保期两年； 2、即时响应（包括电话响应）；电话响应无法解决时，72 小时内到达现场。修复时间 2 小时内；如 2 小时内无法修复，应提供相应解决方案； 3、质保期内供应商负责提供设备的维修及部件更换，质保期自采购人终验合格之日起计算。质保期满之前，供应商需派遣专业工程师对设备进行全面维护及校准。质保期满后，供应商对其提供的设备提供终身的技术支援。以上要求所产生的费用由供应商承担。 4、设备到货后，供应商负责安装和调试。设备安装调试期间，由供应商工程师在现场为采购人操作人员进行培训，受培训人数不限，培训内容包括但不限于：仪器原理、结构、操作、日常维护及保养等。设备使用一段时间后，供应商按采购人要求组织工程师，提供不少于3天的高阶应用培训。以上要求所产生的费用由供应商承担。</w:t>
      </w:r>
    </w:p>
    <w:p>
      <w:pPr>
        <w:pStyle w:val="null3"/>
      </w:pPr>
      <w:r>
        <w:rPr/>
        <w:t>采购包2：</w:t>
      </w:r>
    </w:p>
    <w:p>
      <w:pPr>
        <w:pStyle w:val="null3"/>
      </w:pPr>
      <w:r>
        <w:rPr/>
        <w:t>1、质保期三年； 2、即时响应（包括电话响应）；电话响应无法解决时，72 小时内到达现场。修复时间 2 小时内；如 2 小时内无法修复，应提供相应解决方案； 3、质保期内供应商负责提供设备的维修及部件更换，质保期自采购人终验合格之日起计算。质保期满之前，供应商需派遣专业工程师对设备进行全面维护及校准。质保期满后，供应商对其提供的设备提供终身的技术支援。以上要求所产生的费用由供应商承担。 4、设备到货后，供应商负责安装和调试。设备安装调试期间，由供应商工程师在现场为采购人操作人员进行培训，受培训人数不限，培训内容包括但不限于：仪器原理、结构、操作、日常维护及保养等。设备使用一段时间后，供应商按采购人要求组织工程师，提供不少于3天的高阶应用培训。以上要求所产生的费用由供应商承担。</w:t>
      </w:r>
    </w:p>
    <w:p>
      <w:pPr>
        <w:pStyle w:val="null3"/>
        <w:outlineLvl w:val="3"/>
      </w:pPr>
      <w:r>
        <w:rPr>
          <w:sz w:val="24"/>
          <w:b/>
        </w:rPr>
        <w:t>3.4.8违约责任及解决争议的方法</w:t>
      </w:r>
    </w:p>
    <w:p>
      <w:pPr>
        <w:pStyle w:val="null3"/>
      </w:pPr>
      <w:r>
        <w:rPr/>
        <w:t>采购包1：</w:t>
      </w:r>
    </w:p>
    <w:p>
      <w:pPr>
        <w:pStyle w:val="null3"/>
      </w:pPr>
      <w:r>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pPr>
      <w:r>
        <w:rPr/>
        <w:t>采购包2：</w:t>
      </w:r>
    </w:p>
    <w:p>
      <w:pPr>
        <w:pStyle w:val="null3"/>
      </w:pPr>
      <w:r>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3"/>
      </w:pPr>
      <w:r>
        <w:rPr>
          <w:sz w:val="24"/>
          <w:b/>
        </w:rPr>
        <w:t>3.5其他要求</w:t>
      </w:r>
    </w:p>
    <w:p>
      <w:pPr>
        <w:pStyle w:val="null3"/>
      </w:pPr>
      <w:r>
        <w:rPr/>
        <w:t>采购包1：</w:t>
      </w:r>
    </w:p>
    <w:p>
      <w:pPr>
        <w:pStyle w:val="null3"/>
      </w:pPr>
      <w:r>
        <w:rPr/>
        <w:t>响应报价是指设备到达使用地点、验收合格达到正常使用条件前的所有费用，包括但不限于以下费用：货物价值、安装调试费、国内外运杂费（含保险）、仓储保管费、技术培训费、检测费、施工费、人工费等及按国家政策征收的一切税费等。</w:t>
      </w:r>
    </w:p>
    <w:p>
      <w:pPr>
        <w:pStyle w:val="null3"/>
      </w:pPr>
      <w:r>
        <w:rPr/>
        <w:t>采购包2：</w:t>
      </w:r>
    </w:p>
    <w:p>
      <w:pPr>
        <w:pStyle w:val="null3"/>
      </w:pPr>
      <w:r>
        <w:rPr/>
        <w:t>响应报价是指设备到达使用地点、验收合格达到正常使用条件前的所有费用，包括但不限于以下费用：货物价值、安装调试费、国内外运杂费（含保险）、仓储保管费、技术培训费、检测费、施工费、人工费等及按国家政策征收的一切税费等。</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单位负责人为同一人或者存在直接控股、管理关系的不同供应商不得参加同一合同项下的政府采购活动；供应商需在项目电子化交易系统中按要求填写《响应函》完成承诺并进行电子签章。</w:t>
            </w:r>
          </w:p>
        </w:tc>
        <w:tc>
          <w:tcPr>
            <w:tcW w:type="dxa" w:w="1661"/>
          </w:tcPr>
          <w:p>
            <w:pPr>
              <w:pStyle w:val="null3"/>
            </w:pPr>
            <w:r>
              <w:rPr/>
              <w:t>资格证明文件 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单位负责人为同一人或者存在直接控股、管理关系的不同供应商不得参加同一合同项下的政府采购活动；供应商需在项目电子化交易系统中按要求填写《响应函》完成承诺并进行电子签章。</w:t>
            </w:r>
          </w:p>
        </w:tc>
        <w:tc>
          <w:tcPr>
            <w:tcW w:type="dxa" w:w="1661"/>
          </w:tcPr>
          <w:p>
            <w:pPr>
              <w:pStyle w:val="null3"/>
            </w:pPr>
            <w:r>
              <w:rPr/>
              <w:t>资格证明文件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本项目为专门面向中小企业项目，响应产品的制造商应为中型企业或小型、微型企业或监狱企业或残疾人福利性单位。 响应产品的制造商为中型、小型、微型企业的，供应商提供《中小企业声明函》；响应产品的制造商为监狱企业的，供应商应提供响应产品制造商为监狱企业的证明文件；响应产品的制造商为残疾人福利性单位的，供应商应提供响应产品制造商为残疾人福利性单位的《残疾人福利性单位声明函》。</w:t>
            </w:r>
          </w:p>
        </w:tc>
        <w:tc>
          <w:tcPr>
            <w:tcW w:type="dxa" w:w="1661"/>
          </w:tcPr>
          <w:p>
            <w:pPr>
              <w:pStyle w:val="null3"/>
            </w:pPr>
            <w:r>
              <w:rPr/>
              <w:t>中小企业声明函 残疾人福利性单位声明函 监狱、戒毒企业声明函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本项目为专门面向中小企业项目，响应产品的制造商应为中型企业或小型、微型企业或监狱企业或残疾人福利性单位。 响应产品的制造商为中型、小型、微型企业的，供应商提供《中小企业声明函》；响应产品的制造商为监狱企业的，供应商应提供响应产品制造商为监狱企业的证明文件；响应产品的制造商为残疾人福利性单位的，供应商应提供响应产品制造商为残疾人福利性单位的《残疾人福利性单位声明函》。</w:t>
            </w:r>
          </w:p>
        </w:tc>
        <w:tc>
          <w:tcPr>
            <w:tcW w:type="dxa" w:w="1661"/>
          </w:tcPr>
          <w:p>
            <w:pPr>
              <w:pStyle w:val="null3"/>
            </w:pPr>
            <w:r>
              <w:rPr/>
              <w:t>中小企业声明函 残疾人福利性单位声明函 监狱、戒毒企业声明函</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具有财务审计资质单位出具的2022年度或2023年度财务报告（成立时间至开标时间不足一年的可提供成立后任意时段的资产负债表）或开标前六个月内其基本账户银行出具的资信证明（附开户许可证或基本账户证明）或政府采购信用担保机构出具的投标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提供2024年1月1日至今任意一个月已缴纳的纳税证明或完税证明（时间以税款所属日期为准）；（依法免税的供应商应提供相关文件证明）</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提供2024年1月1日至今任意一个月的社保缴费凭据或社保机构开具的社会保险参保缴费情况证明；（依法不需要缴纳社会保障资金的供应商应提供相关证明）</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具有履行本合同所必需的设备和专业技术能力的说明及承诺</w:t>
            </w:r>
          </w:p>
        </w:tc>
        <w:tc>
          <w:tcPr>
            <w:tcW w:type="dxa" w:w="3322"/>
          </w:tcPr>
          <w:p>
            <w:pPr>
              <w:pStyle w:val="null3"/>
            </w:pPr>
            <w:r>
              <w:rPr/>
              <w:t>提供具有履行本合同所必需的设备和专业技术能力的说明及承诺；（格式自拟，加盖供应商公章）</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参加政府采购活动前三年内在经营活动中没有重大违法记录的书面声明</w:t>
            </w:r>
          </w:p>
        </w:tc>
        <w:tc>
          <w:tcPr>
            <w:tcW w:type="dxa" w:w="3322"/>
          </w:tcPr>
          <w:p>
            <w:pPr>
              <w:pStyle w:val="null3"/>
            </w:pPr>
            <w:r>
              <w:rPr/>
              <w:t>提供参加政府采购活动前三年内在经营活动中没有重大违法记录的书面声明。（格式自拟，加盖供应商公章）</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法定代表人或负责人资格证明书</w:t>
            </w:r>
          </w:p>
        </w:tc>
        <w:tc>
          <w:tcPr>
            <w:tcW w:type="dxa" w:w="3322"/>
          </w:tcPr>
          <w:p>
            <w:pPr>
              <w:pStyle w:val="null3"/>
            </w:pPr>
            <w:r>
              <w:rPr/>
              <w:t>法定代表人或负责人参与投标时需提供法定代表人或负责人资格证明书（附法定代表人或负责人身份证复印件）；</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法定代表人或负责人授权委托书</w:t>
            </w:r>
          </w:p>
        </w:tc>
        <w:tc>
          <w:tcPr>
            <w:tcW w:type="dxa" w:w="3322"/>
          </w:tcPr>
          <w:p>
            <w:pPr>
              <w:pStyle w:val="null3"/>
            </w:pPr>
            <w:r>
              <w:rPr/>
              <w:t>被授权人参与投标时需提供法定代表人或负责人授权委托书（附法定代表人或负责人及被授权人身份证复印件）；</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谈判保证金交纳凭证或担保函</w:t>
            </w:r>
          </w:p>
        </w:tc>
        <w:tc>
          <w:tcPr>
            <w:tcW w:type="dxa" w:w="3322"/>
          </w:tcPr>
          <w:p>
            <w:pPr>
              <w:pStyle w:val="null3"/>
            </w:pPr>
            <w:r>
              <w:rPr/>
              <w:t>谈判保证金交纳凭证或担保函；（保证金交纳凭证复印件或担保函复印件加盖公章）</w:t>
            </w:r>
          </w:p>
        </w:tc>
        <w:tc>
          <w:tcPr>
            <w:tcW w:type="dxa" w:w="1661"/>
          </w:tcPr>
          <w:p>
            <w:pPr>
              <w:pStyle w:val="null3"/>
            </w:pPr>
            <w:r>
              <w:rPr/>
              <w:t>资格证明文件</w:t>
            </w:r>
          </w:p>
        </w:tc>
      </w:tr>
      <w:tr>
        <w:tc>
          <w:tcPr>
            <w:tcW w:type="dxa" w:w="831"/>
          </w:tcPr>
          <w:p>
            <w:pPr>
              <w:pStyle w:val="null3"/>
            </w:pPr>
            <w:r>
              <w:rPr/>
              <w:t>10</w:t>
            </w:r>
          </w:p>
        </w:tc>
        <w:tc>
          <w:tcPr>
            <w:tcW w:type="dxa" w:w="2492"/>
          </w:tcPr>
          <w:p>
            <w:pPr>
              <w:pStyle w:val="null3"/>
            </w:pPr>
            <w:r>
              <w:rPr/>
              <w:t>信用查询</w:t>
            </w:r>
          </w:p>
        </w:tc>
        <w:tc>
          <w:tcPr>
            <w:tcW w:type="dxa" w:w="3322"/>
          </w:tcPr>
          <w:p>
            <w:pPr>
              <w:pStyle w:val="null3"/>
            </w:pPr>
            <w:r>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书面承诺函，格式自拟加盖供应商公章）</w:t>
            </w:r>
          </w:p>
        </w:tc>
        <w:tc>
          <w:tcPr>
            <w:tcW w:type="dxa" w:w="1661"/>
          </w:tcPr>
          <w:p>
            <w:pPr>
              <w:pStyle w:val="null3"/>
            </w:pPr>
            <w:r>
              <w:rPr/>
              <w:t>资格证明文件</w:t>
            </w:r>
          </w:p>
        </w:tc>
      </w:tr>
      <w:tr>
        <w:tc>
          <w:tcPr>
            <w:tcW w:type="dxa" w:w="831"/>
          </w:tcPr>
          <w:p>
            <w:pPr>
              <w:pStyle w:val="null3"/>
            </w:pPr>
            <w:r>
              <w:rPr/>
              <w:t>11</w:t>
            </w:r>
          </w:p>
        </w:tc>
        <w:tc>
          <w:tcPr>
            <w:tcW w:type="dxa" w:w="2492"/>
          </w:tcPr>
          <w:p>
            <w:pPr>
              <w:pStyle w:val="null3"/>
            </w:pPr>
            <w:r>
              <w:rPr/>
              <w:t>单位负责人为同一人或者存在直接控股、管理关系的不同供应商，不得参加同一合同项下的政府采购活动</w:t>
            </w:r>
          </w:p>
        </w:tc>
        <w:tc>
          <w:tcPr>
            <w:tcW w:type="dxa" w:w="3322"/>
          </w:tcPr>
          <w:p>
            <w:pPr>
              <w:pStyle w:val="null3"/>
            </w:pPr>
            <w:r>
              <w:rPr/>
              <w:t>单位负责人为同一人或者存在直接控股、管理关系的不同供应商，不得参加同一合同项下的政府采购活动；（提供书面承诺函，格式自拟加盖供应商公章）</w:t>
            </w:r>
          </w:p>
        </w:tc>
        <w:tc>
          <w:tcPr>
            <w:tcW w:type="dxa" w:w="1661"/>
          </w:tcPr>
          <w:p>
            <w:pPr>
              <w:pStyle w:val="null3"/>
            </w:pPr>
            <w:r>
              <w:rPr/>
              <w:t>资格证明文件</w:t>
            </w:r>
          </w:p>
        </w:tc>
      </w:tr>
      <w:tr>
        <w:tc>
          <w:tcPr>
            <w:tcW w:type="dxa" w:w="831"/>
          </w:tcPr>
          <w:p>
            <w:pPr>
              <w:pStyle w:val="null3"/>
            </w:pPr>
            <w:r>
              <w:rPr/>
              <w:t>12</w:t>
            </w:r>
          </w:p>
        </w:tc>
        <w:tc>
          <w:tcPr>
            <w:tcW w:type="dxa" w:w="2492"/>
          </w:tcPr>
          <w:p>
            <w:pPr>
              <w:pStyle w:val="null3"/>
            </w:pPr>
            <w:r>
              <w:rPr/>
              <w:t>本项目不接受联合体谈判</w:t>
            </w:r>
          </w:p>
        </w:tc>
        <w:tc>
          <w:tcPr>
            <w:tcW w:type="dxa" w:w="3322"/>
          </w:tcPr>
          <w:p>
            <w:pPr>
              <w:pStyle w:val="null3"/>
            </w:pPr>
            <w:r>
              <w:rPr/>
              <w:t>本项目不接受联合体谈判。（提供书面承诺函，格式自拟加盖供应商公章）</w:t>
            </w:r>
          </w:p>
        </w:tc>
        <w:tc>
          <w:tcPr>
            <w:tcW w:type="dxa" w:w="1661"/>
          </w:tcPr>
          <w:p>
            <w:pPr>
              <w:pStyle w:val="null3"/>
            </w:pPr>
            <w:r>
              <w:rPr/>
              <w:t>资格证明文件</w:t>
            </w:r>
          </w:p>
        </w:tc>
      </w:tr>
      <w:tr>
        <w:tc>
          <w:tcPr>
            <w:tcW w:type="dxa" w:w="831"/>
          </w:tcPr>
          <w:p>
            <w:pPr>
              <w:pStyle w:val="null3"/>
            </w:pPr>
            <w:r>
              <w:rPr/>
              <w:t>13</w:t>
            </w:r>
          </w:p>
        </w:tc>
        <w:tc>
          <w:tcPr>
            <w:tcW w:type="dxa" w:w="2492"/>
          </w:tcPr>
          <w:p>
            <w:pPr>
              <w:pStyle w:val="null3"/>
            </w:pPr>
            <w:r>
              <w:rPr/>
              <w:t>本项目专门面向中小企业采购</w:t>
            </w:r>
          </w:p>
        </w:tc>
        <w:tc>
          <w:tcPr>
            <w:tcW w:type="dxa" w:w="3322"/>
          </w:tcPr>
          <w:p>
            <w:pPr>
              <w:pStyle w:val="null3"/>
            </w:pPr>
            <w:r>
              <w:rPr/>
              <w:t>须符合《政府采购促进中小企业发展管理办法》（财库〔2020〕46号）规定的中小企业参加。（提供《中小企业声明函》，式样见竞争性谈判响应文件格式）</w:t>
            </w:r>
          </w:p>
        </w:tc>
        <w:tc>
          <w:tcPr>
            <w:tcW w:type="dxa" w:w="1661"/>
          </w:tcPr>
          <w:p>
            <w:pPr>
              <w:pStyle w:val="null3"/>
            </w:pPr>
            <w:r>
              <w:rPr/>
              <w:t>资格证明文件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具有财务审计资质单位出具的2022年度或2023年度财务报告（成立时间至开标时间不足一年的可提供成立后任意时段的资产负债表）或开标前六个月内其基本账户银行出具的资信证明（附开户许可证或基本账户证明）或政府采购信用担保机构出具的投标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提供2024年1月1日至今任意一个月已缴纳的纳税证明或完税证明（时间以税款所属日期为准）；（依法免税的供应商应提供相关文件证明）</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提供2024年1月1日至今任意一个月的社保缴费凭据或社保机构开具的社会保险参保缴费情况证明；（依法不需要缴纳社会保障资金的供应商应提供相关证明）</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具有履行本合同所必需的设备和专业技术能力的说明及承诺</w:t>
            </w:r>
          </w:p>
        </w:tc>
        <w:tc>
          <w:tcPr>
            <w:tcW w:type="dxa" w:w="3322"/>
          </w:tcPr>
          <w:p>
            <w:pPr>
              <w:pStyle w:val="null3"/>
            </w:pPr>
            <w:r>
              <w:rPr/>
              <w:t>提供具有履行本合同所必需的设备和专业技术能力的说明及承诺；（格式自拟，加盖供应商公章）</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参加政府采购活动前三年内在经营活动中没有重大违法记录的书面声明</w:t>
            </w:r>
          </w:p>
        </w:tc>
        <w:tc>
          <w:tcPr>
            <w:tcW w:type="dxa" w:w="3322"/>
          </w:tcPr>
          <w:p>
            <w:pPr>
              <w:pStyle w:val="null3"/>
            </w:pPr>
            <w:r>
              <w:rPr/>
              <w:t>提供参加政府采购活动前三年内在经营活动中没有重大违法记录的书面声明。（格式自拟，加盖供应商公章）</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法定代表人或负责人资格证明书</w:t>
            </w:r>
          </w:p>
        </w:tc>
        <w:tc>
          <w:tcPr>
            <w:tcW w:type="dxa" w:w="3322"/>
          </w:tcPr>
          <w:p>
            <w:pPr>
              <w:pStyle w:val="null3"/>
            </w:pPr>
            <w:r>
              <w:rPr/>
              <w:t>法定代表人或负责人参与投标时需提供法定代表人或负责人资格证明书（附法定代表人或负责人身份证复印件）；</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法定代表人或负责人授权委托书</w:t>
            </w:r>
          </w:p>
        </w:tc>
        <w:tc>
          <w:tcPr>
            <w:tcW w:type="dxa" w:w="3322"/>
          </w:tcPr>
          <w:p>
            <w:pPr>
              <w:pStyle w:val="null3"/>
            </w:pPr>
            <w:r>
              <w:rPr/>
              <w:t>被授权人参与投标时需提供法定代表人或负责人授权委托书（附法定代表人或负责人及被授权人身份证复印件）；</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谈判保证金交纳凭证或担保函</w:t>
            </w:r>
          </w:p>
        </w:tc>
        <w:tc>
          <w:tcPr>
            <w:tcW w:type="dxa" w:w="3322"/>
          </w:tcPr>
          <w:p>
            <w:pPr>
              <w:pStyle w:val="null3"/>
            </w:pPr>
            <w:r>
              <w:rPr/>
              <w:t>谈判保证金交纳凭证或担保函；（保证金交纳凭证复印件或担保函复印件加盖公章）</w:t>
            </w:r>
          </w:p>
        </w:tc>
        <w:tc>
          <w:tcPr>
            <w:tcW w:type="dxa" w:w="1661"/>
          </w:tcPr>
          <w:p>
            <w:pPr>
              <w:pStyle w:val="null3"/>
            </w:pPr>
            <w:r>
              <w:rPr/>
              <w:t>资格证明文件</w:t>
            </w:r>
          </w:p>
        </w:tc>
      </w:tr>
      <w:tr>
        <w:tc>
          <w:tcPr>
            <w:tcW w:type="dxa" w:w="831"/>
          </w:tcPr>
          <w:p>
            <w:pPr>
              <w:pStyle w:val="null3"/>
            </w:pPr>
            <w:r>
              <w:rPr/>
              <w:t>10</w:t>
            </w:r>
          </w:p>
        </w:tc>
        <w:tc>
          <w:tcPr>
            <w:tcW w:type="dxa" w:w="2492"/>
          </w:tcPr>
          <w:p>
            <w:pPr>
              <w:pStyle w:val="null3"/>
            </w:pPr>
            <w:r>
              <w:rPr/>
              <w:t>信用查询</w:t>
            </w:r>
          </w:p>
        </w:tc>
        <w:tc>
          <w:tcPr>
            <w:tcW w:type="dxa" w:w="3322"/>
          </w:tcPr>
          <w:p>
            <w:pPr>
              <w:pStyle w:val="null3"/>
            </w:pPr>
            <w:r>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书面承诺函，格式自拟加盖供应商公章）</w:t>
            </w:r>
          </w:p>
        </w:tc>
        <w:tc>
          <w:tcPr>
            <w:tcW w:type="dxa" w:w="1661"/>
          </w:tcPr>
          <w:p>
            <w:pPr>
              <w:pStyle w:val="null3"/>
            </w:pPr>
            <w:r>
              <w:rPr/>
              <w:t>资格证明文件</w:t>
            </w:r>
          </w:p>
        </w:tc>
      </w:tr>
      <w:tr>
        <w:tc>
          <w:tcPr>
            <w:tcW w:type="dxa" w:w="831"/>
          </w:tcPr>
          <w:p>
            <w:pPr>
              <w:pStyle w:val="null3"/>
            </w:pPr>
            <w:r>
              <w:rPr/>
              <w:t>11</w:t>
            </w:r>
          </w:p>
        </w:tc>
        <w:tc>
          <w:tcPr>
            <w:tcW w:type="dxa" w:w="2492"/>
          </w:tcPr>
          <w:p>
            <w:pPr>
              <w:pStyle w:val="null3"/>
            </w:pPr>
            <w:r>
              <w:rPr/>
              <w:t>单位负责人为同一人或者存在直接控股、管理关系的不同供应商，不得参加同一合同项下的政府采购活动</w:t>
            </w:r>
          </w:p>
        </w:tc>
        <w:tc>
          <w:tcPr>
            <w:tcW w:type="dxa" w:w="3322"/>
          </w:tcPr>
          <w:p>
            <w:pPr>
              <w:pStyle w:val="null3"/>
            </w:pPr>
            <w:r>
              <w:rPr/>
              <w:t>单位负责人为同一人或者存在直接控股、管理关系的不同供应商，不得参加同一合同项下的政府采购活动；（提供书面承诺函，格式自拟加盖供应商公章）</w:t>
            </w:r>
          </w:p>
        </w:tc>
        <w:tc>
          <w:tcPr>
            <w:tcW w:type="dxa" w:w="1661"/>
          </w:tcPr>
          <w:p>
            <w:pPr>
              <w:pStyle w:val="null3"/>
            </w:pPr>
            <w:r>
              <w:rPr/>
              <w:t>资格证明文件</w:t>
            </w:r>
          </w:p>
        </w:tc>
      </w:tr>
      <w:tr>
        <w:tc>
          <w:tcPr>
            <w:tcW w:type="dxa" w:w="831"/>
          </w:tcPr>
          <w:p>
            <w:pPr>
              <w:pStyle w:val="null3"/>
            </w:pPr>
            <w:r>
              <w:rPr/>
              <w:t>12</w:t>
            </w:r>
          </w:p>
        </w:tc>
        <w:tc>
          <w:tcPr>
            <w:tcW w:type="dxa" w:w="2492"/>
          </w:tcPr>
          <w:p>
            <w:pPr>
              <w:pStyle w:val="null3"/>
            </w:pPr>
            <w:r>
              <w:rPr/>
              <w:t>本项目不接受联合体谈判</w:t>
            </w:r>
          </w:p>
        </w:tc>
        <w:tc>
          <w:tcPr>
            <w:tcW w:type="dxa" w:w="3322"/>
          </w:tcPr>
          <w:p>
            <w:pPr>
              <w:pStyle w:val="null3"/>
            </w:pPr>
            <w:r>
              <w:rPr/>
              <w:t>本项目不接受联合体谈判。（提供书面承诺函，格式自拟加盖供应商公章）</w:t>
            </w:r>
          </w:p>
        </w:tc>
        <w:tc>
          <w:tcPr>
            <w:tcW w:type="dxa" w:w="1661"/>
          </w:tcPr>
          <w:p>
            <w:pPr>
              <w:pStyle w:val="null3"/>
            </w:pPr>
            <w:r>
              <w:rPr/>
              <w:t>资格证明文件</w:t>
            </w:r>
          </w:p>
        </w:tc>
      </w:tr>
      <w:tr>
        <w:tc>
          <w:tcPr>
            <w:tcW w:type="dxa" w:w="831"/>
          </w:tcPr>
          <w:p>
            <w:pPr>
              <w:pStyle w:val="null3"/>
            </w:pPr>
            <w:r>
              <w:rPr/>
              <w:t>13</w:t>
            </w:r>
          </w:p>
        </w:tc>
        <w:tc>
          <w:tcPr>
            <w:tcW w:type="dxa" w:w="2492"/>
          </w:tcPr>
          <w:p>
            <w:pPr>
              <w:pStyle w:val="null3"/>
            </w:pPr>
            <w:r>
              <w:rPr/>
              <w:t>本项目专门面向中小企业采购</w:t>
            </w:r>
          </w:p>
        </w:tc>
        <w:tc>
          <w:tcPr>
            <w:tcW w:type="dxa" w:w="3322"/>
          </w:tcPr>
          <w:p>
            <w:pPr>
              <w:pStyle w:val="null3"/>
            </w:pPr>
            <w:r>
              <w:rPr/>
              <w:t>须符合《政府采购促进中小企业发展管理办法》（财库〔2020〕46号）规定的中小企业参加。（提供《中小企业声明函》，式样见竞争性谈判响应文件格式）</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谈判响应文件按谈判文件要求的数量、计量单位、报价货币及签字盖章</w:t>
            </w:r>
          </w:p>
        </w:tc>
        <w:tc>
          <w:tcPr>
            <w:tcW w:type="dxa" w:w="3322"/>
          </w:tcPr>
          <w:p>
            <w:pPr>
              <w:pStyle w:val="null3"/>
            </w:pPr>
            <w:r>
              <w:rPr/>
              <w:t>谈判响应文件按谈判文件要求的数量、计量单位、报价货币及签字盖章</w:t>
            </w:r>
          </w:p>
        </w:tc>
        <w:tc>
          <w:tcPr>
            <w:tcW w:type="dxa" w:w="1661"/>
          </w:tcPr>
          <w:p>
            <w:pPr>
              <w:pStyle w:val="null3"/>
            </w:pPr>
            <w:r>
              <w:rPr/>
              <w:t>分项报价表 标的清单 报价表 封面 供应商承诺书 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产品的合法渠道证明文件 分项报价表 业绩 标的清单 报价表 项目实施方案</w:t>
            </w:r>
          </w:p>
        </w:tc>
      </w:tr>
      <w:tr>
        <w:tc>
          <w:tcPr>
            <w:tcW w:type="dxa" w:w="831"/>
          </w:tcPr>
          <w:p>
            <w:pPr>
              <w:pStyle w:val="null3"/>
            </w:pPr>
            <w:r>
              <w:rPr/>
              <w:t>3</w:t>
            </w:r>
          </w:p>
        </w:tc>
        <w:tc>
          <w:tcPr>
            <w:tcW w:type="dxa" w:w="2492"/>
          </w:tcPr>
          <w:p>
            <w:pPr>
              <w:pStyle w:val="null3"/>
            </w:pPr>
            <w:r>
              <w:rPr/>
              <w:t>有效期</w:t>
            </w:r>
          </w:p>
        </w:tc>
        <w:tc>
          <w:tcPr>
            <w:tcW w:type="dxa" w:w="3322"/>
          </w:tcPr>
          <w:p>
            <w:pPr>
              <w:pStyle w:val="null3"/>
            </w:pPr>
            <w:r>
              <w:rPr/>
              <w:t>谈判响应文件的有效期达到谈判文件要求</w:t>
            </w:r>
          </w:p>
        </w:tc>
        <w:tc>
          <w:tcPr>
            <w:tcW w:type="dxa" w:w="1661"/>
          </w:tcPr>
          <w:p>
            <w:pPr>
              <w:pStyle w:val="null3"/>
            </w:pPr>
            <w:r>
              <w:rPr/>
              <w:t>分项报价表 响应函</w:t>
            </w:r>
          </w:p>
        </w:tc>
      </w:tr>
      <w:tr>
        <w:tc>
          <w:tcPr>
            <w:tcW w:type="dxa" w:w="831"/>
          </w:tcPr>
          <w:p>
            <w:pPr>
              <w:pStyle w:val="null3"/>
            </w:pPr>
            <w:r>
              <w:rPr/>
              <w:t>4</w:t>
            </w:r>
          </w:p>
        </w:tc>
        <w:tc>
          <w:tcPr>
            <w:tcW w:type="dxa" w:w="2492"/>
          </w:tcPr>
          <w:p>
            <w:pPr>
              <w:pStyle w:val="null3"/>
            </w:pPr>
            <w:r>
              <w:rPr/>
              <w:t>其他实质性要求</w:t>
            </w:r>
          </w:p>
        </w:tc>
        <w:tc>
          <w:tcPr>
            <w:tcW w:type="dxa" w:w="3322"/>
          </w:tcPr>
          <w:p>
            <w:pPr>
              <w:pStyle w:val="null3"/>
            </w:pPr>
            <w:r>
              <w:rPr/>
              <w:t>符合法律、法规和谈判文件中规定的其他实质性要求</w:t>
            </w:r>
          </w:p>
        </w:tc>
        <w:tc>
          <w:tcPr>
            <w:tcW w:type="dxa" w:w="1661"/>
          </w:tcPr>
          <w:p>
            <w:pPr>
              <w:pStyle w:val="null3"/>
            </w:pPr>
            <w:r>
              <w:rPr/>
              <w:t>产品的技术文件 供应商认为需要提供的其他资料 质量保证承诺 技术规格响应偏离表 售后服务承诺 商务条款响应偏离表</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谈判响应文件按谈判文件要求的数量、计量单位、报价货币及签字盖章</w:t>
            </w:r>
          </w:p>
        </w:tc>
        <w:tc>
          <w:tcPr>
            <w:tcW w:type="dxa" w:w="3322"/>
          </w:tcPr>
          <w:p>
            <w:pPr>
              <w:pStyle w:val="null3"/>
            </w:pPr>
            <w:r>
              <w:rPr/>
              <w:t>谈判响应文件按谈判文件要求的数量、计量单位、报价货币及签字盖章</w:t>
            </w:r>
          </w:p>
        </w:tc>
        <w:tc>
          <w:tcPr>
            <w:tcW w:type="dxa" w:w="1661"/>
          </w:tcPr>
          <w:p>
            <w:pPr>
              <w:pStyle w:val="null3"/>
            </w:pPr>
            <w:r>
              <w:rPr/>
              <w:t>分项报价表 标的清单 封面 报价表 供应商承诺书 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产品的合法渠道证明文件 分项报价表 业绩 标的清单 报价表 项目实施方案</w:t>
            </w:r>
          </w:p>
        </w:tc>
      </w:tr>
      <w:tr>
        <w:tc>
          <w:tcPr>
            <w:tcW w:type="dxa" w:w="831"/>
          </w:tcPr>
          <w:p>
            <w:pPr>
              <w:pStyle w:val="null3"/>
            </w:pPr>
            <w:r>
              <w:rPr/>
              <w:t>3</w:t>
            </w:r>
          </w:p>
        </w:tc>
        <w:tc>
          <w:tcPr>
            <w:tcW w:type="dxa" w:w="2492"/>
          </w:tcPr>
          <w:p>
            <w:pPr>
              <w:pStyle w:val="null3"/>
            </w:pPr>
            <w:r>
              <w:rPr/>
              <w:t>有效期</w:t>
            </w:r>
          </w:p>
        </w:tc>
        <w:tc>
          <w:tcPr>
            <w:tcW w:type="dxa" w:w="3322"/>
          </w:tcPr>
          <w:p>
            <w:pPr>
              <w:pStyle w:val="null3"/>
            </w:pPr>
            <w:r>
              <w:rPr/>
              <w:t>谈判响应文件的有效期达到谈判文件要求</w:t>
            </w:r>
          </w:p>
        </w:tc>
        <w:tc>
          <w:tcPr>
            <w:tcW w:type="dxa" w:w="1661"/>
          </w:tcPr>
          <w:p>
            <w:pPr>
              <w:pStyle w:val="null3"/>
            </w:pPr>
            <w:r>
              <w:rPr/>
              <w:t>分项报价表 响应函</w:t>
            </w:r>
          </w:p>
        </w:tc>
      </w:tr>
      <w:tr>
        <w:tc>
          <w:tcPr>
            <w:tcW w:type="dxa" w:w="831"/>
          </w:tcPr>
          <w:p>
            <w:pPr>
              <w:pStyle w:val="null3"/>
            </w:pPr>
            <w:r>
              <w:rPr/>
              <w:t>4</w:t>
            </w:r>
          </w:p>
        </w:tc>
        <w:tc>
          <w:tcPr>
            <w:tcW w:type="dxa" w:w="2492"/>
          </w:tcPr>
          <w:p>
            <w:pPr>
              <w:pStyle w:val="null3"/>
            </w:pPr>
            <w:r>
              <w:rPr/>
              <w:t>其他实质性要求</w:t>
            </w:r>
          </w:p>
        </w:tc>
        <w:tc>
          <w:tcPr>
            <w:tcW w:type="dxa" w:w="3322"/>
          </w:tcPr>
          <w:p>
            <w:pPr>
              <w:pStyle w:val="null3"/>
            </w:pPr>
            <w:r>
              <w:rPr/>
              <w:t>符合法律、法规和谈判文件中规定的其他实质性要求</w:t>
            </w:r>
          </w:p>
        </w:tc>
        <w:tc>
          <w:tcPr>
            <w:tcW w:type="dxa" w:w="1661"/>
          </w:tcPr>
          <w:p>
            <w:pPr>
              <w:pStyle w:val="null3"/>
            </w:pPr>
            <w:r>
              <w:rPr/>
              <w:t>产品的技术文件 供应商认为需要提供的其他资料 质量保证承诺 售后服务承诺 技术规格响应偏离表 商务条款响应偏离表</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详见附件：封面</w:t>
      </w:r>
    </w:p>
    <w:p>
      <w:pPr>
        <w:pStyle w:val="null3"/>
        <w:ind w:firstLine="960"/>
      </w:pPr>
      <w:r>
        <w:rPr/>
        <w:t>详见附件：响应函</w:t>
      </w:r>
    </w:p>
    <w:p>
      <w:pPr>
        <w:pStyle w:val="null3"/>
        <w:ind w:firstLine="960"/>
      </w:pPr>
      <w:r>
        <w:rPr/>
        <w:t>详见附件：报价表</w:t>
      </w:r>
    </w:p>
    <w:p>
      <w:pPr>
        <w:pStyle w:val="null3"/>
        <w:ind w:firstLine="960"/>
      </w:pPr>
      <w:r>
        <w:rPr/>
        <w:t>详见附件：标的清单</w:t>
      </w:r>
    </w:p>
    <w:p>
      <w:pPr>
        <w:pStyle w:val="null3"/>
        <w:ind w:firstLine="960"/>
      </w:pPr>
      <w:r>
        <w:rPr/>
        <w:t>详见附件：分项报价表</w:t>
      </w:r>
    </w:p>
    <w:p>
      <w:pPr>
        <w:pStyle w:val="null3"/>
        <w:ind w:firstLine="960"/>
      </w:pPr>
      <w:r>
        <w:rPr/>
        <w:t>详见附件：技术规格响应偏离表</w:t>
      </w:r>
    </w:p>
    <w:p>
      <w:pPr>
        <w:pStyle w:val="null3"/>
        <w:ind w:firstLine="960"/>
      </w:pPr>
      <w:r>
        <w:rPr/>
        <w:t>详见附件：商务条款响应偏离表</w:t>
      </w:r>
    </w:p>
    <w:p>
      <w:pPr>
        <w:pStyle w:val="null3"/>
        <w:ind w:firstLine="960"/>
      </w:pPr>
      <w:r>
        <w:rPr/>
        <w:t>详见附件：资格证明文件</w:t>
      </w:r>
    </w:p>
    <w:p>
      <w:pPr>
        <w:pStyle w:val="null3"/>
        <w:ind w:firstLine="960"/>
      </w:pPr>
      <w:r>
        <w:rPr/>
        <w:t>详见附件：业绩</w:t>
      </w:r>
    </w:p>
    <w:p>
      <w:pPr>
        <w:pStyle w:val="null3"/>
        <w:ind w:firstLine="960"/>
      </w:pPr>
      <w:r>
        <w:rPr/>
        <w:t>详见附件：产品的合法渠道证明文件</w:t>
      </w:r>
    </w:p>
    <w:p>
      <w:pPr>
        <w:pStyle w:val="null3"/>
        <w:ind w:firstLine="960"/>
      </w:pPr>
      <w:r>
        <w:rPr/>
        <w:t>详见附件：产品的技术文件</w:t>
      </w:r>
    </w:p>
    <w:p>
      <w:pPr>
        <w:pStyle w:val="null3"/>
        <w:ind w:firstLine="960"/>
      </w:pPr>
      <w:r>
        <w:rPr/>
        <w:t>详见附件：项目实施方案</w:t>
      </w:r>
    </w:p>
    <w:p>
      <w:pPr>
        <w:pStyle w:val="null3"/>
        <w:ind w:firstLine="960"/>
      </w:pPr>
      <w:r>
        <w:rPr/>
        <w:t>详见附件：质量保证承诺</w:t>
      </w:r>
    </w:p>
    <w:p>
      <w:pPr>
        <w:pStyle w:val="null3"/>
        <w:ind w:firstLine="960"/>
      </w:pPr>
      <w:r>
        <w:rPr/>
        <w:t>详见附件：售后服务承诺</w:t>
      </w:r>
    </w:p>
    <w:p>
      <w:pPr>
        <w:pStyle w:val="null3"/>
        <w:ind w:firstLine="960"/>
      </w:pPr>
      <w:r>
        <w:rPr/>
        <w:t>详见附件：供应商认为需要提供的其他资料</w:t>
      </w:r>
    </w:p>
    <w:p>
      <w:pPr>
        <w:pStyle w:val="null3"/>
        <w:ind w:firstLine="960"/>
      </w:pPr>
      <w:r>
        <w:rPr/>
        <w:t>详见附件：供应商承诺书</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详见附件：监狱、戒毒企业声明函</w:t>
      </w:r>
    </w:p>
    <w:p>
      <w:pPr>
        <w:pStyle w:val="null3"/>
      </w:pPr>
      <w:r>
        <w:rPr/>
        <w:t>采购包2：</w:t>
      </w:r>
    </w:p>
    <w:p>
      <w:pPr>
        <w:pStyle w:val="null3"/>
      </w:pPr>
      <w:r>
        <w:rPr/>
        <w:t>分册名称：投标响应文件分册</w:t>
      </w:r>
    </w:p>
    <w:p>
      <w:pPr>
        <w:pStyle w:val="null3"/>
        <w:ind w:firstLine="960"/>
      </w:pPr>
      <w:r>
        <w:rPr/>
        <w:t>详见附件：封面</w:t>
      </w:r>
    </w:p>
    <w:p>
      <w:pPr>
        <w:pStyle w:val="null3"/>
        <w:ind w:firstLine="960"/>
      </w:pPr>
      <w:r>
        <w:rPr/>
        <w:t>详见附件：响应函</w:t>
      </w:r>
    </w:p>
    <w:p>
      <w:pPr>
        <w:pStyle w:val="null3"/>
        <w:ind w:firstLine="960"/>
      </w:pPr>
      <w:r>
        <w:rPr/>
        <w:t>详见附件：报价表</w:t>
      </w:r>
    </w:p>
    <w:p>
      <w:pPr>
        <w:pStyle w:val="null3"/>
        <w:ind w:firstLine="960"/>
      </w:pPr>
      <w:r>
        <w:rPr/>
        <w:t>详见附件：标的清单</w:t>
      </w:r>
    </w:p>
    <w:p>
      <w:pPr>
        <w:pStyle w:val="null3"/>
        <w:ind w:firstLine="960"/>
      </w:pPr>
      <w:r>
        <w:rPr/>
        <w:t>详见附件：分项报价表</w:t>
      </w:r>
    </w:p>
    <w:p>
      <w:pPr>
        <w:pStyle w:val="null3"/>
        <w:ind w:firstLine="960"/>
      </w:pPr>
      <w:r>
        <w:rPr/>
        <w:t>详见附件：技术规格响应偏离表</w:t>
      </w:r>
    </w:p>
    <w:p>
      <w:pPr>
        <w:pStyle w:val="null3"/>
        <w:ind w:firstLine="960"/>
      </w:pPr>
      <w:r>
        <w:rPr/>
        <w:t>详见附件：商务条款响应偏离表</w:t>
      </w:r>
    </w:p>
    <w:p>
      <w:pPr>
        <w:pStyle w:val="null3"/>
        <w:ind w:firstLine="960"/>
      </w:pPr>
      <w:r>
        <w:rPr/>
        <w:t>详见附件：资格证明文件</w:t>
      </w:r>
    </w:p>
    <w:p>
      <w:pPr>
        <w:pStyle w:val="null3"/>
        <w:ind w:firstLine="960"/>
      </w:pPr>
      <w:r>
        <w:rPr/>
        <w:t>详见附件：业绩</w:t>
      </w:r>
    </w:p>
    <w:p>
      <w:pPr>
        <w:pStyle w:val="null3"/>
        <w:ind w:firstLine="960"/>
      </w:pPr>
      <w:r>
        <w:rPr/>
        <w:t>详见附件：产品的合法渠道证明文件</w:t>
      </w:r>
    </w:p>
    <w:p>
      <w:pPr>
        <w:pStyle w:val="null3"/>
        <w:ind w:firstLine="960"/>
      </w:pPr>
      <w:r>
        <w:rPr/>
        <w:t>详见附件：产品的技术文件</w:t>
      </w:r>
    </w:p>
    <w:p>
      <w:pPr>
        <w:pStyle w:val="null3"/>
        <w:ind w:firstLine="960"/>
      </w:pPr>
      <w:r>
        <w:rPr/>
        <w:t>详见附件：项目实施方案</w:t>
      </w:r>
    </w:p>
    <w:p>
      <w:pPr>
        <w:pStyle w:val="null3"/>
        <w:ind w:firstLine="960"/>
      </w:pPr>
      <w:r>
        <w:rPr/>
        <w:t>详见附件：质量保证承诺</w:t>
      </w:r>
    </w:p>
    <w:p>
      <w:pPr>
        <w:pStyle w:val="null3"/>
        <w:ind w:firstLine="960"/>
      </w:pPr>
      <w:r>
        <w:rPr/>
        <w:t>详见附件：售后服务承诺</w:t>
      </w:r>
    </w:p>
    <w:p>
      <w:pPr>
        <w:pStyle w:val="null3"/>
        <w:ind w:firstLine="960"/>
      </w:pPr>
      <w:r>
        <w:rPr/>
        <w:t>详见附件：供应商认为需要提供的其他资料</w:t>
      </w:r>
    </w:p>
    <w:p>
      <w:pPr>
        <w:pStyle w:val="null3"/>
        <w:ind w:firstLine="960"/>
      </w:pPr>
      <w:r>
        <w:rPr/>
        <w:t>详见附件：供应商承诺书</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详见附件：监狱、戒毒企业声明函</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详见附件：合同范本.docx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