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功能材料电学性能测试系统设备采购项目</w:t>
      </w:r>
    </w:p>
    <w:p>
      <w:pPr>
        <w:pStyle w:val="null3"/>
        <w:jc w:val="center"/>
        <w:outlineLvl w:val="2"/>
      </w:pPr>
      <w:r>
        <w:rPr>
          <w:sz w:val="28"/>
          <w:b/>
        </w:rPr>
        <w:t>采购项目编号：</w:t>
      </w:r>
      <w:r>
        <w:rPr>
          <w:sz w:val="28"/>
          <w:b/>
        </w:rPr>
        <w:t>ZMZB2024GYDX-427</w:t>
      </w:r>
      <w:r>
        <w:br/>
      </w:r>
      <w:r>
        <w:br/>
      </w:r>
      <w:r>
        <w:br/>
      </w:r>
    </w:p>
    <w:p>
      <w:pPr>
        <w:pStyle w:val="null3"/>
        <w:jc w:val="center"/>
        <w:outlineLvl w:val="2"/>
      </w:pPr>
      <w:r>
        <w:rPr>
          <w:sz w:val="28"/>
          <w:b/>
        </w:rPr>
        <w:t>西安工业大学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2024年12月18日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陕西卓佲项目管理有限公司</w:t>
      </w:r>
      <w:r>
        <w:rPr/>
        <w:t>（以下简称“代理机构”）受</w:t>
      </w:r>
      <w:r>
        <w:rPr/>
        <w:t>西安工业大学</w:t>
      </w:r>
      <w:r>
        <w:rPr/>
        <w:t>委托，拟对</w:t>
      </w:r>
      <w:r>
        <w:rPr/>
        <w:t>功能材料电学性能测试系统设备采购项目</w:t>
      </w:r>
      <w:r>
        <w:rPr/>
        <w:t>进行国内公开招标，兹邀请符合本次招标要求的供应商参加投标。</w:t>
      </w:r>
    </w:p>
    <w:p>
      <w:pPr>
        <w:pStyle w:val="null3"/>
        <w:outlineLvl w:val="2"/>
      </w:pPr>
      <w:r>
        <w:rPr>
          <w:sz w:val="28"/>
          <w:b/>
        </w:rPr>
        <w:t>一、采购项目编号：</w:t>
      </w:r>
      <w:r>
        <w:rPr>
          <w:sz w:val="28"/>
          <w:b/>
        </w:rPr>
        <w:t>ZMZB2024GYDX-427</w:t>
      </w:r>
    </w:p>
    <w:p>
      <w:pPr>
        <w:pStyle w:val="null3"/>
        <w:outlineLvl w:val="2"/>
      </w:pPr>
      <w:r>
        <w:rPr>
          <w:sz w:val="28"/>
          <w:b/>
        </w:rPr>
        <w:t>二、采购项目名称：</w:t>
      </w:r>
      <w:r>
        <w:rPr>
          <w:sz w:val="28"/>
          <w:b/>
        </w:rPr>
        <w:t>功能材料电学性能测试系统设备采购项目</w:t>
      </w:r>
    </w:p>
    <w:p>
      <w:pPr>
        <w:pStyle w:val="null3"/>
        <w:outlineLvl w:val="2"/>
      </w:pPr>
      <w:r>
        <w:rPr>
          <w:sz w:val="28"/>
          <w:b/>
        </w:rPr>
        <w:t>三、招标项目简介</w:t>
      </w:r>
    </w:p>
    <w:p>
      <w:pPr>
        <w:pStyle w:val="null3"/>
        <w:ind w:firstLine="480"/>
      </w:pPr>
      <w:r>
        <w:rPr/>
        <w:t>采购功能材料电学性能测试系统一台，该系统由测试主机、高压电源、变温综合测试平台、LCR 表、测试盒及自动液氮注入系统组成。</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8、本项目不接受联合体投标：非接受联合体投标声明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710000</w:t>
      </w:r>
    </w:p>
    <w:p>
      <w:pPr>
        <w:pStyle w:val="null3"/>
      </w:pPr>
      <w:r>
        <w:rPr/>
        <w:t xml:space="preserve"> 联系人： </w:t>
      </w:r>
      <w:r>
        <w:rPr/>
        <w:t>余老师 梁老师</w:t>
      </w:r>
    </w:p>
    <w:p>
      <w:pPr>
        <w:pStyle w:val="null3"/>
      </w:pPr>
      <w:r>
        <w:rPr/>
        <w:t xml:space="preserve"> 联系电话： </w:t>
      </w:r>
      <w:r>
        <w:rPr/>
        <w:t>029-86173142</w:t>
      </w:r>
    </w:p>
    <w:p>
      <w:pPr>
        <w:pStyle w:val="null3"/>
        <w:outlineLvl w:val="2"/>
      </w:pPr>
      <w:r>
        <w:rPr>
          <w:sz w:val="28"/>
          <w:b/>
        </w:rPr>
        <w:t>代理机构：</w:t>
      </w:r>
      <w:r>
        <w:rPr>
          <w:sz w:val="28"/>
          <w:b/>
        </w:rPr>
        <w:t>陕西卓佲项目管理有限公司</w:t>
      </w:r>
    </w:p>
    <w:p>
      <w:pPr>
        <w:pStyle w:val="null3"/>
      </w:pPr>
      <w:r>
        <w:rPr/>
        <w:t xml:space="preserve"> 地址： </w:t>
      </w:r>
      <w:r>
        <w:rPr/>
        <w:t>西安市雁塔区科技路 30号合力紫郡B座21层</w:t>
      </w:r>
    </w:p>
    <w:p>
      <w:pPr>
        <w:pStyle w:val="null3"/>
      </w:pPr>
      <w:r>
        <w:rPr/>
        <w:t xml:space="preserve"> 邮编： </w:t>
      </w:r>
      <w:r>
        <w:rPr/>
        <w:t>710065</w:t>
      </w:r>
    </w:p>
    <w:p>
      <w:pPr>
        <w:pStyle w:val="null3"/>
      </w:pPr>
      <w:r>
        <w:rPr/>
        <w:t xml:space="preserve"> 联系人： </w:t>
      </w:r>
      <w:r>
        <w:rPr/>
        <w:t>董菊莉 黄乐 张倩</w:t>
      </w:r>
    </w:p>
    <w:p>
      <w:pPr>
        <w:pStyle w:val="null3"/>
      </w:pPr>
      <w:r>
        <w:rPr/>
        <w:t xml:space="preserve"> 联系电话： </w:t>
      </w:r>
      <w:r>
        <w:rPr/>
        <w:t>177 7896 6062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采购包1保证金金额：12,000.00元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的收取（含税），按照中标金额*0.6%计算，由中标/成交单位一次性支付给代理机构</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陕西卓佲项目管理有限公司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联系人：董菊莉</w:t>
      </w:r>
    </w:p>
    <w:p>
      <w:pPr>
        <w:pStyle w:val="null3"/>
      </w:pPr>
      <w:r>
        <w:rPr/>
        <w:t>联系电话：029-81875979</w:t>
      </w:r>
    </w:p>
    <w:p>
      <w:pPr>
        <w:pStyle w:val="null3"/>
      </w:pPr>
      <w:r>
        <w:rPr/>
        <w:t>地址：西安市雁塔区科技路 30号合力紫郡B座21层</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rFonts w:ascii="宋体" w:hAnsi="宋体" w:cs="宋体" w:eastAsia="宋体"/>
        </w:rPr>
        <w:t>一款多场耦合的综合性测试设备，在统一的电场、温度场、频率场下进行电性能参数表征，评价材料与器件的极化、弛豫、相变、制冷、激活能（或陷阱深度）等性能。</w:t>
      </w:r>
    </w:p>
    <w:p>
      <w:pPr>
        <w:pStyle w:val="null3"/>
        <w:outlineLvl w:val="2"/>
      </w:pPr>
      <w:r>
        <w:rPr>
          <w:sz w:val="28"/>
          <w:b/>
        </w:rPr>
        <w:t>3.2采购内容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西安工业大学功能材料电学性能测试系统设备采购项目</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标的名称：西安工业大学功能材料电学性能测试系统设备采购项目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240"/>
              <w:jc w:val="both"/>
            </w:pPr>
            <w:r>
              <w:rPr>
                <w:rFonts w:ascii="仿宋_gb2312" w:hAnsi="仿宋_gb2312" w:cs="仿宋_gb2312" w:eastAsia="仿宋_gb2312"/>
                <w:sz w:val="24"/>
                <w:shd w:fill="FFFFFF" w:val="clear"/>
              </w:rPr>
              <w:t>1.</w:t>
            </w:r>
            <w:r>
              <w:rPr>
                <w:rFonts w:ascii="宋体" w:hAnsi="宋体" w:cs="宋体" w:eastAsia="宋体"/>
                <w:sz w:val="24"/>
              </w:rPr>
              <w:t xml:space="preserve"> </w:t>
            </w:r>
            <w:r>
              <w:rPr>
                <w:rFonts w:ascii="仿宋_gb2312" w:hAnsi="仿宋_gb2312" w:cs="仿宋_gb2312" w:eastAsia="仿宋_gb2312"/>
                <w:sz w:val="24"/>
                <w:shd w:fill="FFFFFF" w:val="clear"/>
              </w:rPr>
              <w:t>可测试功能需包括：电卡制冷材料与器件的熵变、温变、电卡效应强度，高偏场介电常数与损耗、热激励去极化电流、热释电系数、介电击穿强度、变温测试。</w:t>
            </w:r>
          </w:p>
          <w:p>
            <w:pPr>
              <w:pStyle w:val="null3"/>
              <w:jc w:val="both"/>
            </w:pPr>
            <w:r>
              <w:rPr>
                <w:rFonts w:ascii="仿宋" w:hAnsi="仿宋" w:cs="仿宋" w:eastAsia="仿宋"/>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电卡效应测试采用直接熵变法测量，热流量测量分辨率</w:t>
            </w:r>
            <w:r>
              <w:rPr>
                <w:rFonts w:ascii="仿宋_gb2312" w:hAnsi="仿宋_gb2312" w:cs="仿宋_gb2312" w:eastAsia="仿宋_gb2312"/>
                <w:sz w:val="24"/>
              </w:rPr>
              <w:t>≤</w:t>
            </w:r>
            <w:r>
              <w:rPr>
                <w:rFonts w:ascii="仿宋_gb2312" w:hAnsi="仿宋_gb2312" w:cs="仿宋_gb2312" w:eastAsia="仿宋_gb2312"/>
                <w:sz w:val="24"/>
                <w:shd w:fill="FFFFFF" w:val="clear"/>
              </w:rPr>
              <w:t>0.001mW；</w:t>
            </w:r>
          </w:p>
          <w:p>
            <w:pPr>
              <w:pStyle w:val="null3"/>
              <w:ind w:firstLine="240"/>
              <w:jc w:val="both"/>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热释电电流测量范围</w:t>
            </w:r>
            <w:r>
              <w:rPr>
                <w:rFonts w:ascii="仿宋_gb2312" w:hAnsi="仿宋_gb2312" w:cs="仿宋_gb2312" w:eastAsia="仿宋_gb2312"/>
                <w:sz w:val="24"/>
                <w:shd w:fill="FFFFFF" w:val="clear"/>
              </w:rPr>
              <w:t>0～1uA</w:t>
            </w:r>
            <w:r>
              <w:rPr>
                <w:rFonts w:ascii="仿宋_gb2312" w:hAnsi="仿宋_gb2312" w:cs="仿宋_gb2312" w:eastAsia="仿宋_gb2312"/>
                <w:sz w:val="24"/>
                <w:shd w:fill="FFFFFF" w:val="clear"/>
              </w:rPr>
              <w:t>；</w:t>
            </w:r>
          </w:p>
          <w:p>
            <w:pPr>
              <w:pStyle w:val="null3"/>
              <w:jc w:val="both"/>
            </w:pPr>
            <w:r>
              <w:rPr>
                <w:rFonts w:ascii="仿宋" w:hAnsi="仿宋" w:cs="仿宋" w:eastAsia="仿宋"/>
                <w:sz w:val="24"/>
                <w:shd w:fill="FFFFFF" w:val="clear"/>
              </w:rPr>
              <w:t>▲</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测量分辨率</w:t>
            </w:r>
            <w:r>
              <w:rPr>
                <w:rFonts w:ascii="仿宋_gb2312" w:hAnsi="仿宋_gb2312" w:cs="仿宋_gb2312" w:eastAsia="仿宋_gb2312"/>
                <w:sz w:val="24"/>
              </w:rPr>
              <w:t>≤</w:t>
            </w:r>
            <w:r>
              <w:rPr>
                <w:rFonts w:ascii="仿宋_gb2312" w:hAnsi="仿宋_gb2312" w:cs="仿宋_gb2312" w:eastAsia="仿宋_gb2312"/>
                <w:sz w:val="24"/>
                <w:shd w:fill="FFFFFF" w:val="clear"/>
              </w:rPr>
              <w:t>1pA；</w:t>
            </w:r>
          </w:p>
          <w:p>
            <w:pPr>
              <w:pStyle w:val="null3"/>
              <w:ind w:firstLine="240"/>
              <w:jc w:val="both"/>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热激励去极化电流测量范围</w:t>
            </w:r>
            <w:r>
              <w:rPr>
                <w:rFonts w:ascii="仿宋_gb2312" w:hAnsi="仿宋_gb2312" w:cs="仿宋_gb2312" w:eastAsia="仿宋_gb2312"/>
                <w:sz w:val="24"/>
                <w:shd w:fill="FFFFFF" w:val="clear"/>
              </w:rPr>
              <w:t>0～5mA，测量分辨率</w:t>
            </w:r>
            <w:r>
              <w:rPr>
                <w:rFonts w:ascii="仿宋_gb2312" w:hAnsi="仿宋_gb2312" w:cs="仿宋_gb2312" w:eastAsia="仿宋_gb2312"/>
                <w:sz w:val="24"/>
              </w:rPr>
              <w:t>≤</w:t>
            </w:r>
            <w:r>
              <w:rPr>
                <w:rFonts w:ascii="仿宋_gb2312" w:hAnsi="仿宋_gb2312" w:cs="仿宋_gb2312" w:eastAsia="仿宋_gb2312"/>
                <w:sz w:val="24"/>
                <w:shd w:fill="FFFFFF" w:val="clear"/>
              </w:rPr>
              <w:t>10pA；</w:t>
            </w:r>
          </w:p>
          <w:p>
            <w:pPr>
              <w:pStyle w:val="null3"/>
              <w:ind w:firstLine="240"/>
              <w:jc w:val="both"/>
            </w:pP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.电压测量分辨率</w:t>
            </w:r>
            <w:r>
              <w:rPr>
                <w:rFonts w:ascii="仿宋_gb2312" w:hAnsi="仿宋_gb2312" w:cs="仿宋_gb2312" w:eastAsia="仿宋_gb2312"/>
                <w:sz w:val="24"/>
              </w:rPr>
              <w:t>≤</w:t>
            </w:r>
            <w:r>
              <w:rPr>
                <w:rFonts w:ascii="仿宋_gb2312" w:hAnsi="仿宋_gb2312" w:cs="仿宋_gb2312" w:eastAsia="仿宋_gb2312"/>
                <w:sz w:val="24"/>
                <w:shd w:fill="FFFFFF" w:val="clear"/>
              </w:rPr>
              <w:t>0.1mV；</w:t>
            </w:r>
          </w:p>
          <w:p>
            <w:pPr>
              <w:pStyle w:val="null3"/>
              <w:ind w:firstLine="240"/>
              <w:jc w:val="both"/>
            </w:pP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.测试电压0～5000V；</w:t>
            </w:r>
          </w:p>
          <w:p>
            <w:pPr>
              <w:pStyle w:val="null3"/>
              <w:ind w:firstLine="240"/>
              <w:jc w:val="both"/>
            </w:pP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偏场介电常数与损耗测试频率范围</w:t>
            </w:r>
            <w:r>
              <w:rPr>
                <w:rFonts w:ascii="仿宋_gb2312" w:hAnsi="仿宋_gb2312" w:cs="仿宋_gb2312" w:eastAsia="仿宋_gb2312"/>
                <w:sz w:val="24"/>
                <w:shd w:fill="FFFFFF" w:val="clear"/>
              </w:rPr>
              <w:t>100Hz～200kHz，温度范围为-150℃～260℃；</w:t>
            </w:r>
          </w:p>
          <w:p>
            <w:pPr>
              <w:pStyle w:val="null3"/>
              <w:ind w:firstLine="240"/>
            </w:pP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电卡效应测试变温温度范围：</w:t>
            </w:r>
            <w:r>
              <w:rPr>
                <w:rFonts w:ascii="仿宋_gb2312" w:hAnsi="仿宋_gb2312" w:cs="仿宋_gb2312" w:eastAsia="仿宋_gb2312"/>
                <w:sz w:val="24"/>
                <w:shd w:fill="FFFFFF" w:val="clear"/>
              </w:rPr>
              <w:t>-40℃～120℃，其他功能测试变温温度范围：-150℃～ 260℃，控温精度±0.1℃。</w:t>
            </w:r>
          </w:p>
          <w:p>
            <w:pPr>
              <w:pStyle w:val="null3"/>
              <w:jc w:val="both"/>
            </w:pPr>
            <w:r>
              <w:rPr>
                <w:rFonts w:ascii="仿宋_gb2312" w:hAnsi="仿宋_gb2312" w:cs="仿宋_gb2312" w:eastAsia="仿宋_gb2312"/>
                <w:sz w:val="24"/>
                <w:shd w:fill="FFFFFF" w:val="clear"/>
              </w:rPr>
              <w:t>备注：</w:t>
            </w:r>
            <w:r>
              <w:rPr>
                <w:rFonts w:ascii="仿宋" w:hAnsi="仿宋" w:cs="仿宋" w:eastAsia="仿宋"/>
                <w:sz w:val="24"/>
                <w:shd w:fill="FFFFFF" w:val="clear"/>
              </w:rPr>
              <w:t>▲</w:t>
            </w:r>
            <w:r>
              <w:rPr>
                <w:rFonts w:ascii="宋体" w:hAnsi="宋体" w:cs="宋体" w:eastAsia="宋体"/>
                <w:sz w:val="24"/>
                <w:b/>
                <w:color w:val="000000"/>
              </w:rPr>
              <w:t>参数必须提供佐证材料（包括但不限于产品彩页、检测报告、功能截图、盖章的说明书等），未提供佐证材料或提供的佐证材料低于招标要求时按负偏离处理</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交货时间：合同签订之日起180日历日完成交付安装验收。</w:t>
      </w:r>
    </w:p>
    <w:p>
      <w:pPr>
        <w:pStyle w:val="null3"/>
        <w:outlineLvl w:val="3"/>
      </w:pPr>
      <w:r>
        <w:rPr>
          <w:sz w:val="24"/>
          <w:b/>
        </w:rPr>
        <w:t>3.4.2交货地点</w:t>
      </w:r>
    </w:p>
    <w:p>
      <w:pPr>
        <w:pStyle w:val="null3"/>
      </w:pPr>
      <w:r>
        <w:rPr/>
        <w:t>采购包1：</w:t>
      </w:r>
    </w:p>
    <w:p>
      <w:pPr>
        <w:pStyle w:val="null3"/>
      </w:pPr>
      <w:r>
        <w:rPr/>
        <w:t>西安工业大学指定地点（工6超净间）。</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设备安装调试经采购人验收合格后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方式：供应商按采购人要求将全部货物运到指定地点，经采购人现场按采购文件及合同中的采购参数内容验收核对登记后方可进行安装调试。最终验收按合同约定的时间进行，项目验收分为初验和终验两阶段。 a.初验：货物到达交货地点后，开箱验收，对货物名称、厂家、数量、品种、型号、规格等外观进行核对、检验。如果核对无误，采购人或采购人指定使用单位在到货签收单上签字，到货签收单只作为外观检查的依据。如果在开箱检验中发现货物有任何短少、缺损、缺陷或与合同规定不符，可视为开箱验收不合格，采购人有权拒绝接收，供应商应无条件退换货直至合格，并承担逾期交货的违约责任，赔偿采购人损失。 b.终验：验收小组按采购文件及合同中的采购参数内容验收核对登记后方可进行安装调试，所有货物安装完毕，完成首轮培训后，在投入正常使用10个工作日后，进行终验。验收合格后签发验收合格单。 （2）验收依据 a.合同文本及合同补充文件（条款）。 b.公开招标文件。 c.成交中标人的响应文件。 d.合同货物清单。 （3）交付与验收地点：指定地点。</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本项目整体质保期：验收合格后，整机质保5年；质保期满后，供应商仍需提供专业维修服务。 质保期内免费提供正常使用的易损件和备件；软件系统提供终身免费升级服务。 设备经过双方检验认可后，签署验收报告，产品保修期自验收合格之日起计算，由供应商提供产品保修文件。 安装调试1个月内，如有质量问题，设备整机无条件退换货并提供备件以保证教学正常开展。在保修期内，任何质量问题，供应商负责免费维修。 质保期过后需换件时，原则上应提供原装器件，并按成本价收费。 服务响应时间：中标（成交）供应商接到维修电话后2小时内给予明确答复，并在7个工作日内负责维修或故障排除；若出现紧急故障，应在收到通知后的24小时内到达现场维修。维修人员到现场后若问题特殊无法现场修复的，中标（成交）供应商需在24小时内给出合理解决方案。</w:t>
      </w:r>
    </w:p>
    <w:p>
      <w:pPr>
        <w:pStyle w:val="null3"/>
        <w:outlineLvl w:val="3"/>
      </w:pPr>
      <w:r>
        <w:rPr>
          <w:sz w:val="24"/>
          <w:b/>
        </w:rPr>
        <w:t>3.4.8违约责任与解决争议的方法</w:t>
      </w:r>
    </w:p>
    <w:p>
      <w:pPr>
        <w:pStyle w:val="null3"/>
      </w:pPr>
      <w:r>
        <w:rPr/>
        <w:t>采购包1：</w:t>
      </w:r>
    </w:p>
    <w:p>
      <w:pPr>
        <w:pStyle w:val="null3"/>
      </w:pPr>
      <w:r>
        <w:rPr/>
        <w:t>在履行本合同过程中，如采购人、供应商双方发生争议，协商解决:如双方达不成协议，向具有管辖权的人民法院提起诉讼。</w:t>
      </w:r>
    </w:p>
    <w:p>
      <w:pPr>
        <w:pStyle w:val="null3"/>
        <w:jc w:val="left"/>
        <w:outlineLvl w:val="2"/>
      </w:pPr>
      <w:r>
        <w:rPr>
          <w:sz w:val="28"/>
          <w:b/>
        </w:rPr>
        <w:t>3.5其他要求</w:t>
      </w:r>
    </w:p>
    <w:p>
      <w:pPr>
        <w:pStyle w:val="null3"/>
      </w:pPr>
      <w:r>
        <w:rPr/>
        <w:t>1、培训要求：（1）设备概述：介绍设备的结构、性能、功能和应用范围，使参与者对设备有一个整体的认识。 （2）操作流程：详细讲解设备的操作步骤和操作技巧，确保每位参与者都能掌握。 （3）安全知识：强调使用设备时需注意的安全事项，包括设备操作过程中的安全防护措施、应急处理措施等。 （4）故障排查与处理：教授如何识别设备故障、排查故障原因及处理方法，提高参与者的故障处理能力。 （5）维护保养：讲解设备的日常维护保养方法及周期，确保设备的正常运行和延长使用寿命。 2、 为顺利推进政府采购电子化交易平台应用工作，供应商需要在线提交所有通过电子化交易平台实施的政府采购项目的投标文件，同时，线下提交纸质版投标文件，正本壹份、副本贰价、电子版壹份(U盘一套标明投标人名称，随正本密封)。若线上电子投标文件与纸质投标文件不一致的，以线上电子投标文件为准；若正本和副本不符，以正本为准。线下递交文件截止时间:详见本项目招标公告文件递交截止时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本项目不接受联合体投标</w:t>
            </w:r>
          </w:p>
        </w:tc>
        <w:tc>
          <w:tcPr>
            <w:tcW w:type="dxa" w:w="3322"/>
          </w:tcPr>
          <w:p>
            <w:pPr>
              <w:pStyle w:val="null3"/>
            </w:pPr>
            <w:r>
              <w:rPr/>
              <w:t>非接受联合体投标声明</w:t>
            </w:r>
          </w:p>
        </w:tc>
        <w:tc>
          <w:tcPr>
            <w:tcW w:type="dxa" w:w="1661"/>
          </w:tcPr>
          <w:p>
            <w:pPr>
              <w:pStyle w:val="null3"/>
            </w:pPr>
            <w:r>
              <w:rPr/>
              <w:t>供应商资格要求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 管理办法》(财库〔2020〕46号)； 2.《财政部司法部关于政府采购支持监狱企业发展有关问题的通知》(财库〔2014〕68号)； 3.《国务院办公厅关于建立政府 强制采购节能产品制度的通知》(国办发〔2007〕51号)； 4.《节能产品政府采购实施意见》(财库〔2004〕185号)； 5.《环境标志产 品政府采购实施的意见》(财库〔2006〕90号)； 6.《三部门联合发布关于促进残疾人就业政府采购政策的通知》(财库〔2017〕141号)； 7.《财政部 发展改革委 生态 环境部 市场监管总局关于调整优化 节能产品、环境标志产品政府采购执 行机制的通知》(财库〔2019〕9 号)； 8.《财政部 农业农村部 国家乡村振兴局关于运用政府采购政 策支持乡村产业振兴的通知》(财库〔2021〕19号)； 9.陕西省财 政厅关于印发《陕西省中小企业政府采购信用融资办法》(陕财办采〔2018〕23号)。</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投标文件封面</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 (合格) ，投标报价超过采购预算或最高限价(不合格 )</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交货时间(期)满足招标文件要求 (合格)，交货时间(期)不满足招标文件要求(不合格)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质保期满足招标文件要求(合格)， 质保期不满足招标文件要求(不合格)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投标文件的签署、盖章满足招标文件 要求(合格)，投标文件的签署、盖 章不满足招标文件要求(不合格)</w:t>
            </w:r>
          </w:p>
        </w:tc>
        <w:tc>
          <w:tcPr>
            <w:tcW w:type="dxa" w:w="1661"/>
          </w:tcPr>
          <w:p>
            <w:pPr>
              <w:pStyle w:val="null3"/>
            </w:pPr>
            <w:r>
              <w:rPr/>
              <w:t>产品技术参数表 投标函 商务应答表 供应商资格要求</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投标有效期满足招标文件要求(合 格)，投标文件无投标有效期或有效期不满足招标文件要 求(不合格)</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标的数量满足招标文件要求(合 格)，标的数量出现漏项或与招标文件要求不符(不合格)</w:t>
            </w:r>
          </w:p>
        </w:tc>
        <w:tc>
          <w:tcPr>
            <w:tcW w:type="dxa" w:w="1661"/>
          </w:tcPr>
          <w:p>
            <w:pPr>
              <w:pStyle w:val="null3"/>
            </w:pPr>
            <w:r>
              <w:rPr/>
              <w:t>产品技术参数表 标的清单</w:t>
            </w:r>
          </w:p>
        </w:tc>
      </w:tr>
      <w:tr>
        <w:tc>
          <w:tcPr>
            <w:tcW w:type="dxa" w:w="831"/>
          </w:tcPr>
          <w:p>
            <w:pPr>
              <w:pStyle w:val="null3"/>
            </w:pPr>
            <w:r>
              <w:rPr/>
              <w:t>8</w:t>
            </w:r>
          </w:p>
        </w:tc>
        <w:tc>
          <w:tcPr>
            <w:tcW w:type="dxa" w:w="2492"/>
          </w:tcPr>
          <w:p>
            <w:pPr>
              <w:pStyle w:val="null3"/>
            </w:pPr>
            <w:r>
              <w:rPr/>
              <w:t>是否有采购人不能接受的附加条件</w:t>
            </w:r>
          </w:p>
        </w:tc>
        <w:tc>
          <w:tcPr>
            <w:tcW w:type="dxa" w:w="3322"/>
          </w:tcPr>
          <w:p>
            <w:pPr>
              <w:pStyle w:val="null3"/>
            </w:pPr>
            <w:r>
              <w:rPr/>
              <w:t>没有采购人不能接受的附加条件(合 格)，有采购人不能接受的附加条件 (不合格)</w:t>
            </w:r>
          </w:p>
        </w:tc>
        <w:tc>
          <w:tcPr>
            <w:tcW w:type="dxa" w:w="1661"/>
          </w:tcPr>
          <w:p>
            <w:pPr>
              <w:pStyle w:val="null3"/>
            </w:pPr>
            <w:r>
              <w:rPr/>
              <w:t>投标函 商务应答表</w:t>
            </w:r>
          </w:p>
        </w:tc>
      </w:tr>
      <w:tr>
        <w:tc>
          <w:tcPr>
            <w:tcW w:type="dxa" w:w="831"/>
          </w:tcPr>
          <w:p>
            <w:pPr>
              <w:pStyle w:val="null3"/>
            </w:pPr>
            <w:r>
              <w:rPr/>
              <w:t>9</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 情形(合格)，存在法律、法规和招标文件规定的其他无 效情形(不合格)</w:t>
            </w:r>
          </w:p>
        </w:tc>
        <w:tc>
          <w:tcPr>
            <w:tcW w:type="dxa" w:w="1661"/>
          </w:tcPr>
          <w:p>
            <w:pPr>
              <w:pStyle w:val="null3"/>
            </w:pPr>
            <w:r>
              <w:rPr/>
              <w:t>产品技术参数表 商务应答表 供应商认为有必要说明的其他问题</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根据供应商提供所投产品的技术偏离表及相应的证明材料，经评审专家审定得分。 基本分（31分）：完全符合、响应招标文件要求，没有负偏离计31分，“▲”参数每负偏离一项扣5分，未带标识参数每负偏离一项扣3分，扣完为止。 备注：▲参数必须提供佐证材料，佐证材料包括但不限于产品彩页、检测报告、厂家盖章的说明书等。未提供佐证材料或佐证材料低于招标文件规定的相应技术指标、参数时视为负偏离。</w:t>
            </w:r>
          </w:p>
        </w:tc>
        <w:tc>
          <w:tcPr>
            <w:tcW w:type="dxa" w:w="831"/>
          </w:tcPr>
          <w:p>
            <w:pPr>
              <w:pStyle w:val="null3"/>
              <w:jc w:val="right"/>
            </w:pPr>
            <w:r>
              <w:rPr/>
              <w:t>31.0000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质量保证</w:t>
            </w:r>
          </w:p>
        </w:tc>
        <w:tc>
          <w:tcPr>
            <w:tcW w:type="dxa" w:w="2492"/>
          </w:tcPr>
          <w:p>
            <w:pPr>
              <w:pStyle w:val="null3"/>
            </w:pPr>
            <w:r>
              <w:rPr/>
              <w:t>提供质量保证方案。内容包含①整体配置具有合理性、一致性、兼容性②产品品牌、型号、产地明确，备品配件供应有保障③产品性能、使用寿命及效果④质量保证措施。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实施方案</w:t>
            </w:r>
          </w:p>
        </w:tc>
        <w:tc>
          <w:tcPr>
            <w:tcW w:type="dxa" w:w="2492"/>
          </w:tcPr>
          <w:p>
            <w:pPr>
              <w:pStyle w:val="null3"/>
            </w:pPr>
            <w:r>
              <w:rPr/>
              <w:t>针对本项目有具体实施方案，①总体实施方案；②计划进度安排；③项目团队配备；④项目实施过程中质量保证；⑤安装调试方案；⑥项目验收方案。完整提供上述6项内容的得9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提供供应商2021年1月1日至今类似项目合同（以合同签订日期为准），每提供1个得1分，最高得4分。备注：响应文件中提供合同复印件。</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该方案包含：①培训目标；②培训内容；③培训计划安排；④人员安排；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该方案包含：①质量保证期限及质量保证的范围承诺；②生产厂商售后服务承诺；③售后服务保障措施；④售后人员配置安排计划；⑤故障处理响应时间。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详见附件：实施方案</w:t>
      </w:r>
    </w:p>
    <w:p>
      <w:pPr>
        <w:pStyle w:val="null3"/>
        <w:ind w:firstLine="960"/>
      </w:pPr>
      <w:r>
        <w:rPr/>
        <w:t>详见附件：培训方案</w:t>
      </w:r>
    </w:p>
    <w:p>
      <w:pPr>
        <w:pStyle w:val="null3"/>
        <w:ind w:firstLine="960"/>
      </w:pPr>
      <w:r>
        <w:rPr/>
        <w:t>详见附件：质量保证</w:t>
      </w:r>
    </w:p>
    <w:p>
      <w:pPr>
        <w:pStyle w:val="null3"/>
        <w:ind w:firstLine="960"/>
      </w:pPr>
      <w:r>
        <w:rPr/>
        <w:t>详见附件：售后服务</w:t>
      </w:r>
    </w:p>
    <w:p>
      <w:pPr>
        <w:pStyle w:val="null3"/>
        <w:ind w:firstLine="960"/>
      </w:pPr>
      <w:r>
        <w:rPr/>
        <w:t>详见附件：业绩一览表</w:t>
      </w:r>
    </w:p>
    <w:p>
      <w:pPr>
        <w:pStyle w:val="null3"/>
        <w:ind w:firstLine="960"/>
      </w:pPr>
      <w:r>
        <w:rPr/>
        <w:t>详见附件：产品技术参数表</w:t>
      </w:r>
    </w:p>
    <w:p>
      <w:pPr>
        <w:pStyle w:val="null3"/>
        <w:ind w:firstLine="960"/>
      </w:pPr>
      <w:r>
        <w:rPr/>
        <w:t>详见附件：供应商认为有必要说明的其他问题</w:t>
      </w:r>
    </w:p>
    <w:p>
      <w:pPr>
        <w:pStyle w:val="null3"/>
        <w:ind w:firstLine="960"/>
      </w:pPr>
      <w:r>
        <w:rPr/>
        <w:t>详见附件：供应商资格要求</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