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陕西省气象实时监测系统采购项目</w:t>
      </w:r>
    </w:p>
    <w:p>
      <w:pPr>
        <w:pStyle w:val="null3"/>
        <w:jc w:val="center"/>
        <w:outlineLvl w:val="2"/>
      </w:pPr>
      <w:r>
        <w:rPr>
          <w:sz w:val="28"/>
          <w:b/>
        </w:rPr>
        <w:t>采购项目编号：</w:t>
      </w:r>
      <w:r>
        <w:rPr>
          <w:sz w:val="28"/>
          <w:b/>
        </w:rPr>
        <w:t>ZXGJ-ZB14-2024-08</w:t>
      </w:r>
      <w:r>
        <w:br/>
      </w:r>
      <w:r>
        <w:br/>
      </w:r>
      <w:r>
        <w:br/>
      </w:r>
    </w:p>
    <w:p>
      <w:pPr>
        <w:pStyle w:val="null3"/>
        <w:jc w:val="center"/>
        <w:outlineLvl w:val="2"/>
      </w:pPr>
      <w:r>
        <w:rPr>
          <w:sz w:val="28"/>
          <w:b/>
        </w:rPr>
        <w:t>陕西省应急管理厅</w:t>
      </w:r>
    </w:p>
    <w:p>
      <w:pPr>
        <w:pStyle w:val="null3"/>
        <w:jc w:val="center"/>
        <w:outlineLvl w:val="2"/>
      </w:pPr>
      <w:r>
        <w:rPr>
          <w:sz w:val="28"/>
          <w:b/>
        </w:rPr>
        <w:t>中昕国际项目管理有限公司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中昕国际项目管理有限公司</w:t>
      </w:r>
      <w:r>
        <w:rPr/>
        <w:t>（以下简称“代理机构”）受</w:t>
      </w:r>
      <w:r>
        <w:rPr/>
        <w:t>陕西省应急管理厅</w:t>
      </w:r>
      <w:r>
        <w:rPr/>
        <w:t>委托，拟对</w:t>
      </w:r>
      <w:r>
        <w:rPr/>
        <w:t>陕西省气象实时监测系统采购项目</w:t>
      </w:r>
      <w:r>
        <w:rPr/>
        <w:t>采用竞争性磋商采购方式进行采购，兹邀请供应商参加本项目的竞争性磋商。</w:t>
      </w:r>
    </w:p>
    <w:p>
      <w:pPr>
        <w:pStyle w:val="null3"/>
        <w:outlineLvl w:val="2"/>
      </w:pPr>
      <w:r>
        <w:rPr>
          <w:sz w:val="28"/>
          <w:b/>
        </w:rPr>
        <w:t>一、项目编号：</w:t>
      </w:r>
      <w:r>
        <w:rPr>
          <w:sz w:val="28"/>
          <w:b/>
        </w:rPr>
        <w:t>ZXGJ-ZB14-2024-08</w:t>
      </w:r>
    </w:p>
    <w:p>
      <w:pPr>
        <w:pStyle w:val="null3"/>
        <w:outlineLvl w:val="2"/>
      </w:pPr>
      <w:r>
        <w:rPr>
          <w:sz w:val="28"/>
          <w:b/>
        </w:rPr>
        <w:t>二、项目名称：</w:t>
      </w:r>
      <w:r>
        <w:rPr>
          <w:sz w:val="28"/>
          <w:b/>
        </w:rPr>
        <w:t>陕西省气象实时监测系统采购项目</w:t>
      </w:r>
    </w:p>
    <w:p>
      <w:pPr>
        <w:pStyle w:val="null3"/>
        <w:outlineLvl w:val="2"/>
      </w:pPr>
      <w:r>
        <w:rPr>
          <w:sz w:val="28"/>
          <w:b/>
        </w:rPr>
        <w:t>三、磋商项目简介</w:t>
      </w:r>
    </w:p>
    <w:p>
      <w:pPr>
        <w:pStyle w:val="null3"/>
        <w:ind w:firstLine="480"/>
      </w:pPr>
      <w:r>
        <w:rPr/>
        <w:t>陕西省应急管理厅陕西省气象实时监测系统采购项目，包括系统开发、数据使用、系统运维等。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采购包1（陕西省气象实时监测系统采购项目）：属于专门面向中小企业采购。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陕西省应急管理厅</w:t>
      </w:r>
    </w:p>
    <w:p>
      <w:pPr>
        <w:pStyle w:val="null3"/>
      </w:pPr>
      <w:r>
        <w:rPr/>
        <w:t xml:space="preserve"> 地址： </w:t>
      </w:r>
      <w:r>
        <w:rPr/>
        <w:t>西安市未央区未央路208号</w:t>
      </w:r>
    </w:p>
    <w:p>
      <w:pPr>
        <w:pStyle w:val="null3"/>
      </w:pPr>
      <w:r>
        <w:rPr/>
        <w:t xml:space="preserve"> 邮编： </w:t>
      </w:r>
      <w:r>
        <w:rPr/>
        <w:t>/</w:t>
      </w:r>
    </w:p>
    <w:p>
      <w:pPr>
        <w:pStyle w:val="null3"/>
      </w:pPr>
      <w:r>
        <w:rPr/>
        <w:t xml:space="preserve"> 联系人： </w:t>
      </w:r>
      <w:r>
        <w:rPr/>
        <w:t>赵明华</w:t>
      </w:r>
    </w:p>
    <w:p>
      <w:pPr>
        <w:pStyle w:val="null3"/>
      </w:pPr>
      <w:r>
        <w:rPr/>
        <w:t xml:space="preserve"> 联系电话： </w:t>
      </w:r>
      <w:r>
        <w:rPr/>
        <w:t>029-61166037</w:t>
      </w:r>
    </w:p>
    <w:p>
      <w:pPr>
        <w:pStyle w:val="null3"/>
        <w:outlineLvl w:val="3"/>
      </w:pPr>
      <w:r>
        <w:rPr>
          <w:sz w:val="24"/>
          <w:b/>
        </w:rPr>
        <w:t>代理机构：</w:t>
      </w:r>
      <w:r>
        <w:rPr>
          <w:sz w:val="24"/>
          <w:b/>
        </w:rPr>
        <w:t>中昕国际项目管理有限公司</w:t>
      </w:r>
    </w:p>
    <w:p>
      <w:pPr>
        <w:pStyle w:val="null3"/>
      </w:pPr>
      <w:r>
        <w:rPr/>
        <w:t xml:space="preserve"> 地址： </w:t>
      </w:r>
      <w:r>
        <w:rPr/>
        <w:t>西安市未央区西安经济技术开发区凤城十二路首创禧悦里25幢A座16层</w:t>
      </w:r>
    </w:p>
    <w:p>
      <w:pPr>
        <w:pStyle w:val="null3"/>
      </w:pPr>
      <w:r>
        <w:rPr/>
        <w:t xml:space="preserve"> 邮编： </w:t>
      </w:r>
      <w:r>
        <w:rPr/>
        <w:t>/</w:t>
      </w:r>
    </w:p>
    <w:p>
      <w:pPr>
        <w:pStyle w:val="null3"/>
      </w:pPr>
      <w:r>
        <w:rPr/>
        <w:t xml:space="preserve"> 联系人： </w:t>
      </w:r>
      <w:r>
        <w:rPr/>
        <w:t>王超、同秀秀</w:t>
      </w:r>
    </w:p>
    <w:p>
      <w:pPr>
        <w:pStyle w:val="null3"/>
      </w:pPr>
      <w:r>
        <w:rPr/>
        <w:t xml:space="preserve"> 联系电话： </w:t>
      </w:r>
      <w:r>
        <w:rPr/>
        <w:t>029-81317379-606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依据，参照《国家计委关于印发招标代理服务收费管理暂行办法的通知》（计价格〔2002〕1980号）和国家发改委办公厅颁发的《关于招标代理服务收费有关问题的通知》（发改办价格〔2003〕857号）文件规定标准收取代理服务费不足捌仟元按捌仟元收取，以上费用由成交供应商支付。具体收费金额将在成交公告中公布。 请将采购代理服务费汇至下列指定账户： 开户名称：中昕国际项目管理有限公司 开户行：中国建设银行股份有限公司西安文景路支行 账号：61050178150000000278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陕西省应急管理厅</w:t>
      </w:r>
      <w:r>
        <w:rPr/>
        <w:t>和</w:t>
      </w:r>
      <w:r>
        <w:rPr/>
        <w:t>中昕国际项目管理有限公司</w:t>
      </w:r>
      <w:r>
        <w:rPr/>
        <w:t>享有。对磋商文件中供应商参加本次政府采购活动应当具备的条件，磋商项目技术、服务、商务及其他要求，评审细则及标准由</w:t>
      </w:r>
      <w:r>
        <w:rPr/>
        <w:t>陕西省应急管理厅</w:t>
      </w:r>
      <w:r>
        <w:rPr/>
        <w:t>负责解释。除上述磋商文件内容，其他内容由</w:t>
      </w:r>
      <w:r>
        <w:rPr/>
        <w:t>中昕国际项目管理有限公司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陕西省应急管理厅</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中昕国际项目管理有限公司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根据项目资料、数据成果等进行验收。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中昕国际项目管理有限公司</w:t>
      </w:r>
      <w:r>
        <w:rPr/>
        <w:t xml:space="preserve"> 负责答复；供应商对除采购需求外的采购文件的询问、质疑由</w:t>
      </w:r>
      <w:r>
        <w:rPr/>
        <w:t>中昕国际项目管理有限公司</w:t>
      </w:r>
      <w:r>
        <w:rPr/>
        <w:t xml:space="preserve"> 负责答复；供应商对采购过程、采购结果的询问、质疑由 </w:t>
      </w:r>
      <w:r>
        <w:rPr/>
        <w:t>中昕国际项目管理有限公司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联系人：王超、同秀秀</w:t>
      </w:r>
    </w:p>
    <w:p>
      <w:pPr>
        <w:pStyle w:val="null3"/>
      </w:pPr>
      <w:r>
        <w:rPr/>
        <w:t>联系电话：029-81317379-606</w:t>
      </w:r>
    </w:p>
    <w:p>
      <w:pPr>
        <w:pStyle w:val="null3"/>
      </w:pPr>
      <w:r>
        <w:rPr/>
        <w:t>地址：西安市未央区西安经济技术开发区凤城十二路首创禧悦里25幢A座16层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陕西省应急管理厅陕西省气象实时监测系统采购项目，包括系统开发、数据使用、系统运维等。 本项目所属行业为软件和信息技术服务业。</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陕西省气象实时监测系统</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标的名称：陕西省气象实时监测系统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陕西省应急管理厅陕西省气象实时监测系统采购项目，包括系统开发、数据使用、系统运维等。</w:t>
            </w:r>
          </w:p>
          <w:p>
            <w:pPr>
              <w:pStyle w:val="null3"/>
              <w:jc w:val="both"/>
            </w:pPr>
            <w:r>
              <w:rPr>
                <w:rFonts w:ascii="宋体" w:hAnsi="宋体" w:cs="宋体" w:eastAsia="宋体"/>
              </w:rPr>
              <w:t>本项目所属行业为软件和信息技术服务业。</w:t>
            </w:r>
          </w:p>
          <w:p>
            <w:pPr>
              <w:pStyle w:val="null3"/>
              <w:jc w:val="both"/>
            </w:pPr>
            <w:r>
              <w:rPr>
                <w:rFonts w:ascii="宋体" w:hAnsi="宋体" w:cs="宋体" w:eastAsia="宋体"/>
              </w:rPr>
              <w:t>二、服务内容</w:t>
            </w:r>
          </w:p>
          <w:p>
            <w:pPr>
              <w:pStyle w:val="null3"/>
              <w:jc w:val="both"/>
            </w:pPr>
            <w:r>
              <w:rPr>
                <w:rFonts w:ascii="calibri" w:hAnsi="calibri" w:cs="calibri" w:eastAsia="calibri"/>
              </w:rPr>
              <w:t>2</w:t>
            </w:r>
            <w:r>
              <w:rPr>
                <w:rFonts w:ascii="calibri" w:hAnsi="calibri" w:cs="calibri" w:eastAsia="calibri"/>
              </w:rPr>
              <w:t>.</w:t>
            </w:r>
            <w:r>
              <w:rPr>
                <w:rFonts w:ascii="calibri" w:hAnsi="calibri" w:cs="calibri" w:eastAsia="calibri"/>
              </w:rPr>
              <w:t xml:space="preserve">1 </w:t>
            </w:r>
            <w:r>
              <w:rPr>
                <w:rFonts w:ascii="宋体" w:hAnsi="宋体" w:cs="宋体" w:eastAsia="宋体"/>
              </w:rPr>
              <w:t>服务要求</w:t>
            </w:r>
          </w:p>
          <w:p>
            <w:pPr>
              <w:pStyle w:val="null3"/>
              <w:jc w:val="both"/>
            </w:pPr>
            <w:r>
              <w:rPr>
                <w:rFonts w:ascii="宋体" w:hAnsi="宋体" w:cs="宋体" w:eastAsia="宋体"/>
              </w:rPr>
              <w:t>省应急厅指挥中心和省防办在汛期短临雨情的快速查询、危险提示和预警方面不能满足当前的防汛灾情调度要求，无法及时快速掌握准确的雨情，为弥补指挥中心和省防办在此方面的不足，故拟采购包括雨情在内的多气象要素实时监测系统。</w:t>
            </w:r>
          </w:p>
          <w:p>
            <w:pPr>
              <w:pStyle w:val="null3"/>
              <w:jc w:val="both"/>
            </w:pPr>
            <w:r>
              <w:rPr>
                <w:rFonts w:ascii="宋体" w:hAnsi="宋体" w:cs="宋体" w:eastAsia="宋体"/>
              </w:rPr>
              <w:t>具体内容如下：</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w:t>
            </w:r>
            <w:r>
              <w:rPr>
                <w:rFonts w:ascii="宋体" w:hAnsi="宋体" w:cs="宋体" w:eastAsia="宋体"/>
              </w:rPr>
              <w:t>基于</w:t>
            </w:r>
            <w:r>
              <w:rPr>
                <w:rFonts w:ascii="宋体" w:hAnsi="宋体" w:cs="宋体" w:eastAsia="宋体"/>
              </w:rPr>
              <w:t>“云</w:t>
            </w:r>
            <w:r>
              <w:rPr>
                <w:rFonts w:ascii="calibri" w:hAnsi="calibri" w:cs="calibri" w:eastAsia="calibri"/>
              </w:rPr>
              <w:t>+</w:t>
            </w:r>
            <w:r>
              <w:rPr>
                <w:rFonts w:ascii="宋体" w:hAnsi="宋体" w:cs="宋体" w:eastAsia="宋体"/>
              </w:rPr>
              <w:t>端”架构，构建全省多源观测资料、强对流天气实况、危险天气报警、多级预警信号发布情况一体化短临监测平台，帮助值班人员快速锁定气象灾害危险区域，及时做出调度响应。</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w:t>
            </w:r>
            <w:r>
              <w:rPr>
                <w:rFonts w:ascii="宋体" w:hAnsi="宋体" w:cs="宋体" w:eastAsia="宋体"/>
              </w:rPr>
              <w:t>基于全省近</w:t>
            </w:r>
            <w:r>
              <w:rPr>
                <w:rFonts w:ascii="calibri" w:hAnsi="calibri" w:cs="calibri" w:eastAsia="calibri"/>
              </w:rPr>
              <w:t>2000</w:t>
            </w:r>
            <w:r>
              <w:rPr>
                <w:rFonts w:ascii="宋体" w:hAnsi="宋体" w:cs="宋体" w:eastAsia="宋体"/>
              </w:rPr>
              <w:t>个地面气象观测站，实现包括暴雨、大风、高低温、能见度在内的多要素气象灾害实时监测，监测频率从目前省厅使用的</w:t>
            </w:r>
            <w:r>
              <w:rPr>
                <w:rFonts w:ascii="calibri" w:hAnsi="calibri" w:cs="calibri" w:eastAsia="calibri"/>
              </w:rPr>
              <w:t>1</w:t>
            </w:r>
            <w:r>
              <w:rPr>
                <w:rFonts w:ascii="宋体" w:hAnsi="宋体" w:cs="宋体" w:eastAsia="宋体"/>
              </w:rPr>
              <w:t>小时提升为分钟级，可及时发现突发暴雨点，并精准定位至村镇级，同时也可展示近</w:t>
            </w:r>
            <w:r>
              <w:rPr>
                <w:rFonts w:ascii="calibri" w:hAnsi="calibri" w:cs="calibri" w:eastAsia="calibri"/>
              </w:rPr>
              <w:t>1</w:t>
            </w:r>
            <w:r>
              <w:rPr>
                <w:rFonts w:ascii="宋体" w:hAnsi="宋体" w:cs="宋体" w:eastAsia="宋体"/>
              </w:rPr>
              <w:t>小时、</w:t>
            </w:r>
            <w:r>
              <w:rPr>
                <w:rFonts w:ascii="calibri" w:hAnsi="calibri" w:cs="calibri" w:eastAsia="calibri"/>
              </w:rPr>
              <w:t>3</w:t>
            </w:r>
            <w:r>
              <w:rPr>
                <w:rFonts w:ascii="宋体" w:hAnsi="宋体" w:cs="宋体" w:eastAsia="宋体"/>
              </w:rPr>
              <w:t>小时实况观测数据，及时掌握累积雨量较大区域。监测内容包括降水、极大风、最高温、最低温、能见度等要素，可具体展示气象站点所在的县区，并可准确定位至村镇一级，各气象要素由高到低进行上下排列，并根据气象标准进行站数的统计。监测数据需要及时更新，并将未及时更新的气象要素数据标注，便于值班人员准确监视。</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w:t>
            </w:r>
            <w:r>
              <w:rPr>
                <w:rFonts w:ascii="宋体" w:hAnsi="宋体" w:cs="宋体" w:eastAsia="宋体"/>
              </w:rPr>
              <w:t>依据各类气象灾害预警标准，将达到标准的实时天气（短时强降水、雷暴、极大风、高温、低温、低能见度）列为危险天气，并基于海量的历史气象观测数据，对该观测数据进行历史极值排名，通过直观化高频滚动显示，为值班人员提供全方位调度决策支持。危险天气监测中可对各主要危险类别进行选择，决定页面展示危险天气的具体内容</w:t>
            </w:r>
            <w:r>
              <w:rPr>
                <w:rFonts w:ascii="宋体" w:hAnsi="宋体" w:cs="宋体" w:eastAsia="宋体"/>
              </w:rPr>
              <w:t>。</w:t>
            </w:r>
            <w:r>
              <w:rPr>
                <w:rFonts w:ascii="宋体" w:hAnsi="宋体" w:cs="宋体" w:eastAsia="宋体"/>
              </w:rPr>
              <w:t>危险天气提示内容中要包含精确到分钟的时间、村镇一级地点和具体的气象要素值，以及该气象要素的历史极值排名。</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w:t>
            </w:r>
            <w:r>
              <w:rPr>
                <w:rFonts w:ascii="宋体" w:hAnsi="宋体" w:cs="宋体" w:eastAsia="宋体"/>
              </w:rPr>
              <w:t>基于地理信息时空大数据和人工智能技术，将短临雨情监测数据、对流天气活动数据、多波段气象雷达拼图数据、省市县三级预警信号发布数据叠加，打破传统系统各类数据的应用隔离，可展示当前强对流和暴雨活动情况</w:t>
            </w:r>
            <w:r>
              <w:rPr>
                <w:rFonts w:ascii="宋体" w:hAnsi="宋体" w:cs="宋体" w:eastAsia="宋体"/>
              </w:rPr>
              <w:t>。</w:t>
            </w:r>
            <w:r>
              <w:rPr>
                <w:rFonts w:ascii="宋体" w:hAnsi="宋体" w:cs="宋体" w:eastAsia="宋体"/>
              </w:rPr>
              <w:t>基于深度学习技术，综合考虑雷达历史资料</w:t>
            </w:r>
            <w:r>
              <w:rPr>
                <w:rFonts w:ascii="宋体" w:hAnsi="宋体" w:cs="宋体" w:eastAsia="宋体"/>
              </w:rPr>
              <w:t>和</w:t>
            </w:r>
            <w:r>
              <w:rPr>
                <w:rFonts w:ascii="宋体" w:hAnsi="宋体" w:cs="宋体" w:eastAsia="宋体"/>
              </w:rPr>
              <w:t>天气学机理</w:t>
            </w:r>
            <w:r>
              <w:rPr>
                <w:rFonts w:ascii="宋体" w:hAnsi="宋体" w:cs="宋体" w:eastAsia="宋体"/>
              </w:rPr>
              <w:t>，</w:t>
            </w:r>
            <w:r>
              <w:rPr>
                <w:rFonts w:ascii="宋体" w:hAnsi="宋体" w:cs="宋体" w:eastAsia="宋体"/>
              </w:rPr>
              <w:t>以时间为序列的每隔</w:t>
            </w:r>
            <w:r>
              <w:rPr>
                <w:rFonts w:ascii="calibri" w:hAnsi="calibri" w:cs="calibri" w:eastAsia="calibri"/>
              </w:rPr>
              <w:t>6min</w:t>
            </w:r>
            <w:r>
              <w:rPr>
                <w:rFonts w:ascii="宋体" w:hAnsi="宋体" w:cs="宋体" w:eastAsia="宋体"/>
              </w:rPr>
              <w:t>更新的雷达组合反射率因子拼接图像为样本，进行雷达回波外推的训练和调整，构建适用于陕西地区的外推预报模型，根据该模型，快速生成约未来</w:t>
            </w:r>
            <w:r>
              <w:rPr>
                <w:rFonts w:ascii="calibri" w:hAnsi="calibri" w:cs="calibri" w:eastAsia="calibri"/>
              </w:rPr>
              <w:t>2</w:t>
            </w:r>
            <w:r>
              <w:rPr>
                <w:rFonts w:ascii="宋体" w:hAnsi="宋体" w:cs="宋体" w:eastAsia="宋体"/>
              </w:rPr>
              <w:t>个小时的</w:t>
            </w:r>
            <w:r>
              <w:rPr>
                <w:rFonts w:ascii="宋体" w:hAnsi="宋体" w:cs="宋体" w:eastAsia="宋体"/>
              </w:rPr>
              <w:t>多个时次的外推图像产品。确保指挥中心和省防办及时掌握全省各地发布的气象预警信息和天气变化情况。</w:t>
            </w:r>
          </w:p>
          <w:p>
            <w:pPr>
              <w:pStyle w:val="null3"/>
              <w:jc w:val="both"/>
            </w:pPr>
            <w:r>
              <w:rPr>
                <w:rFonts w:ascii="calibri" w:hAnsi="calibri" w:cs="calibri" w:eastAsia="calibri"/>
              </w:rPr>
              <w:t>2.2</w:t>
            </w:r>
            <w:r>
              <w:rPr>
                <w:rFonts w:ascii="宋体" w:hAnsi="宋体" w:cs="宋体" w:eastAsia="宋体"/>
              </w:rPr>
              <w:t>服务、产品（如有）执行的标准、规范：</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 xml:space="preserve">） 国家标准、规范  </w:t>
            </w:r>
            <w:r>
              <w:rPr>
                <w:rFonts w:ascii="calibri" w:hAnsi="calibri" w:cs="calibri" w:eastAsia="calibri"/>
              </w:rPr>
              <w:t xml:space="preserve">/  </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 xml:space="preserve">）行业标准、规范  </w:t>
            </w:r>
            <w:r>
              <w:rPr>
                <w:rFonts w:ascii="calibri" w:hAnsi="calibri" w:cs="calibri" w:eastAsia="calibri"/>
              </w:rPr>
              <w:t xml:space="preserve">/  </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 xml:space="preserve">）地方标准、规范  </w:t>
            </w:r>
            <w:r>
              <w:rPr>
                <w:rFonts w:ascii="calibri" w:hAnsi="calibri" w:cs="calibri" w:eastAsia="calibri"/>
              </w:rPr>
              <w:t xml:space="preserve">/  </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 xml:space="preserve">）团体标准、规范  </w:t>
            </w:r>
            <w:r>
              <w:rPr>
                <w:rFonts w:ascii="calibri" w:hAnsi="calibri" w:cs="calibri" w:eastAsia="calibri"/>
              </w:rPr>
              <w:t xml:space="preserve">/  </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 xml:space="preserve">）企业标准、规范  </w:t>
            </w:r>
            <w:r>
              <w:rPr>
                <w:rFonts w:ascii="calibri" w:hAnsi="calibri" w:cs="calibri" w:eastAsia="calibri"/>
              </w:rPr>
              <w:t xml:space="preserve">/  </w:t>
            </w:r>
            <w:r>
              <w:rPr>
                <w:rFonts w:ascii="宋体" w:hAnsi="宋体" w:cs="宋体" w:eastAsia="宋体"/>
              </w:rPr>
              <w:t>。</w:t>
            </w:r>
          </w:p>
          <w:p>
            <w:pPr>
              <w:pStyle w:val="null3"/>
              <w:jc w:val="both"/>
            </w:pPr>
            <w:r>
              <w:rPr>
                <w:rFonts w:ascii="calibri" w:hAnsi="calibri" w:cs="calibri" w:eastAsia="calibri"/>
              </w:rPr>
              <w:t>2.3</w:t>
            </w:r>
            <w:r>
              <w:rPr>
                <w:rFonts w:ascii="宋体" w:hAnsi="宋体" w:cs="宋体" w:eastAsia="宋体"/>
              </w:rPr>
              <w:t>本章</w:t>
            </w:r>
            <w:r>
              <w:rPr>
                <w:rFonts w:ascii="calibri" w:hAnsi="calibri" w:cs="calibri" w:eastAsia="calibri"/>
              </w:rPr>
              <w:t>2 .2</w:t>
            </w:r>
            <w:r>
              <w:rPr>
                <w:rFonts w:ascii="宋体" w:hAnsi="宋体" w:cs="宋体" w:eastAsia="宋体"/>
              </w:rPr>
              <w:t>条款未明确服务（产品）执行标准、规范的，按下列方法进行选择：</w:t>
            </w:r>
          </w:p>
          <w:p>
            <w:pPr>
              <w:pStyle w:val="null3"/>
              <w:jc w:val="both"/>
            </w:pPr>
            <w:r>
              <w:rPr>
                <w:rFonts w:ascii="宋体" w:hAnsi="宋体" w:cs="宋体" w:eastAsia="宋体"/>
              </w:rPr>
              <w:t>□  顺序执行： 国家标准→行业标准→地方标准→ 团体标准→企业标准（有国家标准按国家标准执行，没有国家标 准按行业标准，以此类推）；</w:t>
            </w:r>
          </w:p>
          <w:p>
            <w:pPr>
              <w:pStyle w:val="null3"/>
              <w:jc w:val="both"/>
            </w:pPr>
            <w:r>
              <w:rPr>
                <w:rFonts w:ascii="宋体" w:hAnsi="宋体" w:cs="宋体" w:eastAsia="宋体"/>
              </w:rPr>
              <w:t>□ 最高标准执行： 国家标准，行业标准，地方标准，团体标准，企业标准（</w:t>
            </w:r>
            <w:r>
              <w:rPr>
                <w:rFonts w:ascii="宋体" w:hAnsi="宋体" w:cs="宋体" w:eastAsia="宋体"/>
              </w:rPr>
              <w:t>哪</w:t>
            </w:r>
            <w:r>
              <w:rPr>
                <w:rFonts w:ascii="宋体" w:hAnsi="宋体" w:cs="宋体" w:eastAsia="宋体"/>
              </w:rPr>
              <w:t>个标准高执行</w:t>
            </w:r>
            <w:r>
              <w:rPr>
                <w:rFonts w:ascii="宋体" w:hAnsi="宋体" w:cs="宋体" w:eastAsia="宋体"/>
              </w:rPr>
              <w:t>哪</w:t>
            </w:r>
            <w:r>
              <w:rPr>
                <w:rFonts w:ascii="宋体" w:hAnsi="宋体" w:cs="宋体" w:eastAsia="宋体"/>
              </w:rPr>
              <w:t>个标准）</w:t>
            </w:r>
          </w:p>
          <w:p>
            <w:pPr>
              <w:pStyle w:val="null3"/>
              <w:jc w:val="both"/>
            </w:pPr>
            <w:r>
              <w:rPr>
                <w:rFonts w:ascii="宋体" w:hAnsi="宋体" w:cs="宋体" w:eastAsia="宋体"/>
                <w:sz w:val="21"/>
              </w:rPr>
              <w:t>√ 必须执行： 国家（行业）强制性标准。</w:t>
            </w:r>
          </w:p>
        </w:tc>
      </w:tr>
    </w:tbl>
    <w:p>
      <w:pPr>
        <w:pStyle w:val="null3"/>
        <w:outlineLvl w:val="2"/>
      </w:pPr>
      <w:r>
        <w:rPr>
          <w:sz w:val="28"/>
          <w:b/>
        </w:rPr>
        <w:t>3.2.3人员配置要求</w:t>
      </w:r>
    </w:p>
    <w:p>
      <w:pPr>
        <w:pStyle w:val="null3"/>
      </w:pPr>
      <w:r>
        <w:rPr/>
        <w:t>采购包1：</w:t>
      </w:r>
    </w:p>
    <w:p>
      <w:pPr>
        <w:pStyle w:val="null3"/>
      </w:pPr>
      <w:r>
        <w:rPr/>
        <w:t>根据采购内容配置相关人员。</w:t>
      </w:r>
    </w:p>
    <w:p>
      <w:pPr>
        <w:pStyle w:val="null3"/>
        <w:outlineLvl w:val="2"/>
      </w:pPr>
      <w:r>
        <w:rPr>
          <w:sz w:val="28"/>
          <w:b/>
        </w:rPr>
        <w:t>3.2.4设施设备要求</w:t>
      </w:r>
    </w:p>
    <w:p>
      <w:pPr>
        <w:pStyle w:val="null3"/>
      </w:pPr>
      <w:r>
        <w:rPr/>
        <w:t>采购包1：</w:t>
      </w:r>
    </w:p>
    <w:p>
      <w:pPr>
        <w:pStyle w:val="null3"/>
      </w:pPr>
      <w:r>
        <w:rPr/>
        <w:t>根据采购内容匹配相关设备。</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2025年2月25日前完成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根据项目资料、数据成果等进行验收。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项目完成且验收合格后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一、成交供应商在领取成交通知书时提供纸质版投标文件2套，应通过专用制作软件直接打印，确保与电子投标文件保持一致，不允许修改和补充。提交地点：西安市未央区西安经济技术开发区凤城十二路首创禧悦里25幢A座16层。 二、供应商的磋商报价是供应商响应磋商项目要求的全部工作内容的价格体现，包括供应商完成本项目所需的直接费、间接费、利润、税金及其它相关的一切费用。包括但不限于：包括人工费、设备费、安装调试费、运杂费（含保险）、技术培训费、检测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评审过程中，合格供应商少于3家时，采购人应依法重新组织采购活动。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（3）税收缴纳证明； （4）社会保障资金缴纳证明； （5）具备履行合同所必需的设备和专业技术能力的证明；（6）参加本次采购前3年内，在经营活动中没有重大违法记录的书面声明。注： 资格审查小组，由1名采购人代表和2名采购代理机构工作人员组成，采购代理机构项目经理担任资格审查小组组长。</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2022年度或2023年度经审计的财务会计报告或其提交响应文件截止时间前3个月内银行出具的资信证明。（以上形式的资料提供任何一种即可） 要求： （1）供应商是企业法人的，应提供2022或2023全年度经审计的供应商财务报告，包括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 （2）供应商是执行《小企业会计准则》的小微企业的，应提供2022或2023全年度经审计的财务报告，至少包括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《资产负债表》《利润表》《现金流量表》及其附注，或者提交响应文件截止时间前3个月内其基本账户开户银行出具的资信证明（附基本存款账户信息）。（以上形式的资料提供任何一种即可） （3）供应商成立不到1年（至提交响应文件截止时间）的，提供成立后任意时段的资产负债表，或提交响应文件截止时间前3个月内其基本账户开户银行出具的资信证明（附基本存款账户信息）以上复印件加盖供应商单位章。</w:t>
            </w:r>
          </w:p>
        </w:tc>
        <w:tc>
          <w:tcPr>
            <w:tcW w:type="dxa" w:w="1661"/>
          </w:tcPr>
          <w:p>
            <w:pPr>
              <w:pStyle w:val="null3"/>
            </w:pPr>
            <w:r>
              <w:rPr/>
              <w:t>资格证明部分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响应文件上法定代表人（单位负责人）或其委托代理人的签名齐全并加盖单位章。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应符合“响应文件格式”要求（不得因文件排序等非实质性的格式、形式问题限制和影响供应商响应)。</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1）不同供应商的响应文件由同一单位或者个人编制；（2）不同供应商委托同一单位或者个人办理磋商事宜；（3）不同供应商的响应文件载明的项目管理成员或者联系人员为同一人；（4）不同供应商的响应文件异常一致或者响应报价呈规律性差异；（5）不同供应商的响应文件相互混装。</w:t>
            </w:r>
          </w:p>
        </w:tc>
        <w:tc>
          <w:tcPr>
            <w:tcW w:type="dxa" w:w="1661"/>
          </w:tcPr>
          <w:p>
            <w:pPr>
              <w:pStyle w:val="null3"/>
            </w:pPr>
            <w:r>
              <w:rPr/>
              <w:t>商务技术部分 资格证明部分</w:t>
            </w:r>
          </w:p>
        </w:tc>
      </w:tr>
      <w:tr>
        <w:tc>
          <w:tcPr>
            <w:tcW w:type="dxa" w:w="831"/>
          </w:tcPr>
          <w:p>
            <w:pPr>
              <w:pStyle w:val="null3"/>
            </w:pPr>
            <w:r>
              <w:rPr/>
              <w:t>6</w:t>
            </w:r>
          </w:p>
        </w:tc>
        <w:tc>
          <w:tcPr>
            <w:tcW w:type="dxa" w:w="2492"/>
          </w:tcPr>
          <w:p>
            <w:pPr>
              <w:pStyle w:val="null3"/>
            </w:pPr>
            <w:r>
              <w:rPr/>
              <w:t>服务要求</w:t>
            </w:r>
          </w:p>
        </w:tc>
        <w:tc>
          <w:tcPr>
            <w:tcW w:type="dxa" w:w="3322"/>
          </w:tcPr>
          <w:p>
            <w:pPr>
              <w:pStyle w:val="null3"/>
            </w:pPr>
            <w:r>
              <w:rPr/>
              <w:t>应满足磋商文件提出服务要求。</w:t>
            </w:r>
          </w:p>
        </w:tc>
        <w:tc>
          <w:tcPr>
            <w:tcW w:type="dxa" w:w="1661"/>
          </w:tcPr>
          <w:p>
            <w:pPr>
              <w:pStyle w:val="null3"/>
            </w:pPr>
            <w:r>
              <w:rPr/>
              <w:t>商务技术部分</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对本项目的理解和软件整体架构设计思路</w:t>
            </w:r>
          </w:p>
        </w:tc>
        <w:tc>
          <w:tcPr>
            <w:tcW w:type="dxa" w:w="2492"/>
          </w:tcPr>
          <w:p>
            <w:pPr>
              <w:pStyle w:val="null3"/>
            </w:pPr>
            <w:r>
              <w:rPr/>
              <w:t>供应商对本项目服务目标、内容及要求理解透彻；提供针对监测系统内容的设计思路。对本项目服务目标、内容及要求理解透彻；设计理念超前、思路新颖清晰，软件框架的选择和应用部署框架设计合理，易于拓展，可行性和针对性强，得10分；对本项目服务目标、内容及要求理解较为明确；设计理念及思路基本清晰，软件框架的选择和应用部署框架设计较合理，可拓展，可行性和针对性较强，得8分；对本项目服务目标、内容及要求理解基本清晰；设计理念及思路常规，软件框架的选择和应用部署框架设计基本合理，不易拓展，有一定的可行性和针对性，得6分；对本项目服务目标、服务内容及要求理解欠缺；设计理念及思路内容简单笼统，软件框架的选择和应用部署框架设计有待优化，缺乏针对性，得3分；未提供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实施方案</w:t>
            </w:r>
          </w:p>
        </w:tc>
        <w:tc>
          <w:tcPr>
            <w:tcW w:type="dxa" w:w="2492"/>
          </w:tcPr>
          <w:p>
            <w:pPr>
              <w:pStyle w:val="null3"/>
            </w:pPr>
            <w:r>
              <w:rPr/>
              <w:t>针对系统软件功能展开描述，方案合理、完整、层次清楚，完全响应本项目服务要求，得10分；方案基本合理、完整，满足采购文件要求得8分；方案一般，内容有瑕疵，得6分；方案内容缺失，需要优化后才能满足项目需要，得3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保障方案</w:t>
            </w:r>
          </w:p>
        </w:tc>
        <w:tc>
          <w:tcPr>
            <w:tcW w:type="dxa" w:w="2492"/>
          </w:tcPr>
          <w:p>
            <w:pPr>
              <w:pStyle w:val="null3"/>
            </w:pPr>
            <w:r>
              <w:rPr/>
              <w:t>对故障诊断、故障恢复、维护管理等，有详细、可行的保障服务措施及方案。方案详尽，合理可行，逻辑清楚，针对性及可行性强，得8分；方案较完善，有一定的逻辑性、针对性、可行性，得6分；方案内容简单笼统，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安全方案及安全保障体系</w:t>
            </w:r>
          </w:p>
        </w:tc>
        <w:tc>
          <w:tcPr>
            <w:tcW w:type="dxa" w:w="2492"/>
          </w:tcPr>
          <w:p>
            <w:pPr>
              <w:pStyle w:val="null3"/>
            </w:pPr>
            <w:r>
              <w:rPr/>
              <w:t>供应商的软件系统开发运行、数据处理、信息管理等工作必须在现有安全体制下提出确保系统安全可靠的策略、措施和步骤。提供安全方案及安全保障体系（包括但不限于系统安全、信息安全、管理安全、数据安全等）。方案详尽，合理可行，安全保障体系健全，针对性强，得8分；方案较完善，安全保障体系基本健全，有一定针对性，得6分；方案内容及安全保障体系简单笼统，无针对性，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进度保障方案</w:t>
            </w:r>
          </w:p>
        </w:tc>
        <w:tc>
          <w:tcPr>
            <w:tcW w:type="dxa" w:w="2492"/>
          </w:tcPr>
          <w:p>
            <w:pPr>
              <w:pStyle w:val="null3"/>
            </w:pPr>
            <w:r>
              <w:rPr/>
              <w:t>提供具有针对性的进度保障方案，包含但不限于工作时间进度计划、工作程序和步骤等。方案详细完整、合理可行，进度调配得当，控制措施紧密有效，针对性强，得7分；方案不够详细、基本可行，控制措施有一定针对性，得5分；方案内容简单笼统，控制措施无针对性，得2分；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服务质量保证承诺</w:t>
            </w:r>
          </w:p>
        </w:tc>
        <w:tc>
          <w:tcPr>
            <w:tcW w:type="dxa" w:w="2492"/>
          </w:tcPr>
          <w:p>
            <w:pPr>
              <w:pStyle w:val="null3"/>
            </w:pPr>
            <w:r>
              <w:rPr/>
              <w:t>提供针对本项目的服务质量保证承诺（承诺内容包括：健全的质量控制体系、质量保证措施、质量控制目标的合理分解，并有质量目标无法实现时的认罚承诺）。承诺内容全面，合理可行，针对性强，得7分；承诺内容简单笼统，基本可行，有一定的针对性，得5分；承诺内容不全面，无针对性，得2分；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重点、难点分析与解决方案</w:t>
            </w:r>
          </w:p>
        </w:tc>
        <w:tc>
          <w:tcPr>
            <w:tcW w:type="dxa" w:w="2492"/>
          </w:tcPr>
          <w:p>
            <w:pPr>
              <w:pStyle w:val="null3"/>
            </w:pPr>
            <w:r>
              <w:rPr/>
              <w:t>提供对项目重点和难点的分析及解决措施。描述全面完整，重点及难点把握准确，分析到位，解决措施科学完善、切实可行，得6分；描述较全面，重点及难点把握基本准确，分析简单，解决措施合理可行，得4分；描述简单，重点及难点把握有偏差，分析欠缺，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应急方案</w:t>
            </w:r>
          </w:p>
        </w:tc>
        <w:tc>
          <w:tcPr>
            <w:tcW w:type="dxa" w:w="2492"/>
          </w:tcPr>
          <w:p>
            <w:pPr>
              <w:pStyle w:val="null3"/>
            </w:pPr>
            <w:r>
              <w:rPr/>
              <w:t>提供应急保障措施，对于软件开发过程及系统运行过程等可能发生的各类突发事件具有应急响应方案。方案详细完整，合理可行；保证措施针对性及可行性强，得6分；方案较详细，基本可行；保证措施有一定的针对性和可行性，得4分；方案内容简单笼统；保证措施空泛无针对性，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保密承诺</w:t>
            </w:r>
          </w:p>
        </w:tc>
        <w:tc>
          <w:tcPr>
            <w:tcW w:type="dxa" w:w="2492"/>
          </w:tcPr>
          <w:p>
            <w:pPr>
              <w:pStyle w:val="null3"/>
            </w:pPr>
            <w:r>
              <w:rPr/>
              <w:t>提供针对本项目的保密承诺，在履行合同期间或合同规定期限内，不得泄露本项目实施活动中获知的所有信息资料，如有泄露，应赔偿因泄密给对方造成的一切损失并承担相应的法律责任。保密承诺内容详细齐全，得6分；保密承诺内容基本齐全，得4分；保密承诺简单笼统，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合理化建议</w:t>
            </w:r>
          </w:p>
        </w:tc>
        <w:tc>
          <w:tcPr>
            <w:tcW w:type="dxa" w:w="2492"/>
          </w:tcPr>
          <w:p>
            <w:pPr>
              <w:pStyle w:val="null3"/>
            </w:pPr>
            <w:r>
              <w:rPr/>
              <w:t>针对本项目提供的合理化建议，分别从合理性、可行性、可实施性等方面进行综合比较，进行赋分。建议科学合理、可行性强，得6分；建议可行性一般，针对性一般，得4分；建议可行性差，无针对性，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人员配备</w:t>
            </w:r>
          </w:p>
        </w:tc>
        <w:tc>
          <w:tcPr>
            <w:tcW w:type="dxa" w:w="2492"/>
          </w:tcPr>
          <w:p>
            <w:pPr>
              <w:pStyle w:val="null3"/>
            </w:pPr>
            <w:r>
              <w:rPr/>
              <w:t>供应商提供针对本项目拟投入的工作人员配备的情况说明及经验能力证明材料。成立专门执行团队，人员结构与专业配置架构合理，职责明确。有专门的项目负责人，工作人员具备实施经验，且成员间分工明确、职责清晰、任务具体，得6分；有专门的项目负责人，工作人员基本具备实施经验，成员分工明确合理得4分；人员配备不合理，人员经验不足得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企业业绩</w:t>
            </w:r>
          </w:p>
        </w:tc>
        <w:tc>
          <w:tcPr>
            <w:tcW w:type="dxa" w:w="2492"/>
          </w:tcPr>
          <w:p>
            <w:pPr>
              <w:pStyle w:val="null3"/>
            </w:pPr>
            <w:r>
              <w:rPr/>
              <w:t>提供2021年1月1日至今（以合同签订日期为准）的类似项目业绩（以合同复印件为依据），每提供1个得2分，满分10分。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