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版本号：241205002</w:t>
      </w:r>
      <w:r>
        <w:br/>
      </w:r>
      <w:r>
        <w:br/>
      </w:r>
      <w:r>
        <w:br/>
      </w:r>
      <w:r>
        <w:br/>
      </w:r>
      <w:r>
        <w:br/>
      </w:r>
    </w:p>
    <w:p>
      <w:pPr>
        <w:pStyle w:val="null3"/>
        <w:jc w:val="center"/>
        <w:outlineLvl w:val="0"/>
      </w:pPr>
      <w:r>
        <w:rPr>
          <w:sz w:val="48"/>
          <w:b/>
        </w:rPr>
        <w:t>单一来源采购文件</w:t>
      </w:r>
      <w:r>
        <w:br/>
      </w:r>
      <w:r>
        <w:br/>
      </w:r>
      <w:r>
        <w:br/>
      </w:r>
    </w:p>
    <w:p>
      <w:pPr>
        <w:pStyle w:val="null3"/>
        <w:jc w:val="center"/>
        <w:outlineLvl w:val="5"/>
      </w:pPr>
      <w:r>
        <w:rPr>
          <w:sz w:val="15"/>
          <w:b/>
        </w:rPr>
        <w:t>（服务类）</w:t>
      </w:r>
      <w:r>
        <w:br/>
      </w:r>
      <w:r>
        <w:br/>
      </w:r>
      <w:r>
        <w:br/>
      </w:r>
      <w:r>
        <w:br/>
      </w:r>
      <w:r>
        <w:br/>
      </w:r>
      <w:r>
        <w:br/>
      </w:r>
      <w:r>
        <w:br/>
      </w:r>
      <w:r>
        <w:br/>
      </w:r>
      <w:r>
        <w:br/>
      </w:r>
      <w:r>
        <w:br/>
      </w:r>
      <w:r>
        <w:br/>
      </w:r>
    </w:p>
    <w:p>
      <w:pPr>
        <w:pStyle w:val="null3"/>
        <w:jc w:val="center"/>
        <w:outlineLvl w:val="5"/>
      </w:pPr>
      <w:r>
        <w:rPr>
          <w:sz w:val="15"/>
          <w:b/>
        </w:rPr>
        <w:t>采购项目名称：</w:t>
      </w:r>
      <w:r>
        <w:rPr>
          <w:sz w:val="15"/>
          <w:b/>
        </w:rPr>
        <w:t>2023年度法院技术性研发运维项目</w:t>
      </w:r>
    </w:p>
    <w:p>
      <w:pPr>
        <w:pStyle w:val="null3"/>
        <w:jc w:val="center"/>
        <w:outlineLvl w:val="5"/>
      </w:pPr>
      <w:r>
        <w:rPr>
          <w:sz w:val="15"/>
          <w:b/>
        </w:rPr>
        <w:t xml:space="preserve">采购项目编号: </w:t>
      </w:r>
      <w:r>
        <w:rPr>
          <w:sz w:val="15"/>
          <w:b/>
        </w:rPr>
        <w:t>LZBA2024-1589</w:t>
      </w:r>
      <w:r>
        <w:br/>
      </w:r>
      <w:r>
        <w:br/>
      </w:r>
      <w:r>
        <w:br/>
      </w:r>
    </w:p>
    <w:p>
      <w:pPr>
        <w:pStyle w:val="null3"/>
        <w:jc w:val="center"/>
        <w:outlineLvl w:val="5"/>
      </w:pPr>
      <w:r>
        <w:rPr>
          <w:sz w:val="15"/>
          <w:b/>
        </w:rPr>
        <w:t>省高级人民法院</w:t>
      </w:r>
    </w:p>
    <w:p>
      <w:pPr>
        <w:pStyle w:val="null3"/>
        <w:jc w:val="center"/>
        <w:outlineLvl w:val="5"/>
      </w:pPr>
      <w:r>
        <w:rPr>
          <w:sz w:val="15"/>
          <w:b/>
        </w:rPr>
        <w:t>龙寰项目管理咨询有限公司</w:t>
      </w:r>
      <w:r>
        <w:rPr>
          <w:sz w:val="15"/>
          <w:b/>
        </w:rPr>
        <w:t>共同编制</w:t>
      </w:r>
    </w:p>
    <w:p>
      <w:pPr>
        <w:pStyle w:val="null3"/>
        <w:jc w:val="center"/>
        <w:outlineLvl w:val="5"/>
      </w:pPr>
      <w:r>
        <w:rPr>
          <w:sz w:val="15"/>
          <w:b/>
        </w:rPr>
        <w:t>2024年12月05日</w:t>
      </w:r>
    </w:p>
    <w:p>
      <w:pPr>
        <w:pStyle w:val="null3"/>
      </w:pPr>
      <w:r>
        <w:rPr/>
        <w:t xml:space="preserve"> </w:t>
        <w:br/>
        <w:br w:type="page"/>
      </w:r>
    </w:p>
    <w:p>
      <w:pPr>
        <w:pStyle w:val="null3"/>
        <w:jc w:val="center"/>
        <w:outlineLvl w:val="1"/>
      </w:pPr>
      <w:r>
        <w:rPr>
          <w:sz w:val="36"/>
          <w:b/>
        </w:rPr>
        <w:t>第一章 协商邀请</w:t>
      </w:r>
    </w:p>
    <w:p>
      <w:pPr>
        <w:pStyle w:val="null3"/>
        <w:outlineLvl w:val="2"/>
      </w:pPr>
      <w:r>
        <w:rPr>
          <w:sz w:val="28"/>
          <w:b/>
        </w:rPr>
        <w:t>单一来源受邀供应商：</w:t>
      </w:r>
    </w:p>
    <w:p>
      <w:pPr>
        <w:pStyle w:val="null3"/>
        <w:ind w:firstLine="480"/>
      </w:pPr>
      <w:r>
        <w:rPr/>
        <w:t>龙寰项目管理咨询有限公司</w:t>
      </w:r>
      <w:r>
        <w:rPr/>
        <w:t>（以下简称“代理机构”）受</w:t>
      </w:r>
      <w:r>
        <w:rPr/>
        <w:t>省高级人民法院</w:t>
      </w:r>
      <w:r>
        <w:rPr/>
        <w:t>委托，拟对</w:t>
      </w:r>
      <w:r>
        <w:rPr/>
        <w:t>2023年度法院技术性研发运维项目</w:t>
      </w:r>
      <w:r>
        <w:rPr/>
        <w:t>采用单一来源方式进行采购，现邀请贵公司参加该项目的协商。</w:t>
      </w:r>
    </w:p>
    <w:p>
      <w:pPr>
        <w:pStyle w:val="null3"/>
        <w:outlineLvl w:val="2"/>
      </w:pPr>
      <w:r>
        <w:rPr>
          <w:sz w:val="28"/>
          <w:b/>
        </w:rPr>
        <w:t xml:space="preserve"> 一、采购项目编号：</w:t>
      </w:r>
      <w:r>
        <w:rPr>
          <w:sz w:val="28"/>
          <w:b/>
        </w:rPr>
        <w:t>LZBA2024-1589</w:t>
      </w:r>
    </w:p>
    <w:p>
      <w:pPr>
        <w:pStyle w:val="null3"/>
        <w:outlineLvl w:val="2"/>
      </w:pPr>
      <w:r>
        <w:rPr>
          <w:sz w:val="28"/>
          <w:b/>
        </w:rPr>
        <w:t xml:space="preserve"> 二、采购项目名称：</w:t>
      </w:r>
      <w:r>
        <w:rPr>
          <w:sz w:val="28"/>
          <w:b/>
        </w:rPr>
        <w:t>2023年度法院技术性研发运维项目</w:t>
      </w:r>
    </w:p>
    <w:p>
      <w:pPr>
        <w:pStyle w:val="null3"/>
        <w:outlineLvl w:val="2"/>
      </w:pPr>
      <w:r>
        <w:rPr>
          <w:sz w:val="28"/>
          <w:b/>
        </w:rPr>
        <w:t>三、协商项目简介：</w:t>
      </w:r>
    </w:p>
    <w:p>
      <w:pPr>
        <w:pStyle w:val="null3"/>
        <w:ind w:firstLine="480"/>
      </w:pPr>
      <w:r>
        <w:rPr/>
        <w:t>2023年度法院技术性研发运维项目</w:t>
      </w:r>
    </w:p>
    <w:p>
      <w:pPr>
        <w:pStyle w:val="null3"/>
        <w:outlineLvl w:val="2"/>
      </w:pPr>
      <w:r>
        <w:rPr>
          <w:sz w:val="28"/>
          <w:b/>
        </w:rPr>
        <w:t xml:space="preserve"> 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采购包1（2023年度法院技术性研发运维项目）：属于专门面向中小企业采购。</w:t>
      </w:r>
    </w:p>
    <w:p>
      <w:pPr>
        <w:pStyle w:val="null3"/>
        <w:ind w:firstLine="480"/>
      </w:pPr>
      <w:r>
        <w:rPr/>
        <w:t>（三）本项目的特定资格要求：</w:t>
      </w:r>
    </w:p>
    <w:p>
      <w:pPr>
        <w:pStyle w:val="null3"/>
      </w:pPr>
      <w:r>
        <w:rPr/>
        <w:t>采购包1：</w:t>
      </w:r>
    </w:p>
    <w:p>
      <w:pPr>
        <w:pStyle w:val="null3"/>
      </w:pPr>
      <w:r>
        <w:rPr/>
        <w:t>1、具有独立承担民事责任能力的法人 、其他组织或自然人：具有独立承担民事责任能力的法人、其他组织或自然人：法人或者其他组织提供营业执照等证明文件，自然人提供身份证件，供应商需在项目电子化交易系统中按要求上传相应证明文件</w:t>
      </w:r>
    </w:p>
    <w:p>
      <w:pPr>
        <w:pStyle w:val="null3"/>
      </w:pPr>
      <w:r>
        <w:rPr/>
        <w:t>2、财务状况报告：财务状况报告：供应商近年（2023年）经审计的财务报告（事业法人可提供部门决算报告）或基本开户银行出具的 资信证明或政府采购专业担保机构出具的投标担保函，供应商需在项目电子化交易系统中按要求上传相应证明文件</w:t>
      </w:r>
    </w:p>
    <w:p>
      <w:pPr>
        <w:pStyle w:val="null3"/>
      </w:pPr>
      <w:r>
        <w:rPr/>
        <w:t>3、税收缴纳凭证及社会保险缴纳的凭证：税收缴纳凭证及社会保险缴纳的凭证：供应商在本项目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p>
      <w:pPr>
        <w:pStyle w:val="null3"/>
      </w:pPr>
      <w:r>
        <w:rPr/>
        <w:t>4、书面声明：参加政府采购活动前3年内在经营活动中没有重大违法记录的书面声明；其中：重大违法记录是指供应商因违法经营受到刑事处罚或者责令停产停业、吊销许可证或者执照、较大数额罚款等行政处罚：参加政府采购活动前3年内在经营活动中没有重大违法记录的书面声明；其中：重大违法记录是指供应商因违法经营受到刑事处罚或者责令停产停业、吊销许可证或者执照、较大数额罚款等行政处罚</w:t>
      </w:r>
    </w:p>
    <w:p>
      <w:pPr>
        <w:pStyle w:val="null3"/>
      </w:pPr>
      <w:r>
        <w:rPr/>
        <w:t>5、具有履行合同所必需的设备和专业技术能力的承诺函：具有履行合同所必需的设备和专业技术能力书面声明函，供应商需在项目电子化交易系统中按要求上传相应证明文件并进行电子签章。</w:t>
      </w:r>
    </w:p>
    <w:p>
      <w:pPr>
        <w:pStyle w:val="null3"/>
      </w:pPr>
      <w:r>
        <w:rPr/>
        <w:t>6、本项目专门面向中小企业采购（残疾人福利性单位、监狱企业视同小型、微型企业）：本项目专门面向中小企业采购（残疾人福利性单位、监狱企业视同小型、微型企业），供应商需提供《中小企业声明函》（监狱企业的证明文件或《残疾人福利性单位声明函》）。</w:t>
      </w:r>
    </w:p>
    <w:p>
      <w:pPr>
        <w:pStyle w:val="null3"/>
      </w:pPr>
      <w:r>
        <w:rPr/>
        <w:t>7、供应商不得为“信用中国” 网站（www.creditchina.gov.cn ）中列入失信被执行人和重大税收违法失信主体的供应商，不得为中国政府采购网（www.ccgp.gov.cn ）政府采购严重违法失信行为记录名单中被财政部门禁止参加政府采购活动的供应商：采购人或采购代理机构在开标当日通过“信用中国” 网站(www. creditchina. gov.cn)、中国政府采购网 (www.ccgp.gov.cn)查询相关主体信用记录网页截图保存</w:t>
      </w:r>
    </w:p>
    <w:p>
      <w:pPr>
        <w:pStyle w:val="null3"/>
        <w:ind w:firstLine="480"/>
        <w:jc w:val="left"/>
      </w:pPr>
      <w:r>
        <w:rPr/>
        <w:br/>
        <w:t xml:space="preserve"> 说明：邀请参加该项目协商的供应商为采购人资格审查合格的供应商。</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 xml:space="preserve"> 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t xml:space="preserve"> 注：获取的单一来源采购文件主体格式包括pdf、word两种格式版本，其中以pdf格式为准。</w:t>
      </w:r>
    </w:p>
    <w:p>
      <w:pPr>
        <w:pStyle w:val="null3"/>
        <w:outlineLvl w:val="2"/>
      </w:pPr>
      <w:r>
        <w:rPr>
          <w:sz w:val="28"/>
          <w:b/>
        </w:rPr>
        <w:t>七、 响应文件提交截止时间及开启时间、方式、地点</w:t>
      </w:r>
    </w:p>
    <w:p>
      <w:pPr>
        <w:pStyle w:val="null3"/>
        <w:ind w:firstLine="480"/>
      </w:pPr>
      <w:r>
        <w:rPr/>
        <w:t xml:space="preserve"> （一）响应文件提交截止时间及开启时间：详见邀请书。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 xml:space="preserve"> （三）本项目采取网上开标，即采购人或代理机构通过项目电子化交易系统“开标/开启大厅”组织在线开启。</w:t>
      </w:r>
    </w:p>
    <w:p>
      <w:pPr>
        <w:pStyle w:val="null3"/>
        <w:outlineLvl w:val="2"/>
      </w:pPr>
      <w:r>
        <w:rPr>
          <w:sz w:val="28"/>
          <w:b/>
        </w:rPr>
        <w:t xml:space="preserve"> 八、本次协商邀请由代理机构通过项目电子化交易系统发送邀请书和单一来源采购文件。</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省高级人民法院</w:t>
      </w:r>
    </w:p>
    <w:p>
      <w:pPr>
        <w:pStyle w:val="null3"/>
      </w:pPr>
      <w:r>
        <w:rPr/>
        <w:t xml:space="preserve"> 地址： </w:t>
      </w:r>
      <w:r>
        <w:rPr/>
        <w:t>西安市曲江新区雁南五路80号</w:t>
      </w:r>
    </w:p>
    <w:p>
      <w:pPr>
        <w:pStyle w:val="null3"/>
      </w:pPr>
      <w:r>
        <w:rPr/>
        <w:t xml:space="preserve"> 邮编： </w:t>
      </w:r>
      <w:r>
        <w:rPr/>
        <w:t>/</w:t>
      </w:r>
    </w:p>
    <w:p>
      <w:pPr>
        <w:pStyle w:val="null3"/>
      </w:pPr>
      <w:r>
        <w:rPr/>
        <w:t xml:space="preserve"> 联系人： </w:t>
      </w:r>
      <w:r>
        <w:rPr/>
        <w:t>贺老师</w:t>
      </w:r>
    </w:p>
    <w:p>
      <w:pPr>
        <w:pStyle w:val="null3"/>
      </w:pPr>
      <w:r>
        <w:rPr/>
        <w:t xml:space="preserve"> 联系电话： </w:t>
      </w:r>
      <w:r>
        <w:rPr/>
        <w:t>029-85558216</w:t>
      </w:r>
    </w:p>
    <w:p>
      <w:pPr>
        <w:pStyle w:val="null3"/>
        <w:outlineLvl w:val="2"/>
      </w:pPr>
      <w:r>
        <w:rPr>
          <w:sz w:val="28"/>
          <w:b/>
        </w:rPr>
        <w:t xml:space="preserve"> 代理机构：</w:t>
      </w:r>
      <w:r>
        <w:rPr>
          <w:sz w:val="28"/>
          <w:b/>
        </w:rPr>
        <w:t>龙寰项目管理咨询有限公司</w:t>
      </w:r>
    </w:p>
    <w:p>
      <w:pPr>
        <w:pStyle w:val="null3"/>
      </w:pPr>
      <w:r>
        <w:rPr/>
        <w:t xml:space="preserve"> 地址： </w:t>
      </w:r>
      <w:r>
        <w:rPr/>
        <w:t>西安市太白南路181号西部电子社区A座A区501室</w:t>
      </w:r>
    </w:p>
    <w:p>
      <w:pPr>
        <w:pStyle w:val="null3"/>
      </w:pPr>
      <w:r>
        <w:rPr/>
        <w:t xml:space="preserve"> 邮编： </w:t>
      </w:r>
      <w:r>
        <w:rPr/>
        <w:t>710065</w:t>
      </w:r>
    </w:p>
    <w:p>
      <w:pPr>
        <w:pStyle w:val="null3"/>
      </w:pPr>
      <w:r>
        <w:rPr/>
        <w:t xml:space="preserve"> 联系人： </w:t>
      </w:r>
      <w:r>
        <w:rPr/>
        <w:t>郝嘉钰、孙艳、刘婧、张波</w:t>
      </w:r>
    </w:p>
    <w:p>
      <w:pPr>
        <w:pStyle w:val="null3"/>
      </w:pPr>
      <w:r>
        <w:rPr/>
        <w:t xml:space="preserve"> 联系电话： </w:t>
      </w:r>
      <w:r>
        <w:rPr/>
        <w:t xml:space="preserve"> 029-88228899-613</w:t>
      </w:r>
    </w:p>
    <w:p>
      <w:pPr>
        <w:pStyle w:val="null3"/>
        <w:outlineLvl w:val="2"/>
      </w:pPr>
      <w:r>
        <w:rPr>
          <w:sz w:val="28"/>
          <w:b/>
        </w:rPr>
        <w:t xml:space="preserve"> 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本项目各包最高限价详见第三章</w:t>
            </w:r>
          </w:p>
          <w:p>
            <w:pPr>
              <w:pStyle w:val="null3"/>
            </w:pPr>
            <w:r>
              <w:rPr/>
              <w:t>采购包1：1,219,119.00元</w:t>
            </w:r>
            <w:r>
              <w:rPr/>
              <w:t xml:space="preserve"> 供应商的包件报价高于最高限价的，其响应文件将按无效处理。</w:t>
            </w:r>
          </w:p>
        </w:tc>
      </w:tr>
      <w:tr>
        <w:tc>
          <w:tcPr>
            <w:tcW w:type="dxa" w:w="1051"/>
          </w:tcPr>
          <w:p>
            <w:pPr>
              <w:pStyle w:val="null3"/>
            </w:pPr>
            <w:r>
              <w:rPr/>
              <w:t>2</w:t>
            </w:r>
          </w:p>
        </w:tc>
        <w:tc>
          <w:tcPr>
            <w:tcW w:type="dxa" w:w="2252"/>
          </w:tcPr>
          <w:p>
            <w:pPr>
              <w:pStyle w:val="null3"/>
            </w:pPr>
            <w:r>
              <w:rPr/>
              <w:t>最高限价 （实质性要求）</w:t>
            </w:r>
          </w:p>
        </w:tc>
        <w:tc>
          <w:tcPr>
            <w:tcW w:type="dxa" w:w="5004"/>
          </w:tcPr>
          <w:p>
            <w:pPr>
              <w:pStyle w:val="null3"/>
            </w:pPr>
            <w:r>
              <w:rPr/>
              <w:t>本项目各包最高限价如下：</w:t>
            </w:r>
          </w:p>
          <w:p>
            <w:pPr>
              <w:pStyle w:val="null3"/>
            </w:pPr>
            <w:r>
              <w:rPr/>
              <w:t>采购包1：1,219,119.00元</w:t>
            </w:r>
            <w:r>
              <w:rPr/>
              <w:t xml:space="preserve"> 供应商的包件报价高于最高限价的，其采购文件将按无效处理。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缴交方式：否</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采购包1：不缴纳</w:t>
            </w:r>
          </w:p>
        </w:tc>
      </w:tr>
      <w:tr>
        <w:tc>
          <w:tcPr>
            <w:tcW w:type="dxa" w:w="1051"/>
          </w:tcPr>
          <w:p>
            <w:pPr>
              <w:pStyle w:val="null3"/>
            </w:pPr>
            <w:r>
              <w:rPr/>
              <w:t>7</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8</w:t>
            </w:r>
          </w:p>
        </w:tc>
        <w:tc>
          <w:tcPr>
            <w:tcW w:type="dxa" w:w="2252"/>
          </w:tcPr>
          <w:p>
            <w:pPr>
              <w:pStyle w:val="null3"/>
            </w:pPr>
            <w:r>
              <w:rPr/>
              <w:t>落实节能、环保产品政策</w:t>
            </w:r>
          </w:p>
        </w:tc>
        <w:tc>
          <w:tcPr>
            <w:tcW w:type="dxa" w:w="5004"/>
          </w:tcPr>
          <w:p>
            <w:pPr>
              <w:pStyle w:val="null3"/>
            </w:pPr>
            <w:r>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采购代理服务费参照《国家计委关于印发&lt;招标代理服务收费管理暂行办法&gt;的通知》（计价格[2002]1980号）和国家发展和改革委员会办公厅颁发的《关于招标代理服务收费有关问题的通知》（发改办价格[2003]857号）规定按标准计取。 服务费缴纳帐号如下： 收款单位：龙寰项目管理咨询有限公司 开 户 行：平安银行西安高新路支行 账 号：30201278015556</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省高级人民法院</w:t>
      </w:r>
      <w:r>
        <w:rPr/>
        <w:t>和</w:t>
      </w:r>
      <w:r>
        <w:rPr/>
        <w:t>龙寰项目管理咨询有限公司</w:t>
      </w:r>
      <w:r>
        <w:rPr/>
        <w:t>享有。对采购文件中供应商参加本次政府采购活动应当具备的条件、项目技术、服务、商务及其他要求，评审标准由采购人负责解释。除前述采购文件内容，其他内容由</w:t>
      </w:r>
      <w:r>
        <w:rPr/>
        <w:t>龙寰项目管理咨询有限公司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一、“采购人”是指依法进行政府采购的各级国家机关、事业单位、团体组织。本次协商的采购人是</w:t>
      </w:r>
      <w:r>
        <w:rPr/>
        <w:t>省高级人民法院</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龙寰项目管理咨询有限公司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sz w:val="28"/>
          <w:b/>
        </w:rPr>
        <w:t>2.3采购文件</w:t>
      </w:r>
    </w:p>
    <w:p>
      <w:pPr>
        <w:pStyle w:val="null3"/>
        <w:outlineLvl w:val="3"/>
      </w:pPr>
      <w:r>
        <w:rPr>
          <w:sz w:val="24"/>
          <w:b/>
        </w:rPr>
        <w:t>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（四）协商办法</w:t>
      </w:r>
    </w:p>
    <w:p>
      <w:pPr>
        <w:pStyle w:val="null3"/>
        <w:ind w:firstLine="480"/>
      </w:pPr>
      <w:r>
        <w:rPr/>
        <w:t>（五）响应文件格式</w:t>
      </w:r>
    </w:p>
    <w:p>
      <w:pPr>
        <w:pStyle w:val="null3"/>
        <w:ind w:firstLine="480"/>
      </w:pPr>
      <w:r>
        <w:rPr/>
        <w:t>（六）拟签订采购的合同文本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sz w:val="24"/>
          <w:b/>
        </w:rPr>
        <w:t>2.3.2采购文件的澄清和修改</w:t>
      </w:r>
    </w:p>
    <w:p>
      <w:pPr>
        <w:pStyle w:val="null3"/>
        <w:ind w:firstLine="480"/>
      </w:pPr>
      <w:r>
        <w:rPr/>
        <w:t xml:space="preserve"> 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除采购文件中另有规定外，本项目均采用国家法定的计量单位。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三、若采用成交供应商所不拥有的知识产权，则在响应报价中必须包括合法使用该知识产权的相关费用。</w:t>
      </w:r>
    </w:p>
    <w:p>
      <w:pPr>
        <w:pStyle w:val="null3"/>
        <w:outlineLvl w:val="3"/>
      </w:pPr>
      <w:r>
        <w:rPr>
          <w:sz w:val="24"/>
          <w:b/>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sz w:val="24"/>
          <w:b/>
        </w:rPr>
        <w:t>2.4.6响应文件格式</w:t>
      </w:r>
    </w:p>
    <w:p>
      <w:pPr>
        <w:pStyle w:val="null3"/>
        <w:ind w:firstLine="480"/>
      </w:pPr>
      <w:r>
        <w:rPr/>
        <w:t xml:space="preserve"> 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sz w:val="24"/>
          <w:b/>
        </w:rPr>
        <w:t xml:space="preserve"> 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一、响应文件应当根据采购文件进行编制。供应商应通过陕西省政府采购网-办事指南-CA及签章服务下载投标(响应)客户端，使用客户端编制响应文件。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sz w:val="24"/>
          <w:b/>
        </w:rPr>
        <w:t>2.4.10响应文件的提交</w:t>
      </w:r>
    </w:p>
    <w:p>
      <w:pPr>
        <w:pStyle w:val="null3"/>
        <w:ind w:firstLine="480"/>
      </w:pPr>
      <w:r>
        <w:rPr/>
        <w:t xml:space="preserve"> 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sz w:val="24"/>
          <w:b/>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2.5.开启、资格审查、协商和成交</w:t>
      </w:r>
    </w:p>
    <w:p>
      <w:pPr>
        <w:pStyle w:val="null3"/>
        <w:outlineLvl w:val="3"/>
      </w:pPr>
      <w:r>
        <w:rPr>
          <w:sz w:val="24"/>
          <w:b/>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 xml:space="preserve"> 供应商完成响应文件解密后，自主决定是否参加网上在线开启，未参加的，视同认可开启结果。</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详见单一来源采购文件第四章。</w:t>
      </w:r>
    </w:p>
    <w:p>
      <w:pPr>
        <w:pStyle w:val="null3"/>
        <w:outlineLvl w:val="3"/>
      </w:pPr>
      <w:r>
        <w:rPr>
          <w:sz w:val="24"/>
          <w:b/>
        </w:rPr>
        <w:t>2.5.4协商</w:t>
      </w:r>
    </w:p>
    <w:p>
      <w:pPr>
        <w:pStyle w:val="null3"/>
        <w:ind w:firstLine="480"/>
      </w:pPr>
      <w:r>
        <w:rPr/>
        <w:t>详见单一来源采购文件第五章。</w:t>
      </w:r>
    </w:p>
    <w:p>
      <w:pPr>
        <w:pStyle w:val="null3"/>
        <w:outlineLvl w:val="3"/>
      </w:pPr>
      <w:r>
        <w:rPr>
          <w:sz w:val="24"/>
          <w:b/>
        </w:rPr>
        <w:t>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二、采购人和成交供应商签订的采购合同不得对采购文件确定的事项以及成交供应商的响应文件作实质性修改。</w:t>
      </w:r>
    </w:p>
    <w:p>
      <w:pPr>
        <w:pStyle w:val="null3"/>
        <w:outlineLvl w:val="3"/>
      </w:pPr>
      <w:r>
        <w:rPr>
          <w:sz w:val="24"/>
          <w:b/>
        </w:rPr>
        <w:t xml:space="preserve"> 2.6.2合同分包和转包（实质性要求）</w:t>
      </w:r>
    </w:p>
    <w:p>
      <w:pPr>
        <w:pStyle w:val="null3"/>
        <w:outlineLvl w:val="3"/>
      </w:pPr>
      <w:r>
        <w:rPr>
          <w:sz w:val="24"/>
          <w:b/>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sz w:val="24"/>
          <w:b/>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t>采购包1：不允许合同分包。</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详见合同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 xml:space="preserve"> 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 xml:space="preserve"> 九、拒绝有关部门的监督检查或者向监督检查部门提供虚假情况；</w:t>
      </w:r>
    </w:p>
    <w:p>
      <w:pPr>
        <w:pStyle w:val="null3"/>
        <w:ind w:firstLine="480"/>
      </w:pPr>
      <w:r>
        <w:rPr/>
        <w:t>十、法律法规规定的其他禁止情形。</w:t>
      </w:r>
    </w:p>
    <w:p>
      <w:pPr>
        <w:pStyle w:val="null3"/>
        <w:ind w:firstLine="480"/>
      </w:pPr>
      <w:r>
        <w:rPr/>
        <w:t xml:space="preserve"> 供应商有上述情形的，按照规定追究法律责任，具备一至十条情形之一的，其响应文件无效。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龙寰项目管理咨询有限公司</w:t>
      </w:r>
      <w:r>
        <w:rPr/>
        <w:t xml:space="preserve"> 负责答复；供应商对除采购需求外的采购文件的询问、质疑由</w:t>
      </w:r>
      <w:r>
        <w:rPr/>
        <w:t>龙寰项目管理咨询有限公司</w:t>
      </w:r>
      <w:r>
        <w:rPr/>
        <w:t xml:space="preserve"> 负责答复；供应商对采购过程、采购结果的询问、质疑由 </w:t>
      </w:r>
      <w:r>
        <w:rPr/>
        <w:t>龙寰项目管理咨询有限公司</w:t>
      </w:r>
      <w:r>
        <w:rPr/>
        <w:t xml:space="preserve"> 负责答复。</w:t>
      </w:r>
    </w:p>
    <w:p>
      <w:pPr>
        <w:pStyle w:val="null3"/>
        <w:ind w:firstLine="480"/>
      </w:pPr>
      <w:r>
        <w:rPr/>
        <w:t xml:space="preserve"> 三、供应商提出询问，应当明确询问事项，如以书面形式提出的，应由供应商签字并加盖公章。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 xml:space="preserve"> （一）质疑函正本1份；（政府采购供应商质疑函范本详见附件一）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接收质疑函方式：书面形式。</w:t>
      </w:r>
    </w:p>
    <w:p>
      <w:pPr>
        <w:pStyle w:val="null3"/>
        <w:ind w:firstLine="480"/>
      </w:pPr>
      <w:r>
        <w:rPr/>
        <w:t xml:space="preserve"> 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3.1项目概况</w:t>
      </w:r>
    </w:p>
    <w:p>
      <w:pPr>
        <w:pStyle w:val="null3"/>
        <w:ind w:firstLine="480"/>
      </w:pPr>
      <w:r>
        <w:rPr/>
        <w:t>陕西高院2023年陕西省法院技术性研发运维项目,具体详见文件采购需求</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1,219,119.00</w:t>
      </w:r>
    </w:p>
    <w:p>
      <w:pPr>
        <w:pStyle w:val="null3"/>
      </w:pPr>
      <w:r>
        <w:rPr/>
        <w:t>采购包最高限价（元）: 1,219,119.00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法院技术性研发运维</w:t>
            </w:r>
          </w:p>
        </w:tc>
        <w:tc>
          <w:tcPr>
            <w:tcW w:type="dxa" w:w="831"/>
          </w:tcPr>
          <w:p>
            <w:pPr>
              <w:pStyle w:val="null3"/>
              <w:jc w:val="right"/>
            </w:pPr>
            <w:r>
              <w:rPr/>
              <w:t>1.00</w:t>
            </w:r>
          </w:p>
        </w:tc>
        <w:tc>
          <w:tcPr>
            <w:tcW w:type="dxa" w:w="831"/>
          </w:tcPr>
          <w:p>
            <w:pPr>
              <w:pStyle w:val="null3"/>
              <w:jc w:val="right"/>
            </w:pPr>
            <w:r>
              <w:rPr/>
              <w:t>1,219,119.00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标的名称：法院技术性研发运维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outlineLvl w:val="0"/>
            </w:pPr>
            <w:r>
              <w:rPr>
                <w:rFonts w:ascii="黑体" w:hAnsi="黑体" w:cs="黑体" w:eastAsia="黑体"/>
                <w:sz w:val="21"/>
                <w:b/>
              </w:rPr>
              <w:t>一</w:t>
            </w:r>
            <w:r>
              <w:rPr>
                <w:rFonts w:ascii="黑体" w:hAnsi="黑体" w:cs="黑体" w:eastAsia="黑体"/>
                <w:sz w:val="21"/>
                <w:b/>
              </w:rPr>
              <w:t>、项目建设背景</w:t>
            </w:r>
          </w:p>
          <w:p>
            <w:pPr>
              <w:pStyle w:val="null3"/>
              <w:ind w:firstLine="640"/>
            </w:pPr>
            <w:r>
              <w:rPr>
                <w:rFonts w:ascii="仿宋_gb2312" w:hAnsi="仿宋_gb2312" w:cs="仿宋_gb2312" w:eastAsia="仿宋_gb2312"/>
                <w:sz w:val="21"/>
              </w:rPr>
              <w:t>为全面贯彻落实最高人民法院关于《人民法院信息化建设五年发展规划（</w:t>
            </w:r>
            <w:r>
              <w:rPr>
                <w:rFonts w:ascii="仿宋_gb2312" w:hAnsi="仿宋_gb2312" w:cs="仿宋_gb2312" w:eastAsia="仿宋_gb2312"/>
                <w:sz w:val="21"/>
              </w:rPr>
              <w:t>2020-2024）》，加快陕西法院信息化建设转型升级，依据最高人民法院建设“智慧法院”的统一部署和要求，需基于省法院现有审判管理系统、审委会管理系统、政务系统、司法技术综合管理系统、全省法院信息化应用评估考核指标系统、法院信息门户、移动办公以及诉讼服务等核心业务系统进行 41项技术性研发服务内容。</w:t>
            </w:r>
          </w:p>
          <w:p>
            <w:pPr>
              <w:pStyle w:val="null3"/>
              <w:ind w:firstLine="640"/>
            </w:pPr>
            <w:r>
              <w:rPr>
                <w:rFonts w:ascii="仿宋_gb2312" w:hAnsi="仿宋_gb2312" w:cs="仿宋_gb2312" w:eastAsia="仿宋_gb2312"/>
                <w:sz w:val="21"/>
              </w:rPr>
              <w:t>项目的实施将有效解决陕西法院系统目前面临的法官办案、法院管理、司法便民过程中文书盖章效率不高、诉讼费退费管理不便、司法智能化不强、司法鉴定功能不够贴合业务实际情况、案件排期繁琐、立案辅助风险审查效率低、重复立案筛查不够精确、长期未结案件缺乏管控、信息化考核指标不够全面、电子卷宗随案生成统计指标不够全面、无法线上办理跨域以及跨境立案、人民群众无法对民事行政案件的二审网上立案、法院审委会功能不够智能、移动办公办案功能编辑工具少、审判知识服务与审判流程没有有效对接等问题。</w:t>
            </w:r>
          </w:p>
          <w:p>
            <w:pPr>
              <w:pStyle w:val="null3"/>
              <w:jc w:val="both"/>
              <w:outlineLvl w:val="0"/>
            </w:pPr>
            <w:r>
              <w:rPr>
                <w:rFonts w:ascii="黑体" w:hAnsi="黑体" w:cs="黑体" w:eastAsia="黑体"/>
                <w:sz w:val="21"/>
                <w:b/>
              </w:rPr>
              <w:t>二</w:t>
            </w:r>
            <w:r>
              <w:rPr>
                <w:rFonts w:ascii="黑体" w:hAnsi="黑体" w:cs="黑体" w:eastAsia="黑体"/>
                <w:sz w:val="21"/>
                <w:b/>
              </w:rPr>
              <w:t>、项目建设内容以及主要招标项</w:t>
            </w:r>
          </w:p>
          <w:p>
            <w:pPr>
              <w:pStyle w:val="null3"/>
              <w:ind w:firstLine="640"/>
            </w:pPr>
            <w:r>
              <w:rPr>
                <w:rFonts w:ascii="仿宋_gb2312" w:hAnsi="仿宋_gb2312" w:cs="仿宋_gb2312" w:eastAsia="仿宋_gb2312"/>
                <w:sz w:val="21"/>
              </w:rPr>
              <w:t>项目按照的陕西法院基本工作路径，结合新形势下法院办案需求，利用信息化和智能化为法官、法院、人民群众提供全方位信息资源数据和法律专业知识服务，降低法官查阅相关资料的工作量，辅助法官梳理裁判思路，获取判决依据，提升法院审判工作质效、拉近法院与人民群众的距离。现结合陕西法院信息化建设实际，制定本次采购项目。</w:t>
            </w:r>
          </w:p>
          <w:p>
            <w:pPr>
              <w:pStyle w:val="null3"/>
              <w:ind w:firstLine="640"/>
            </w:pPr>
            <w:r>
              <w:rPr>
                <w:rFonts w:ascii="仿宋_gb2312" w:hAnsi="仿宋_gb2312" w:cs="仿宋_gb2312" w:eastAsia="仿宋_gb2312"/>
                <w:sz w:val="21"/>
              </w:rPr>
              <w:t>具体包括</w:t>
            </w:r>
            <w:r>
              <w:rPr>
                <w:rFonts w:ascii="仿宋_gb2312" w:hAnsi="仿宋_gb2312" w:cs="仿宋_gb2312" w:eastAsia="仿宋_gb2312"/>
                <w:sz w:val="21"/>
              </w:rPr>
              <w:t>41项技术研发服务：</w:t>
            </w:r>
          </w:p>
          <w:p>
            <w:pPr>
              <w:pStyle w:val="null3"/>
              <w:ind w:firstLine="640"/>
            </w:pPr>
            <w:r>
              <w:rPr>
                <w:rFonts w:ascii="仿宋_gb2312" w:hAnsi="仿宋_gb2312" w:cs="仿宋_gb2312" w:eastAsia="仿宋_gb2312"/>
                <w:sz w:val="21"/>
              </w:rPr>
              <w:t>1)省法院文书批量盖章研发；</w:t>
            </w:r>
          </w:p>
          <w:p>
            <w:pPr>
              <w:pStyle w:val="null3"/>
              <w:ind w:firstLine="640"/>
            </w:pPr>
            <w:r>
              <w:rPr>
                <w:rFonts w:ascii="仿宋_gb2312" w:hAnsi="仿宋_gb2312" w:cs="仿宋_gb2312" w:eastAsia="仿宋_gb2312"/>
                <w:sz w:val="21"/>
              </w:rPr>
              <w:t>2)省法院诉讼费退费功能研发；</w:t>
            </w:r>
          </w:p>
          <w:p>
            <w:pPr>
              <w:pStyle w:val="null3"/>
              <w:ind w:firstLine="640"/>
            </w:pPr>
            <w:r>
              <w:rPr>
                <w:rFonts w:ascii="仿宋_gb2312" w:hAnsi="仿宋_gb2312" w:cs="仿宋_gb2312" w:eastAsia="仿宋_gb2312"/>
                <w:sz w:val="21"/>
              </w:rPr>
              <w:t>3)省法院结案管理功能关联质效反馈功能研发；</w:t>
            </w:r>
          </w:p>
          <w:p>
            <w:pPr>
              <w:pStyle w:val="null3"/>
              <w:ind w:firstLine="640"/>
            </w:pPr>
            <w:r>
              <w:rPr>
                <w:rFonts w:ascii="仿宋_gb2312" w:hAnsi="仿宋_gb2312" w:cs="仿宋_gb2312" w:eastAsia="仿宋_gb2312"/>
                <w:sz w:val="21"/>
              </w:rPr>
              <w:t>4)省法院刑事二审案件审限变更功能改进、"四类案件"监督自动推送功能改进；</w:t>
            </w:r>
          </w:p>
          <w:p>
            <w:pPr>
              <w:pStyle w:val="null3"/>
              <w:ind w:firstLine="640"/>
            </w:pPr>
            <w:r>
              <w:rPr>
                <w:rFonts w:ascii="仿宋_gb2312" w:hAnsi="仿宋_gb2312" w:cs="仿宋_gb2312" w:eastAsia="仿宋_gb2312"/>
                <w:sz w:val="21"/>
              </w:rPr>
              <w:t>5)省法院与最高法院司法服务平台对接；</w:t>
            </w:r>
          </w:p>
          <w:p>
            <w:pPr>
              <w:pStyle w:val="null3"/>
              <w:ind w:firstLine="640"/>
            </w:pPr>
            <w:r>
              <w:rPr>
                <w:rFonts w:ascii="仿宋_gb2312" w:hAnsi="仿宋_gb2312" w:cs="仿宋_gb2312" w:eastAsia="仿宋_gb2312"/>
                <w:sz w:val="21"/>
              </w:rPr>
              <w:t>6)依据最高法院法明传《关于全面实施刑事指定管辖案件报批全流程网上办理的通知》【法明传[2023]323号】，省法院追加刑事管辖案件上报功能；</w:t>
            </w:r>
          </w:p>
          <w:p>
            <w:pPr>
              <w:pStyle w:val="null3"/>
              <w:ind w:firstLine="640"/>
            </w:pPr>
            <w:r>
              <w:rPr>
                <w:rFonts w:ascii="仿宋_gb2312" w:hAnsi="仿宋_gb2312" w:cs="仿宋_gb2312" w:eastAsia="仿宋_gb2312"/>
                <w:sz w:val="21"/>
              </w:rPr>
              <w:t>7)依据最高法院法明传《关于建设全国法院裁判文书库的通知》【法办[2033]551号】，省法院追加终版裁判文书上报功能；</w:t>
            </w:r>
          </w:p>
          <w:p>
            <w:pPr>
              <w:pStyle w:val="null3"/>
              <w:ind w:firstLine="640"/>
            </w:pPr>
            <w:r>
              <w:rPr>
                <w:rFonts w:ascii="仿宋_gb2312" w:hAnsi="仿宋_gb2312" w:cs="仿宋_gb2312" w:eastAsia="仿宋_gb2312"/>
                <w:sz w:val="21"/>
              </w:rPr>
              <w:t>8)司法鉴定新功能V3.0；</w:t>
            </w:r>
          </w:p>
          <w:p>
            <w:pPr>
              <w:pStyle w:val="null3"/>
              <w:ind w:firstLine="640"/>
            </w:pPr>
            <w:r>
              <w:rPr>
                <w:rFonts w:ascii="仿宋_gb2312" w:hAnsi="仿宋_gb2312" w:cs="仿宋_gb2312" w:eastAsia="仿宋_gb2312"/>
                <w:sz w:val="21"/>
              </w:rPr>
              <w:t>9)对接最高法院法信智推系统；</w:t>
            </w:r>
          </w:p>
          <w:p>
            <w:pPr>
              <w:pStyle w:val="null3"/>
              <w:ind w:firstLine="640"/>
            </w:pPr>
            <w:r>
              <w:rPr>
                <w:rFonts w:ascii="仿宋_gb2312" w:hAnsi="仿宋_gb2312" w:cs="仿宋_gb2312" w:eastAsia="仿宋_gb2312"/>
                <w:sz w:val="21"/>
              </w:rPr>
              <w:t>10)对接最高法院立案辅助办案系统；</w:t>
            </w:r>
          </w:p>
          <w:p>
            <w:pPr>
              <w:pStyle w:val="null3"/>
              <w:ind w:firstLine="640"/>
            </w:pPr>
            <w:r>
              <w:rPr>
                <w:rFonts w:ascii="仿宋_gb2312" w:hAnsi="仿宋_gb2312" w:cs="仿宋_gb2312" w:eastAsia="仿宋_gb2312"/>
                <w:sz w:val="21"/>
              </w:rPr>
              <w:t>11)全省法院案件排期功能升级；</w:t>
            </w:r>
          </w:p>
          <w:p>
            <w:pPr>
              <w:pStyle w:val="null3"/>
              <w:ind w:firstLine="640"/>
            </w:pPr>
            <w:r>
              <w:rPr>
                <w:rFonts w:ascii="仿宋_gb2312" w:hAnsi="仿宋_gb2312" w:cs="仿宋_gb2312" w:eastAsia="仿宋_gb2312"/>
                <w:sz w:val="21"/>
              </w:rPr>
              <w:t>12)省高院立案辅助风险审查功能升级；</w:t>
            </w:r>
          </w:p>
          <w:p>
            <w:pPr>
              <w:pStyle w:val="null3"/>
              <w:ind w:firstLine="640"/>
            </w:pPr>
            <w:r>
              <w:rPr>
                <w:rFonts w:ascii="仿宋_gb2312" w:hAnsi="仿宋_gb2312" w:cs="仿宋_gb2312" w:eastAsia="仿宋_gb2312"/>
                <w:sz w:val="21"/>
              </w:rPr>
              <w:t>13)依据最高法院《人民法院数据管理和服务技术规范（2023）》通知，追加新版质量评价功能、追加司法救助功能；</w:t>
            </w:r>
          </w:p>
          <w:p>
            <w:pPr>
              <w:pStyle w:val="null3"/>
              <w:ind w:firstLine="640"/>
            </w:pPr>
            <w:r>
              <w:rPr>
                <w:rFonts w:ascii="仿宋_gb2312" w:hAnsi="仿宋_gb2312" w:cs="仿宋_gb2312" w:eastAsia="仿宋_gb2312"/>
                <w:sz w:val="21"/>
              </w:rPr>
              <w:t>14)省法院重复立案筛查功能研发；</w:t>
            </w:r>
          </w:p>
          <w:p>
            <w:pPr>
              <w:pStyle w:val="null3"/>
              <w:ind w:firstLine="640"/>
            </w:pPr>
            <w:r>
              <w:rPr>
                <w:rFonts w:ascii="仿宋_gb2312" w:hAnsi="仿宋_gb2312" w:cs="仿宋_gb2312" w:eastAsia="仿宋_gb2312"/>
                <w:sz w:val="21"/>
              </w:rPr>
              <w:t>15)根据审管办上报最高法的关于长期未结案件管理办法，研发长期未结案件管理功能；</w:t>
            </w:r>
          </w:p>
          <w:p>
            <w:pPr>
              <w:pStyle w:val="null3"/>
              <w:ind w:firstLine="640"/>
            </w:pPr>
            <w:r>
              <w:rPr>
                <w:rFonts w:ascii="仿宋_gb2312" w:hAnsi="仿宋_gb2312" w:cs="仿宋_gb2312" w:eastAsia="仿宋_gb2312"/>
                <w:sz w:val="21"/>
              </w:rPr>
              <w:t>16)省法院案件在最高法审理情况数据下行功能研发；</w:t>
            </w:r>
          </w:p>
          <w:p>
            <w:pPr>
              <w:pStyle w:val="null3"/>
              <w:ind w:firstLine="640"/>
            </w:pPr>
            <w:r>
              <w:rPr>
                <w:rFonts w:ascii="仿宋_gb2312" w:hAnsi="仿宋_gb2312" w:cs="仿宋_gb2312" w:eastAsia="仿宋_gb2312"/>
                <w:sz w:val="21"/>
              </w:rPr>
              <w:t>17)对接法意文书上网系统；</w:t>
            </w:r>
          </w:p>
          <w:p>
            <w:pPr>
              <w:pStyle w:val="null3"/>
              <w:ind w:firstLine="640"/>
            </w:pPr>
            <w:r>
              <w:rPr>
                <w:rFonts w:ascii="仿宋_gb2312" w:hAnsi="仿宋_gb2312" w:cs="仿宋_gb2312" w:eastAsia="仿宋_gb2312"/>
                <w:sz w:val="21"/>
              </w:rPr>
              <w:t>18)依据最高法院法明传《关于开展第二批民事行政第二审案件网上立案试点工作的通知》【法明传【2022】615号】，研发二审网上立案功能；</w:t>
            </w:r>
          </w:p>
          <w:p>
            <w:pPr>
              <w:pStyle w:val="null3"/>
              <w:ind w:firstLine="640"/>
            </w:pPr>
            <w:r>
              <w:rPr>
                <w:rFonts w:ascii="仿宋_gb2312" w:hAnsi="仿宋_gb2312" w:cs="仿宋_gb2312" w:eastAsia="仿宋_gb2312"/>
                <w:sz w:val="21"/>
              </w:rPr>
              <w:t>19)研发全省法院信息化应用评估考核指标系统；</w:t>
            </w:r>
          </w:p>
          <w:p>
            <w:pPr>
              <w:pStyle w:val="null3"/>
              <w:ind w:firstLine="640"/>
            </w:pPr>
            <w:r>
              <w:rPr>
                <w:rFonts w:ascii="仿宋_gb2312" w:hAnsi="仿宋_gb2312" w:cs="仿宋_gb2312" w:eastAsia="仿宋_gb2312"/>
                <w:sz w:val="21"/>
              </w:rPr>
              <w:t>20)省法院电子卷宗随案生成数据统计升级；</w:t>
            </w:r>
          </w:p>
          <w:p>
            <w:pPr>
              <w:pStyle w:val="null3"/>
              <w:ind w:firstLine="640"/>
            </w:pPr>
            <w:r>
              <w:rPr>
                <w:rFonts w:ascii="仿宋_gb2312" w:hAnsi="仿宋_gb2312" w:cs="仿宋_gb2312" w:eastAsia="仿宋_gb2312"/>
                <w:sz w:val="21"/>
              </w:rPr>
              <w:t>21)全省法院信息门户对接“亚信”数据门户系统；</w:t>
            </w:r>
          </w:p>
          <w:p>
            <w:pPr>
              <w:pStyle w:val="null3"/>
              <w:ind w:firstLine="640"/>
            </w:pPr>
            <w:r>
              <w:rPr>
                <w:rFonts w:ascii="仿宋_gb2312" w:hAnsi="仿宋_gb2312" w:cs="仿宋_gb2312" w:eastAsia="仿宋_gb2312"/>
                <w:sz w:val="21"/>
              </w:rPr>
              <w:t>22)对接通达海缴费管理系统；</w:t>
            </w:r>
          </w:p>
          <w:p>
            <w:pPr>
              <w:pStyle w:val="null3"/>
              <w:ind w:firstLine="640"/>
            </w:pPr>
            <w:r>
              <w:rPr>
                <w:rFonts w:ascii="仿宋_gb2312" w:hAnsi="仿宋_gb2312" w:cs="仿宋_gb2312" w:eastAsia="仿宋_gb2312"/>
                <w:sz w:val="21"/>
              </w:rPr>
              <w:t>23)对接最高法院保全系统；</w:t>
            </w:r>
          </w:p>
          <w:p>
            <w:pPr>
              <w:pStyle w:val="null3"/>
              <w:ind w:firstLine="640"/>
            </w:pPr>
            <w:r>
              <w:rPr>
                <w:rFonts w:ascii="仿宋_gb2312" w:hAnsi="仿宋_gb2312" w:cs="仿宋_gb2312" w:eastAsia="仿宋_gb2312"/>
                <w:sz w:val="21"/>
              </w:rPr>
              <w:t>24)依据最高法院法明传《网间交换平台配合完成与跨域立案服务、跨境立案服务对应的文件上传和文件获取机制修改与升级，并完成升级后的联调工作的通知》【法〔信〕明传〔2023〕15号】，研发跨域立案以及跨境立案功能；</w:t>
            </w:r>
          </w:p>
          <w:p>
            <w:pPr>
              <w:pStyle w:val="null3"/>
              <w:ind w:firstLine="640"/>
            </w:pPr>
            <w:r>
              <w:rPr>
                <w:rFonts w:ascii="仿宋_gb2312" w:hAnsi="仿宋_gb2312" w:cs="仿宋_gb2312" w:eastAsia="仿宋_gb2312"/>
                <w:sz w:val="21"/>
              </w:rPr>
              <w:t>25)全省法院文书转卷宗功能研发；</w:t>
            </w:r>
          </w:p>
          <w:p>
            <w:pPr>
              <w:pStyle w:val="null3"/>
              <w:ind w:firstLine="640"/>
            </w:pPr>
            <w:r>
              <w:rPr>
                <w:rFonts w:ascii="仿宋_gb2312" w:hAnsi="仿宋_gb2312" w:cs="仿宋_gb2312" w:eastAsia="仿宋_gb2312"/>
                <w:sz w:val="21"/>
              </w:rPr>
              <w:t>26)省法院以及指定试点法院对接华夏电通要素审判系统；</w:t>
            </w:r>
          </w:p>
          <w:p>
            <w:pPr>
              <w:pStyle w:val="null3"/>
              <w:ind w:firstLine="640"/>
            </w:pPr>
            <w:r>
              <w:rPr>
                <w:rFonts w:ascii="仿宋_gb2312" w:hAnsi="仿宋_gb2312" w:cs="仿宋_gb2312" w:eastAsia="仿宋_gb2312"/>
                <w:sz w:val="21"/>
              </w:rPr>
              <w:t>27)省法院审委会系统对接科大讯飞以及功能升级研发；</w:t>
            </w:r>
          </w:p>
          <w:p>
            <w:pPr>
              <w:pStyle w:val="null3"/>
              <w:ind w:firstLine="640"/>
            </w:pPr>
            <w:r>
              <w:rPr>
                <w:rFonts w:ascii="仿宋_gb2312" w:hAnsi="仿宋_gb2312" w:cs="仿宋_gb2312" w:eastAsia="仿宋_gb2312"/>
                <w:sz w:val="21"/>
              </w:rPr>
              <w:t>28)省法院信息专栏升级研发；</w:t>
            </w:r>
          </w:p>
          <w:p>
            <w:pPr>
              <w:pStyle w:val="null3"/>
              <w:ind w:firstLine="640"/>
            </w:pPr>
            <w:r>
              <w:rPr>
                <w:rFonts w:ascii="仿宋_gb2312" w:hAnsi="仿宋_gb2312" w:cs="仿宋_gb2312" w:eastAsia="仿宋_gb2312"/>
                <w:sz w:val="21"/>
              </w:rPr>
              <w:t>29)省法院新时代人民法院纪检组督查室调查问卷功能；</w:t>
            </w:r>
          </w:p>
          <w:p>
            <w:pPr>
              <w:pStyle w:val="null3"/>
              <w:ind w:firstLine="640"/>
            </w:pPr>
            <w:r>
              <w:rPr>
                <w:rFonts w:ascii="仿宋_gb2312" w:hAnsi="仿宋_gb2312" w:cs="仿宋_gb2312" w:eastAsia="仿宋_gb2312"/>
                <w:sz w:val="21"/>
              </w:rPr>
              <w:t>30)法院移动办公集成金山WPS移动版；</w:t>
            </w:r>
          </w:p>
          <w:p>
            <w:pPr>
              <w:pStyle w:val="null3"/>
              <w:ind w:firstLine="640"/>
            </w:pPr>
            <w:r>
              <w:rPr>
                <w:rFonts w:ascii="仿宋_gb2312" w:hAnsi="仿宋_gb2312" w:cs="仿宋_gb2312" w:eastAsia="仿宋_gb2312"/>
                <w:sz w:val="21"/>
              </w:rPr>
              <w:t>31)省法院网上报销功能升级研发；</w:t>
            </w:r>
          </w:p>
          <w:p>
            <w:pPr>
              <w:pStyle w:val="null3"/>
              <w:ind w:firstLine="640"/>
            </w:pPr>
            <w:r>
              <w:rPr>
                <w:rFonts w:ascii="仿宋_gb2312" w:hAnsi="仿宋_gb2312" w:cs="仿宋_gb2312" w:eastAsia="仿宋_gb2312"/>
                <w:sz w:val="21"/>
              </w:rPr>
              <w:t>32)省法院公出申请功能升级研发；</w:t>
            </w:r>
          </w:p>
          <w:p>
            <w:pPr>
              <w:pStyle w:val="null3"/>
              <w:ind w:firstLine="640"/>
            </w:pPr>
            <w:r>
              <w:rPr>
                <w:rFonts w:ascii="仿宋_gb2312" w:hAnsi="仿宋_gb2312" w:cs="仿宋_gb2312" w:eastAsia="仿宋_gb2312"/>
                <w:sz w:val="21"/>
              </w:rPr>
              <w:t>33)省法院收文管理功能升级研发；</w:t>
            </w:r>
          </w:p>
          <w:p>
            <w:pPr>
              <w:pStyle w:val="null3"/>
              <w:ind w:firstLine="640"/>
            </w:pPr>
            <w:r>
              <w:rPr>
                <w:rFonts w:ascii="仿宋_gb2312" w:hAnsi="仿宋_gb2312" w:cs="仿宋_gb2312" w:eastAsia="仿宋_gb2312"/>
                <w:sz w:val="21"/>
              </w:rPr>
              <w:t>34)省法院派遣人员离职申请流程研发；</w:t>
            </w:r>
          </w:p>
          <w:p>
            <w:pPr>
              <w:pStyle w:val="null3"/>
              <w:ind w:firstLine="640"/>
            </w:pPr>
            <w:r>
              <w:rPr>
                <w:rFonts w:ascii="仿宋_gb2312" w:hAnsi="仿宋_gb2312" w:cs="仿宋_gb2312" w:eastAsia="仿宋_gb2312"/>
                <w:sz w:val="21"/>
              </w:rPr>
              <w:t>35)省法院明传模块升级研发；</w:t>
            </w:r>
          </w:p>
          <w:p>
            <w:pPr>
              <w:pStyle w:val="null3"/>
              <w:ind w:firstLine="640"/>
            </w:pPr>
            <w:r>
              <w:rPr>
                <w:rFonts w:ascii="仿宋_gb2312" w:hAnsi="仿宋_gb2312" w:cs="仿宋_gb2312" w:eastAsia="仿宋_gb2312"/>
                <w:sz w:val="21"/>
              </w:rPr>
              <w:t>36)依据最高法院法明传《关于做好最高人民法院关于诉前调解中委托鉴定工作规程(试行)贯彻执行工作的通知》【法明传[2023]253号】，研发诉中委托鉴定功能升级研发；</w:t>
            </w:r>
          </w:p>
          <w:p>
            <w:pPr>
              <w:pStyle w:val="null3"/>
              <w:ind w:firstLine="640"/>
            </w:pPr>
            <w:r>
              <w:rPr>
                <w:rFonts w:ascii="仿宋_gb2312" w:hAnsi="仿宋_gb2312" w:cs="仿宋_gb2312" w:eastAsia="仿宋_gb2312"/>
                <w:sz w:val="21"/>
              </w:rPr>
              <w:t>37)根据省法院院领导要求，研发给法官留言功能；</w:t>
            </w:r>
          </w:p>
          <w:p>
            <w:pPr>
              <w:pStyle w:val="null3"/>
              <w:ind w:firstLine="640"/>
            </w:pPr>
            <w:r>
              <w:rPr>
                <w:rFonts w:ascii="仿宋_gb2312" w:hAnsi="仿宋_gb2312" w:cs="仿宋_gb2312" w:eastAsia="仿宋_gb2312"/>
                <w:sz w:val="21"/>
              </w:rPr>
              <w:t>38)全省法院送达回证自动入卷功能升级研发；</w:t>
            </w:r>
          </w:p>
          <w:p>
            <w:pPr>
              <w:pStyle w:val="null3"/>
              <w:ind w:firstLine="640"/>
            </w:pPr>
            <w:r>
              <w:rPr>
                <w:rFonts w:ascii="仿宋_gb2312" w:hAnsi="仿宋_gb2312" w:cs="仿宋_gb2312" w:eastAsia="仿宋_gb2312"/>
                <w:sz w:val="21"/>
              </w:rPr>
              <w:t>39)铁路中院“学习贯彻新时代中国特色社会主义思想主题教育”专题栏目建设；</w:t>
            </w:r>
          </w:p>
          <w:p>
            <w:pPr>
              <w:pStyle w:val="null3"/>
              <w:ind w:firstLine="640"/>
            </w:pPr>
            <w:r>
              <w:rPr>
                <w:rFonts w:ascii="仿宋_gb2312" w:hAnsi="仿宋_gb2312" w:cs="仿宋_gb2312" w:eastAsia="仿宋_gb2312"/>
                <w:sz w:val="21"/>
              </w:rPr>
              <w:t>40)省法院无结案文书审判需求研发；</w:t>
            </w:r>
          </w:p>
          <w:p>
            <w:pPr>
              <w:pStyle w:val="null3"/>
              <w:ind w:firstLine="640"/>
            </w:pPr>
            <w:r>
              <w:rPr>
                <w:rFonts w:ascii="仿宋_gb2312" w:hAnsi="仿宋_gb2312" w:cs="仿宋_gb2312" w:eastAsia="仿宋_gb2312"/>
                <w:sz w:val="21"/>
              </w:rPr>
              <w:t>41)针对最高法数据新增数据上报要求调整优化审判系统必填项、流程及上报程序。</w:t>
            </w:r>
          </w:p>
          <w:p>
            <w:pPr>
              <w:pStyle w:val="null3"/>
              <w:ind w:firstLine="640"/>
            </w:pPr>
            <w:r>
              <w:rPr>
                <w:sz w:val="21"/>
              </w:rPr>
              <w:t xml:space="preserve">  </w:t>
            </w:r>
          </w:p>
        </w:tc>
      </w:tr>
    </w:tbl>
    <w:p>
      <w:pPr>
        <w:pStyle w:val="null3"/>
        <w:outlineLvl w:val="3"/>
      </w:pPr>
      <w:r>
        <w:rPr>
          <w:sz w:val="24"/>
          <w:b/>
        </w:rPr>
        <w:t>3.2.3人员配置要求</w:t>
      </w:r>
    </w:p>
    <w:p>
      <w:pPr>
        <w:pStyle w:val="null3"/>
      </w:pPr>
      <w:r>
        <w:rPr/>
        <w:t>采购包1：</w:t>
      </w:r>
    </w:p>
    <w:p>
      <w:pPr>
        <w:pStyle w:val="null3"/>
      </w:pPr>
      <w:r>
        <w:rPr/>
        <w:t>详见“服务要求”</w:t>
      </w:r>
    </w:p>
    <w:p>
      <w:pPr>
        <w:pStyle w:val="null3"/>
        <w:outlineLvl w:val="3"/>
      </w:pPr>
      <w:r>
        <w:rPr>
          <w:sz w:val="24"/>
          <w:b/>
        </w:rPr>
        <w:t>3.2.4设施设备要求</w:t>
      </w:r>
    </w:p>
    <w:p>
      <w:pPr>
        <w:pStyle w:val="null3"/>
      </w:pPr>
      <w:r>
        <w:rPr/>
        <w:t>采购包1：</w:t>
      </w:r>
    </w:p>
    <w:p>
      <w:pPr>
        <w:pStyle w:val="null3"/>
      </w:pPr>
      <w:r>
        <w:rPr/>
        <w:t>详见“服务要求”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合同签订之日起1年</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3.3.3支付方式</w:t>
      </w:r>
    </w:p>
    <w:p>
      <w:pPr>
        <w:pStyle w:val="null3"/>
      </w:pPr>
      <w:r>
        <w:rPr/>
        <w:t>采购包1：</w:t>
      </w:r>
    </w:p>
    <w:p>
      <w:pPr>
        <w:pStyle w:val="null3"/>
      </w:pPr>
      <w:r>
        <w:rPr/>
        <w:t>一次付清</w:t>
      </w:r>
    </w:p>
    <w:p>
      <w:pPr>
        <w:pStyle w:val="null3"/>
        <w:outlineLvl w:val="3"/>
      </w:pPr>
      <w:r>
        <w:rPr>
          <w:sz w:val="24"/>
          <w:b/>
        </w:rPr>
        <w:t>3.3.4支付约定</w:t>
      </w:r>
    </w:p>
    <w:p>
      <w:pPr>
        <w:pStyle w:val="null3"/>
      </w:pPr>
      <w:r>
        <w:rPr/>
        <w:t>采购包1：</w:t>
      </w:r>
      <w:r>
        <w:rPr/>
        <w:t xml:space="preserve"> 付款条件说明： </w:t>
      </w:r>
      <w:r>
        <w:rPr/>
        <w:t>合同签订后1个月内</w:t>
      </w:r>
      <w:r>
        <w:rPr/>
        <w:t xml:space="preserve"> ，达到付款条件起 </w:t>
      </w:r>
      <w:r>
        <w:rPr/>
        <w:t>30</w:t>
      </w:r>
      <w:r>
        <w:rPr/>
        <w:t xml:space="preserve"> 日内，支付合同总金额的 </w:t>
      </w:r>
      <w:r>
        <w:rPr/>
        <w:t>100.00</w:t>
      </w:r>
      <w:r>
        <w:rPr/>
        <w:t>%。</w:t>
      </w:r>
    </w:p>
    <w:p>
      <w:pPr>
        <w:pStyle w:val="null3"/>
        <w:outlineLvl w:val="3"/>
      </w:pPr>
      <w:r>
        <w:rPr>
          <w:sz w:val="24"/>
          <w:b/>
        </w:rPr>
        <w:t>3.3.5.验收标准和方法</w:t>
      </w:r>
    </w:p>
    <w:p>
      <w:pPr>
        <w:pStyle w:val="null3"/>
      </w:pPr>
      <w:r>
        <w:rPr/>
        <w:t>采购包1：</w:t>
      </w:r>
    </w:p>
    <w:p>
      <w:pPr>
        <w:pStyle w:val="null3"/>
      </w:pPr>
      <w:r>
        <w:rPr/>
        <w:t>详见合同</w:t>
      </w:r>
    </w:p>
    <w:p>
      <w:pPr>
        <w:pStyle w:val="null3"/>
        <w:outlineLvl w:val="3"/>
      </w:pPr>
      <w:r>
        <w:rPr>
          <w:sz w:val="24"/>
          <w:b/>
        </w:rPr>
        <w:t>3.3.6违约责任及解决争议的方法</w:t>
      </w:r>
    </w:p>
    <w:p>
      <w:pPr>
        <w:pStyle w:val="null3"/>
      </w:pPr>
      <w:r>
        <w:rPr/>
        <w:t>采购包1：</w:t>
      </w:r>
    </w:p>
    <w:p>
      <w:pPr>
        <w:pStyle w:val="null3"/>
      </w:pPr>
      <w:r>
        <w:rPr/>
        <w:t>详见合同</w:t>
      </w:r>
    </w:p>
    <w:p>
      <w:pPr>
        <w:pStyle w:val="null3"/>
        <w:outlineLvl w:val="2"/>
      </w:pPr>
      <w:r>
        <w:rPr>
          <w:sz w:val="28"/>
          <w:b/>
        </w:rPr>
        <w:t>3.4其他要求</w:t>
      </w:r>
    </w:p>
    <w:p>
      <w:pPr>
        <w:pStyle w:val="null3"/>
      </w:pPr>
      <w:r>
        <w:rPr/>
        <w:t>采购包1：</w:t>
      </w:r>
    </w:p>
    <w:p>
      <w:pPr>
        <w:pStyle w:val="null3"/>
      </w:pPr>
      <w:r>
        <w:rPr/>
        <w:t>1.采购标的对应的中小企业划分标准所属行业为软件和信息技术服务业。软件和信息技术服务业的划型标准为：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 2.本项目专门面向中小企业采购。 3.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以电子或纸质形式留存。4.需要落实的政府采购政策：（1）《国务院办公厅关于建立政府强制采购节能产品制度的通知》（国办发〔2007〕51号）；（2）《财政部 司法部关于政府采购支持监狱企业发展有关问题的通知》（财库〔2014〕68号）；（3）《财政部、民政部、中国残疾人联合会关于促进残疾人就业政府采购政策的通知》（财库〔2017〕141号）；（4）《财政部发展改革委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w:t>
      </w:r>
    </w:p>
    <w:p>
      <w:pPr>
        <w:pStyle w:val="null3"/>
      </w:pPr>
      <w:r>
        <w:rPr/>
        <w:t xml:space="preserve"> </w:t>
        <w:br/>
        <w:br w:type="page"/>
      </w:r>
    </w:p>
    <w:p>
      <w:pPr>
        <w:pStyle w:val="null3"/>
        <w:jc w:val="center"/>
        <w:outlineLvl w:val="1"/>
      </w:pPr>
      <w:r>
        <w:rPr>
          <w:sz w:val="36"/>
          <w:b/>
        </w:rPr>
        <w:t>第四章 资格审查</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bl>
    <w:p>
      <w:pPr>
        <w:pStyle w:val="null3"/>
        <w:outlineLvl w:val="3"/>
      </w:pPr>
      <w:r>
        <w:rPr>
          <w:sz w:val="24"/>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 、其他组织或自然人</w:t>
            </w:r>
          </w:p>
        </w:tc>
        <w:tc>
          <w:tcPr>
            <w:tcW w:type="dxa" w:w="3322"/>
          </w:tcPr>
          <w:p>
            <w:pPr>
              <w:pStyle w:val="null3"/>
            </w:pPr>
            <w:r>
              <w:rPr/>
              <w:t>具有独立承担民事责任能力的法人、其他组织或自然人：法人或者其他组织提供营业执照等证明文件，自然人提供身份证件，供应商需在项目电子化交易系统中按要求上传相应证明文件</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财务状况报告：供应商近年（2023年）经审计的财务报告（事业法人可提供部门决算报告）或基本开户银行出具的 资信证明或政府采购专业担保机构出具的投标担保函，供应商需在项目电子化交易系统中按要求上传相应证明文件</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税收缴纳凭证及社会保险缴纳的凭证</w:t>
            </w:r>
          </w:p>
        </w:tc>
        <w:tc>
          <w:tcPr>
            <w:tcW w:type="dxa" w:w="3322"/>
          </w:tcPr>
          <w:p>
            <w:pPr>
              <w:pStyle w:val="null3"/>
            </w:pPr>
            <w:r>
              <w:rPr/>
              <w:t>税收缴纳凭证及社会保险缴纳的凭证：供应商在本项目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书面声明</w:t>
            </w:r>
          </w:p>
        </w:tc>
        <w:tc>
          <w:tcPr>
            <w:tcW w:type="dxa" w:w="3322"/>
          </w:tcPr>
          <w:p>
            <w:pPr>
              <w:pStyle w:val="null3"/>
            </w:pPr>
            <w:r>
              <w:rPr/>
              <w:t>参加政府采购活动前3年内在经营活动中没有重大违法记录的书面声明；其中：重大违法记录是指供应商因违法经营受到刑事处罚或者责令停产停业、吊销许可证或者执照、较大数额罚款等行政处罚：参加政府采购活动前3年内在经营活动中没有重大违法记录的书面声明；其中：重大违法记录是指供应商因违法经营受到刑事处罚或者责令停产停业、吊销许可证或者执照、较大数额罚款等行政处罚</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具有履行合同所必需的设备和专业技术能力的承诺函</w:t>
            </w:r>
          </w:p>
        </w:tc>
        <w:tc>
          <w:tcPr>
            <w:tcW w:type="dxa" w:w="3322"/>
          </w:tcPr>
          <w:p>
            <w:pPr>
              <w:pStyle w:val="null3"/>
            </w:pPr>
            <w:r>
              <w:rPr/>
              <w:t>具有履行合同所必需的设备和专业技术能力书面声明函，供应商需在项目电子化交易系统中按要求上传相应证明文件并进行电子签章。</w:t>
            </w:r>
          </w:p>
        </w:tc>
        <w:tc>
          <w:tcPr>
            <w:tcW w:type="dxa" w:w="1661"/>
          </w:tcPr>
          <w:p>
            <w:pPr>
              <w:pStyle w:val="null3"/>
            </w:pPr>
            <w:r>
              <w:rPr/>
              <w:t>附件 供应商应提交的相关资格证明材料</w:t>
            </w:r>
          </w:p>
        </w:tc>
      </w:tr>
      <w:tr>
        <w:tc>
          <w:tcPr>
            <w:tcW w:type="dxa" w:w="831"/>
          </w:tcPr>
          <w:p>
            <w:pPr>
              <w:pStyle w:val="null3"/>
            </w:pPr>
            <w:r>
              <w:rPr/>
              <w:t>6</w:t>
            </w:r>
          </w:p>
        </w:tc>
        <w:tc>
          <w:tcPr>
            <w:tcW w:type="dxa" w:w="2492"/>
          </w:tcPr>
          <w:p>
            <w:pPr>
              <w:pStyle w:val="null3"/>
            </w:pPr>
            <w:r>
              <w:rPr/>
              <w:t>本项目专门面向中小企业采购（残疾人福利性单位、监狱企业视同小型、微型企业）</w:t>
            </w:r>
          </w:p>
        </w:tc>
        <w:tc>
          <w:tcPr>
            <w:tcW w:type="dxa" w:w="3322"/>
          </w:tcPr>
          <w:p>
            <w:pPr>
              <w:pStyle w:val="null3"/>
            </w:pPr>
            <w:r>
              <w:rPr/>
              <w:t>本项目专门面向中小企业采购（残疾人福利性单位、监狱企业视同小型、微型企业），供应商需提供《中小企业声明函》（监狱企业的证明文件或《残疾人福利性单位声明函》）。</w:t>
            </w:r>
          </w:p>
        </w:tc>
        <w:tc>
          <w:tcPr>
            <w:tcW w:type="dxa" w:w="1661"/>
          </w:tcPr>
          <w:p>
            <w:pPr>
              <w:pStyle w:val="null3"/>
            </w:pPr>
            <w:r>
              <w:rPr/>
              <w:t>中小企业声明函 残疾人福利性单位声明函 响应函 监狱企业的证明文件</w:t>
            </w:r>
          </w:p>
        </w:tc>
      </w:tr>
      <w:tr>
        <w:tc>
          <w:tcPr>
            <w:tcW w:type="dxa" w:w="831"/>
          </w:tcPr>
          <w:p>
            <w:pPr>
              <w:pStyle w:val="null3"/>
            </w:pPr>
            <w:r>
              <w:rPr/>
              <w:t>7</w:t>
            </w:r>
          </w:p>
        </w:tc>
        <w:tc>
          <w:tcPr>
            <w:tcW w:type="dxa" w:w="2492"/>
          </w:tcPr>
          <w:p>
            <w:pPr>
              <w:pStyle w:val="null3"/>
            </w:pPr>
            <w:r>
              <w:rPr/>
              <w:t>供应商不得为“信用中国” 网站（www.creditchina.gov.cn ）中列入失信被执行人和重大税收违法失信主体的供应商，不得为中国政府采购网（www.ccgp.gov.cn ）政府采购严重违法失信行为记录名单中被财政部门禁止参加政府采购活动的供应商</w:t>
            </w:r>
          </w:p>
        </w:tc>
        <w:tc>
          <w:tcPr>
            <w:tcW w:type="dxa" w:w="3322"/>
          </w:tcPr>
          <w:p>
            <w:pPr>
              <w:pStyle w:val="null3"/>
            </w:pPr>
            <w:r>
              <w:rPr/>
              <w:t>采购人或采购代理机构在开标当日通过“信用中国” 网站(www. creditchina. gov.cn)、中国政府采购网 (www.ccgp.gov.cn)查询相关主体信用记录网页截图保存</w:t>
            </w:r>
          </w:p>
        </w:tc>
        <w:tc>
          <w:tcPr>
            <w:tcW w:type="dxa" w:w="1661"/>
          </w:tcPr>
          <w:p>
            <w:pPr>
              <w:pStyle w:val="null3"/>
            </w:pPr>
            <w:r>
              <w:rPr/>
              <w:t>供应商应提交的相关资格证明材料 其他</w:t>
            </w:r>
          </w:p>
        </w:tc>
      </w:tr>
    </w:tbl>
    <w:p>
      <w:pPr>
        <w:pStyle w:val="null3"/>
        <w:outlineLvl w:val="3"/>
      </w:pPr>
      <w:r>
        <w:rPr>
          <w:sz w:val="24"/>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协商办法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 xml:space="preserve"> 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sz w:val="28"/>
          <w:b/>
        </w:rPr>
        <w:t>5.2协商程序</w:t>
      </w:r>
    </w:p>
    <w:p>
      <w:pPr>
        <w:pStyle w:val="null3"/>
        <w:outlineLvl w:val="3"/>
      </w:pPr>
      <w:r>
        <w:rPr>
          <w:sz w:val="24"/>
          <w:b/>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pPr>
      <w:r>
        <w:rPr/>
        <w:t>（一）熟悉和理解单一来源采购文件；</w:t>
      </w:r>
    </w:p>
    <w:p>
      <w:pPr>
        <w:pStyle w:val="null3"/>
        <w:ind w:firstLine="480"/>
      </w:pPr>
      <w:r>
        <w:rPr/>
        <w:t xml:space="preserve"> （二）审查供应商响应文件等是否满足单一来源采购文件要求，并作出评价；</w:t>
      </w:r>
    </w:p>
    <w:p>
      <w:pPr>
        <w:pStyle w:val="null3"/>
        <w:ind w:firstLine="480"/>
      </w:pPr>
      <w:r>
        <w:rPr/>
        <w:t xml:space="preserve"> （三）根据需要要求采购组织单位对单一来源采购文件作出解释；根据需要要求供应商对响应文件有关事项作出澄清、说明或者更正；</w:t>
      </w:r>
    </w:p>
    <w:p>
      <w:pPr>
        <w:pStyle w:val="null3"/>
        <w:ind w:firstLine="480"/>
      </w:pPr>
      <w:r>
        <w:rPr/>
        <w:t xml:space="preserve"> （四）推荐成交候选供应商，或者受采购人委托确定成交供应商；</w:t>
      </w:r>
    </w:p>
    <w:p>
      <w:pPr>
        <w:pStyle w:val="null3"/>
        <w:ind w:firstLine="480"/>
      </w:pPr>
      <w:r>
        <w:rPr/>
        <w:t>（五）起草评审报告并进行签署；</w:t>
      </w:r>
    </w:p>
    <w:p>
      <w:pPr>
        <w:pStyle w:val="null3"/>
        <w:ind w:firstLine="480"/>
      </w:pPr>
      <w:r>
        <w:rPr/>
        <w:t xml:space="preserve"> （六）向采购组织单位、财政部门或者其他监督部门报告非法干预评审工作的行为；</w:t>
      </w:r>
    </w:p>
    <w:p>
      <w:pPr>
        <w:pStyle w:val="null3"/>
        <w:ind w:firstLine="480"/>
      </w:pPr>
      <w:r>
        <w:rPr/>
        <w:t>（七）法律、法规和规章规定的其他职责。</w:t>
      </w:r>
    </w:p>
    <w:p>
      <w:pPr>
        <w:pStyle w:val="null3"/>
        <w:outlineLvl w:val="3"/>
      </w:pPr>
      <w:r>
        <w:rPr>
          <w:sz w:val="24"/>
          <w:b/>
        </w:rPr>
        <w:t xml:space="preserve"> 5.2.2熟悉和理解采购文件和停止评审</w:t>
      </w:r>
    </w:p>
    <w:p>
      <w:pPr>
        <w:pStyle w:val="null3"/>
        <w:ind w:firstLine="480"/>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t>二、本采购文件有下列情形之一的，协商小组应当停止评审：</w:t>
      </w:r>
    </w:p>
    <w:p>
      <w:pPr>
        <w:pStyle w:val="null3"/>
        <w:ind w:firstLine="480"/>
      </w:pPr>
      <w:r>
        <w:rPr/>
        <w:t>（一）采购文件的规定存在歧义、重大缺陷的；</w:t>
      </w:r>
    </w:p>
    <w:p>
      <w:pPr>
        <w:pStyle w:val="null3"/>
        <w:ind w:firstLine="480"/>
      </w:pPr>
      <w:r>
        <w:rPr/>
        <w:t xml:space="preserve"> （二）采购文件明显以不合理条件对供应商实行差别待遇或者歧视待遇的；</w:t>
      </w:r>
    </w:p>
    <w:p>
      <w:pPr>
        <w:pStyle w:val="null3"/>
        <w:ind w:firstLine="480"/>
      </w:pPr>
      <w:r>
        <w:rPr/>
        <w:t xml:space="preserve"> （三）采购项目属于国家规定的优先、强制采购范围，但是采购文件未依法体现优先、强制采购相关规定的；</w:t>
      </w:r>
    </w:p>
    <w:p>
      <w:pPr>
        <w:pStyle w:val="null3"/>
        <w:ind w:firstLine="480"/>
      </w:pPr>
      <w:r>
        <w:rPr/>
        <w:t xml:space="preserve"> （四）采购项目属于政府采购促进中小企业发展的范围，但是采购文件未依法体现促进中小企业发展相关规定的；</w:t>
      </w:r>
    </w:p>
    <w:p>
      <w:pPr>
        <w:pStyle w:val="null3"/>
        <w:ind w:firstLine="480"/>
      </w:pPr>
      <w:r>
        <w:rPr/>
        <w:t>（五）采购文件将供应商的资格条件列为评分因素的；</w:t>
      </w:r>
    </w:p>
    <w:p>
      <w:pPr>
        <w:pStyle w:val="null3"/>
        <w:ind w:firstLine="480"/>
      </w:pPr>
      <w:r>
        <w:rPr/>
        <w:t>（六）采购文件载明的成交原则不合法的；</w:t>
      </w:r>
    </w:p>
    <w:p>
      <w:pPr>
        <w:pStyle w:val="null3"/>
        <w:ind w:firstLine="480"/>
      </w:pPr>
      <w:r>
        <w:rPr/>
        <w:t>（七）采购文件有违反国家其他有关强制性规定的情形。</w:t>
      </w:r>
    </w:p>
    <w:p>
      <w:pPr>
        <w:pStyle w:val="null3"/>
        <w:ind w:firstLine="480"/>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sz w:val="24"/>
          <w:b/>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响应文件封面 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响应文件的有效期</w:t>
            </w:r>
          </w:p>
        </w:tc>
        <w:tc>
          <w:tcPr>
            <w:tcW w:type="dxa" w:w="3322"/>
          </w:tcPr>
          <w:p>
            <w:pPr>
              <w:pStyle w:val="null3"/>
            </w:pPr>
            <w:r>
              <w:rPr/>
              <w:t>提交首次响应文件的截止之日起不少于90天</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响应文件签署、盖章</w:t>
            </w:r>
          </w:p>
        </w:tc>
        <w:tc>
          <w:tcPr>
            <w:tcW w:type="dxa" w:w="3322"/>
          </w:tcPr>
          <w:p>
            <w:pPr>
              <w:pStyle w:val="null3"/>
            </w:pPr>
            <w:r>
              <w:rPr/>
              <w:t>响应文件签署、盖章均按采购文件要求签字、盖章（评分标准中要求提供 的证明材料除外）。</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项目报价</w:t>
            </w:r>
          </w:p>
        </w:tc>
        <w:tc>
          <w:tcPr>
            <w:tcW w:type="dxa" w:w="3322"/>
          </w:tcPr>
          <w:p>
            <w:pPr>
              <w:pStyle w:val="null3"/>
            </w:pPr>
            <w:r>
              <w:rPr/>
              <w:t>报价填写符合要求且未超出采购预算</w:t>
            </w:r>
          </w:p>
        </w:tc>
        <w:tc>
          <w:tcPr>
            <w:tcW w:type="dxa" w:w="1661"/>
          </w:tcPr>
          <w:p>
            <w:pPr>
              <w:pStyle w:val="null3"/>
            </w:pPr>
            <w:r>
              <w:rPr/>
              <w:t>服务内容及服务邀请应答表 商务应答表 标的清单 报价表</w:t>
            </w:r>
          </w:p>
        </w:tc>
      </w:tr>
      <w:tr>
        <w:tc>
          <w:tcPr>
            <w:tcW w:type="dxa" w:w="831"/>
          </w:tcPr>
          <w:p>
            <w:pPr>
              <w:pStyle w:val="null3"/>
            </w:pPr>
            <w:r>
              <w:rPr/>
              <w:t>7</w:t>
            </w:r>
          </w:p>
        </w:tc>
        <w:tc>
          <w:tcPr>
            <w:tcW w:type="dxa" w:w="2492"/>
          </w:tcPr>
          <w:p>
            <w:pPr>
              <w:pStyle w:val="null3"/>
            </w:pPr>
            <w:r>
              <w:rPr/>
              <w:t>技术、商务条款响应</w:t>
            </w:r>
          </w:p>
        </w:tc>
        <w:tc>
          <w:tcPr>
            <w:tcW w:type="dxa" w:w="3322"/>
          </w:tcPr>
          <w:p>
            <w:pPr>
              <w:pStyle w:val="null3"/>
            </w:pPr>
            <w:r>
              <w:rPr/>
              <w:t>符合采购文件要求</w:t>
            </w:r>
          </w:p>
        </w:tc>
        <w:tc>
          <w:tcPr>
            <w:tcW w:type="dxa" w:w="1661"/>
          </w:tcPr>
          <w:p>
            <w:pPr>
              <w:pStyle w:val="null3"/>
            </w:pPr>
            <w:r>
              <w:rPr/>
              <w:t>技术条款偏离表 服务方案 商务条款偏离表</w:t>
            </w:r>
          </w:p>
        </w:tc>
      </w:tr>
      <w:tr>
        <w:tc>
          <w:tcPr>
            <w:tcW w:type="dxa" w:w="831"/>
          </w:tcPr>
          <w:p>
            <w:pPr>
              <w:pStyle w:val="null3"/>
            </w:pPr>
            <w:r>
              <w:rPr/>
              <w:t>8</w:t>
            </w:r>
          </w:p>
        </w:tc>
        <w:tc>
          <w:tcPr>
            <w:tcW w:type="dxa" w:w="2492"/>
          </w:tcPr>
          <w:p>
            <w:pPr>
              <w:pStyle w:val="null3"/>
            </w:pPr>
            <w:r>
              <w:rPr/>
              <w:t>授权委托书</w:t>
            </w:r>
          </w:p>
        </w:tc>
        <w:tc>
          <w:tcPr>
            <w:tcW w:type="dxa" w:w="3322"/>
          </w:tcPr>
          <w:p>
            <w:pPr>
              <w:pStyle w:val="null3"/>
            </w:pPr>
            <w:r>
              <w:rPr/>
              <w:t>提供有效的授权委托书及被授权人身份证（法定代表人、单位负责人或自然人直接投标的须提交其身份证明书）。</w:t>
            </w:r>
          </w:p>
        </w:tc>
        <w:tc>
          <w:tcPr>
            <w:tcW w:type="dxa" w:w="1661"/>
          </w:tcPr>
          <w:p>
            <w:pPr>
              <w:pStyle w:val="null3"/>
            </w:pPr>
            <w:r>
              <w:rPr/>
              <w:t>授权委托书</w:t>
            </w:r>
          </w:p>
        </w:tc>
      </w:tr>
    </w:tbl>
    <w:p>
      <w:pPr>
        <w:pStyle w:val="null3"/>
        <w:outlineLvl w:val="3"/>
      </w:pPr>
      <w:r>
        <w:rPr>
          <w:sz w:val="24"/>
          <w:b/>
        </w:rPr>
        <w:t>5.2.4协商</w:t>
      </w:r>
    </w:p>
    <w:p>
      <w:pPr>
        <w:pStyle w:val="null3"/>
        <w:ind w:firstLine="480"/>
      </w:pPr>
      <w:r>
        <w:rPr/>
        <w:t xml:space="preserve"> 一、协商会议在项目电子化交易系统进行。协商会议由代理机构在线主持，供应商代表在线参加。</w:t>
      </w:r>
    </w:p>
    <w:p>
      <w:pPr>
        <w:pStyle w:val="null3"/>
        <w:ind w:firstLine="480"/>
      </w:pPr>
      <w:r>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sz w:val="24"/>
          <w:b/>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 xml:space="preserve"> 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 xml:space="preserve"> 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 xml:space="preserve"> 七、供应商最后报价无效的，本次采购活动终止，并发布终止公告。</w:t>
      </w:r>
    </w:p>
    <w:p>
      <w:pPr>
        <w:pStyle w:val="null3"/>
        <w:outlineLvl w:val="3"/>
      </w:pPr>
      <w:r>
        <w:rPr>
          <w:sz w:val="24"/>
          <w:b/>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 xml:space="preserve"> 四、协商小组应当积极履行澄清、说明或者更正的职责，不得滥用权力。</w:t>
      </w:r>
    </w:p>
    <w:p>
      <w:pPr>
        <w:pStyle w:val="null3"/>
        <w:outlineLvl w:val="3"/>
      </w:pPr>
      <w:r>
        <w:rPr>
          <w:sz w:val="24"/>
          <w:b/>
        </w:rPr>
        <w:t>5.2.7编写协商报告</w:t>
      </w:r>
    </w:p>
    <w:p>
      <w:pPr>
        <w:pStyle w:val="null3"/>
        <w:ind w:firstLine="480"/>
      </w:pPr>
      <w:r>
        <w:rPr/>
        <w:t xml:space="preserve"> 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 xml:space="preserve"> （三）供应商提供的采购标的成本、同类项目合同价格以及相关专利、专有技术等情况说明；</w:t>
      </w:r>
    </w:p>
    <w:p>
      <w:pPr>
        <w:pStyle w:val="null3"/>
        <w:ind w:firstLine="480"/>
      </w:pPr>
      <w:r>
        <w:rPr/>
        <w:t>（四）合同主要条款及价格商定情况。</w:t>
      </w:r>
    </w:p>
    <w:p>
      <w:pPr>
        <w:pStyle w:val="null3"/>
        <w:ind w:firstLine="480"/>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t>依据本办法第四十三条 出现下列情形之一的，采购人或者采购代理机构应当终止采购活动，发布项目终止公告并说明原因，重新开展采购活动：</w:t>
      </w:r>
    </w:p>
    <w:p>
      <w:pPr>
        <w:pStyle w:val="null3"/>
        <w:ind w:firstLine="480"/>
      </w:pPr>
      <w:r>
        <w:rPr/>
        <w:t xml:space="preserve"> （一）因情况变化，不再符合规定的单一来源采购方式适用情形的；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sz w:val="24"/>
          <w:b/>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sz w:val="24"/>
          <w:b/>
        </w:rPr>
        <w:t>5.2.9终止采购活动情形</w:t>
      </w:r>
    </w:p>
    <w:p>
      <w:pPr>
        <w:pStyle w:val="null3"/>
        <w:ind w:firstLine="480"/>
      </w:pPr>
      <w:r>
        <w:rPr/>
        <w:t xml:space="preserve"> 出现下列情况之一的，协商小组应当终止采购活动，发布项目终止公告并说明原因，重新开展采购活动：</w:t>
      </w:r>
    </w:p>
    <w:p>
      <w:pPr>
        <w:pStyle w:val="null3"/>
        <w:ind w:firstLine="480"/>
      </w:pPr>
      <w:r>
        <w:rPr/>
        <w:t xml:space="preserve"> 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outlineLvl w:val="3"/>
      </w:pPr>
      <w:r>
        <w:rPr>
          <w:sz w:val="24"/>
          <w:b/>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sz w:val="24"/>
          <w:b/>
        </w:rPr>
        <w:t>5.2.11协商小组成员义务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 xml:space="preserve"> 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sz w:val="24"/>
          <w:b/>
        </w:rPr>
        <w:t>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详见附件：商务条款偏离表</w:t>
      </w:r>
    </w:p>
    <w:p>
      <w:pPr>
        <w:pStyle w:val="null3"/>
        <w:ind w:firstLine="960"/>
      </w:pPr>
      <w:r>
        <w:rPr/>
        <w:t>详见附件：技术条款偏离表</w:t>
      </w:r>
    </w:p>
    <w:p>
      <w:pPr>
        <w:pStyle w:val="null3"/>
        <w:ind w:firstLine="960"/>
      </w:pPr>
      <w:r>
        <w:rPr/>
        <w:t>详见附件：附件</w:t>
      </w:r>
    </w:p>
    <w:p>
      <w:pPr>
        <w:pStyle w:val="null3"/>
        <w:ind w:firstLine="960"/>
      </w:pPr>
      <w:r>
        <w:rPr/>
        <w:t>详见附件：其他</w:t>
      </w:r>
    </w:p>
    <w:p>
      <w:pPr>
        <w:pStyle w:val="null3"/>
        <w:ind w:firstLine="960"/>
      </w:pPr>
      <w:r>
        <w:rPr/>
        <w:t>详见附件：授权委托书</w:t>
      </w:r>
    </w:p>
    <w:p>
      <w:pPr>
        <w:pStyle w:val="null3"/>
      </w:pPr>
      <w:r>
        <w:rPr/>
        <w:t xml:space="preserve"> </w:t>
        <w:br/>
        <w:br w:type="page"/>
      </w:r>
    </w:p>
    <w:p>
      <w:pPr>
        <w:pStyle w:val="null3"/>
        <w:jc w:val="center"/>
        <w:outlineLvl w:val="1"/>
      </w:pPr>
      <w:r>
        <w:rPr>
          <w:sz w:val="36"/>
          <w:b/>
        </w:rPr>
        <w:t>第七章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