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2025年厅网络安全设备维保服务项目</w:t>
      </w:r>
    </w:p>
    <w:p>
      <w:pPr>
        <w:pStyle w:val="null3"/>
        <w:jc w:val="center"/>
        <w:outlineLvl w:val="2"/>
      </w:pPr>
      <w:r>
        <w:rPr>
          <w:sz w:val="28"/>
          <w:b/>
        </w:rPr>
        <w:t>采购项目编号：</w:t>
      </w:r>
      <w:r>
        <w:rPr>
          <w:sz w:val="28"/>
          <w:b/>
        </w:rPr>
        <w:t>LZBA2024-1838</w:t>
      </w:r>
      <w:r>
        <w:br/>
      </w:r>
      <w:r>
        <w:br/>
      </w:r>
      <w:r>
        <w:br/>
      </w:r>
    </w:p>
    <w:p>
      <w:pPr>
        <w:pStyle w:val="null3"/>
        <w:jc w:val="center"/>
        <w:outlineLvl w:val="2"/>
      </w:pPr>
      <w:r>
        <w:rPr>
          <w:sz w:val="28"/>
          <w:b/>
        </w:rPr>
        <w:t>陕西省财政厅机关</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2024年12月03日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龙寰项目管理咨询有限公司</w:t>
      </w:r>
      <w:r>
        <w:rPr/>
        <w:t>（以下简称“代理机构”）受</w:t>
      </w:r>
      <w:r>
        <w:rPr/>
        <w:t>陕西省财政厅机关</w:t>
      </w:r>
      <w:r>
        <w:rPr/>
        <w:t>委托，拟对</w:t>
      </w:r>
      <w:r>
        <w:rPr/>
        <w:t>2025年厅网络安全设备维保服务项目</w:t>
      </w:r>
      <w:r>
        <w:rPr/>
        <w:t>采用竞争性磋商采购方式进行采购，兹邀请供应商参加本项目的竞争性磋商。</w:t>
      </w:r>
    </w:p>
    <w:p>
      <w:pPr>
        <w:pStyle w:val="null3"/>
        <w:outlineLvl w:val="2"/>
      </w:pPr>
      <w:r>
        <w:rPr>
          <w:sz w:val="28"/>
          <w:b/>
        </w:rPr>
        <w:t>一、项目编号：</w:t>
      </w:r>
      <w:r>
        <w:rPr>
          <w:sz w:val="28"/>
          <w:b/>
        </w:rPr>
        <w:t>LZBA2024-1838</w:t>
      </w:r>
    </w:p>
    <w:p>
      <w:pPr>
        <w:pStyle w:val="null3"/>
        <w:outlineLvl w:val="2"/>
      </w:pPr>
      <w:r>
        <w:rPr>
          <w:sz w:val="28"/>
          <w:b/>
        </w:rPr>
        <w:t>二、项目名称：</w:t>
      </w:r>
      <w:r>
        <w:rPr>
          <w:sz w:val="28"/>
          <w:b/>
        </w:rPr>
        <w:t>2025年厅网络安全设备维保服务项目</w:t>
      </w:r>
    </w:p>
    <w:p>
      <w:pPr>
        <w:pStyle w:val="null3"/>
        <w:outlineLvl w:val="2"/>
      </w:pPr>
      <w:r>
        <w:rPr>
          <w:sz w:val="28"/>
          <w:b/>
        </w:rPr>
        <w:t>三、磋商项目简介</w:t>
      </w:r>
    </w:p>
    <w:p>
      <w:pPr>
        <w:pStyle w:val="null3"/>
        <w:ind w:firstLine="480"/>
      </w:pPr>
      <w:r>
        <w:rPr/>
        <w:t>为保障我厅网络安全防护能力，需要购买厅网络安全设备（外网防火墙、网络入侵防御设备、网络安全审计网络实名认证及审计、内外网堡垒机、DHCP及DNS管理系统、自动化安全测试评估系统、网闸、VPN、云安全管理平台等），信创网络安全设备（防火墙、入侵检测、WAF、网络审计、日志收集与分析系统、运维安全管理系统、负载均衡系统、数据库审计等多款产品）等安全设备的维保服务、设备硬件质保、软件升级、规则库更新、备品备件及全年7*24小时技术支持服务。</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 、其他组织或自然人：具有独立承担民事责任能力的法人、其他组织或自然人：法人或者其他组织提供营业执照等证明文件，自然人提供身份证件，供应商需在项目电子化交易系统中按要求上传相应证明文件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t>2、财务状况报告：财务状况报告：供应商近年（2023年）经审计的财务报告（事业法人可提供部门决算报告）或基本开户银行出具的 资信证明或政府采购专业担保机构出具的投标担保函，供应商需在项目电子化交易系统中按要求上传相应证明文件</w:t>
      </w:r>
    </w:p>
    <w:p>
      <w:pPr>
        <w:pStyle w:val="null3"/>
      </w:pPr>
      <w:r>
        <w:rPr/>
        <w:t>3、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t>4、书面声明：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其中：重大违法记录是指供应商因违法经营受到刑事处罚或者责令停产停业、吊销许可证或者执照、较大数额罚款等行政处罚</w:t>
      </w:r>
    </w:p>
    <w:p>
      <w:pPr>
        <w:pStyle w:val="null3"/>
      </w:pPr>
      <w:r>
        <w:rPr/>
        <w:t>5、具有履行合同所必需的设备和专业技术能力的承诺函：履行合同所必需的设备和专业技术能力书面声明函：具有履行合同所必需的设备和专业技术能力书面声明函，供应商 需在项目电子化交易系统中按要求上传相应证明文件并进行电子签章。</w:t>
      </w:r>
    </w:p>
    <w:p>
      <w:pPr>
        <w:pStyle w:val="null3"/>
      </w:pPr>
      <w:r>
        <w:rPr/>
        <w:t>6、供应商不得为“信用中国”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陕西省财政厅机关</w:t>
      </w:r>
    </w:p>
    <w:p>
      <w:pPr>
        <w:pStyle w:val="null3"/>
      </w:pPr>
      <w:r>
        <w:rPr/>
        <w:t xml:space="preserve"> 地址： </w:t>
      </w:r>
      <w:r>
        <w:rPr/>
        <w:t>西安市莲湖区冰窖巷6号</w:t>
      </w:r>
    </w:p>
    <w:p>
      <w:pPr>
        <w:pStyle w:val="null3"/>
      </w:pPr>
      <w:r>
        <w:rPr/>
        <w:t xml:space="preserve"> 邮编： </w:t>
      </w:r>
      <w:r>
        <w:rPr/>
        <w:t>/</w:t>
      </w:r>
    </w:p>
    <w:p>
      <w:pPr>
        <w:pStyle w:val="null3"/>
      </w:pPr>
      <w:r>
        <w:rPr/>
        <w:t xml:space="preserve"> 联系人： </w:t>
      </w:r>
      <w:r>
        <w:rPr/>
        <w:t>黄卫东</w:t>
      </w:r>
    </w:p>
    <w:p>
      <w:pPr>
        <w:pStyle w:val="null3"/>
      </w:pPr>
      <w:r>
        <w:rPr/>
        <w:t xml:space="preserve"> 联系电话： </w:t>
      </w:r>
      <w:r>
        <w:rPr/>
        <w:t>029-68936196</w:t>
      </w:r>
    </w:p>
    <w:p>
      <w:pPr>
        <w:pStyle w:val="null3"/>
        <w:outlineLvl w:val="3"/>
      </w:pPr>
      <w:r>
        <w:rPr>
          <w:sz w:val="24"/>
          <w:b/>
        </w:rPr>
        <w:t>代理机构：</w:t>
      </w:r>
      <w:r>
        <w:rPr>
          <w:sz w:val="24"/>
          <w:b/>
        </w:rPr>
        <w:t>龙寰项目管理咨询有限公司</w:t>
      </w:r>
    </w:p>
    <w:p>
      <w:pPr>
        <w:pStyle w:val="null3"/>
      </w:pPr>
      <w:r>
        <w:rPr/>
        <w:t xml:space="preserve"> 地址： </w:t>
      </w:r>
      <w:r>
        <w:rPr/>
        <w:t>西安市太白南路181号西部电子社区A座A区501室</w:t>
      </w:r>
    </w:p>
    <w:p>
      <w:pPr>
        <w:pStyle w:val="null3"/>
      </w:pPr>
      <w:r>
        <w:rPr/>
        <w:t xml:space="preserve"> 邮编： </w:t>
      </w:r>
      <w:r>
        <w:rPr/>
        <w:t>710065</w:t>
      </w:r>
    </w:p>
    <w:p>
      <w:pPr>
        <w:pStyle w:val="null3"/>
      </w:pPr>
      <w:r>
        <w:rPr/>
        <w:t xml:space="preserve"> 联系人： </w:t>
      </w:r>
      <w:r>
        <w:rPr/>
        <w:t>郝嘉钰、刘婧、张波</w:t>
      </w:r>
    </w:p>
    <w:p>
      <w:pPr>
        <w:pStyle w:val="null3"/>
      </w:pPr>
      <w:r>
        <w:rPr/>
        <w:t xml:space="preserve"> 联系电话： </w:t>
      </w:r>
      <w:r>
        <w:rPr/>
        <w:t xml:space="preserve"> 029-88228899-613</w:t>
      </w:r>
    </w:p>
    <w:p>
      <w:pPr>
        <w:pStyle w:val="null3"/>
        <w:outlineLvl w:val="3"/>
      </w:pPr>
      <w:r>
        <w:rPr>
          <w:sz w:val="24"/>
          <w:b/>
        </w:rPr>
        <w:t>采购监督机构：</w:t>
      </w:r>
      <w:r>
        <w:rPr>
          <w:sz w:val="24"/>
          <w:b/>
        </w:rPr>
        <w:t>财政厅政府采购管理处</w:t>
      </w:r>
    </w:p>
    <w:p>
      <w:pPr>
        <w:pStyle w:val="null3"/>
        <w:ind w:firstLine="480"/>
      </w:pPr>
      <w:r>
        <w:rPr/>
        <w:t>联系人：</w:t>
      </w:r>
      <w:r>
        <w:rPr/>
        <w:t>柴老师、张老师</w:t>
      </w:r>
    </w:p>
    <w:p>
      <w:pPr>
        <w:pStyle w:val="null3"/>
        <w:ind w:firstLine="480"/>
      </w:pPr>
      <w:r>
        <w:rPr/>
        <w:t>联系电话：</w:t>
      </w:r>
      <w:r>
        <w:rPr/>
        <w:t>029-87611715、029-68936154</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采购包1：675,400.00元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代理服务费收费标准：1、成交单位在领取成交通知书前，须向采购代理机构支付采购代理服务费。 2、采购代理服务费参照《国家计委关于印发&lt;招标代理服务收费管理暂行办法&gt;的通知》（计价格[2002]1980号）和国家发展和改革委员会办公厅颁发的《关于招标代理服务收费有关问题的通知》（发改办价格[2003]857号）规定标准下浮30%收取。此采购代理服务费应计入响应报价中，但不需要单独开列。 3、采购代理服务费以转账或现金形式交纳，服务费缴纳帐号如下： 收款单位：龙寰项目管理咨询有限公司 开 户 行：平安银行西安高新路支行 账 号：30201278015764</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陕西省财政厅机关</w:t>
      </w:r>
      <w:r>
        <w:rPr/>
        <w:t>和</w:t>
      </w:r>
      <w:r>
        <w:rPr/>
        <w:t>龙寰项目管理咨询有限公司</w:t>
      </w:r>
      <w:r>
        <w:rPr/>
        <w:t>享有。对磋商文件中供应商参加本次政府采购活动应当具备的条件，磋商项目技术、服务、商务及其他要求，评审细则及标准由</w:t>
      </w:r>
      <w:r>
        <w:rPr/>
        <w:t>陕西省财政厅机关</w:t>
      </w:r>
      <w:r>
        <w:rPr/>
        <w:t>负责解释。除上述磋商文件内容，其他内容由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陕西省财政厅机关</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项目磋商文件，国库支付中心项目验收办法。</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龙寰项目管理咨询有限公司</w:t>
      </w:r>
      <w:r>
        <w:rPr/>
        <w:t xml:space="preserve"> 负责答复；供应商对除采购需求外的采购文件的询问、质疑由</w:t>
      </w:r>
      <w:r>
        <w:rPr/>
        <w:t>龙寰项目管理咨询有限公司</w:t>
      </w:r>
      <w:r>
        <w:rPr/>
        <w:t xml:space="preserve"> 负责答复；供应商对采购过程、采购结果的询问、质疑由 </w:t>
      </w:r>
      <w:r>
        <w:rPr/>
        <w:t>龙寰项目管理咨询有限公司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联系人：郝嘉钰、刘婧、张波</w:t>
      </w:r>
    </w:p>
    <w:p>
      <w:pPr>
        <w:pStyle w:val="null3"/>
      </w:pPr>
      <w:r>
        <w:rPr/>
        <w:t>联系电话：029-88228899-613</w:t>
      </w:r>
    </w:p>
    <w:p>
      <w:pPr>
        <w:pStyle w:val="null3"/>
      </w:pPr>
      <w:r>
        <w:rPr/>
        <w:t>地址：西安市太白南路181号西部安电子社区A座A区501室</w:t>
      </w:r>
    </w:p>
    <w:p>
      <w:pPr>
        <w:pStyle w:val="null3"/>
      </w:pPr>
      <w:r>
        <w:rPr/>
        <w:t>邮编：710061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保障我厅网络安全防护能力，需要购买厅网络安全设备（外网防火墙、网络入侵防御设备、网络安全审计网络实名认证及审计、内外网堡垒机、DHCP及DNS管理系统、自动化安全测试评估系统、网闸、VPN、云安全管理平台等），信创网络安全设备（防火墙、入侵检测、WAF、网络审计、日志收集与分析系统、运维安全管理系统、负载均衡系统、数据库审计等多款产品）等安全设备的维保服务、设备硬件质保、软件升级、规则库更新、备品备件及全年7*24小时技术支持服务。</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675,400.00</w:t>
      </w:r>
    </w:p>
    <w:p>
      <w:pPr>
        <w:pStyle w:val="null3"/>
      </w:pPr>
      <w:r>
        <w:rPr/>
        <w:t>采购包最高限价（元）: 675,400.00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厅网络安全设备</w:t>
            </w:r>
          </w:p>
        </w:tc>
        <w:tc>
          <w:tcPr>
            <w:tcW w:type="dxa" w:w="831"/>
          </w:tcPr>
          <w:p>
            <w:pPr>
              <w:pStyle w:val="null3"/>
              <w:jc w:val="right"/>
            </w:pPr>
            <w:r>
              <w:rPr/>
              <w:t>1.00</w:t>
            </w:r>
          </w:p>
        </w:tc>
        <w:tc>
          <w:tcPr>
            <w:tcW w:type="dxa" w:w="831"/>
          </w:tcPr>
          <w:p>
            <w:pPr>
              <w:pStyle w:val="null3"/>
              <w:jc w:val="right"/>
            </w:pPr>
            <w:r>
              <w:rPr/>
              <w:t>675,400.00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标的名称：厅网络安全设备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181"/>
            </w:pPr>
            <w:r>
              <w:rPr>
                <w:rFonts w:ascii="宋体" w:hAnsi="宋体" w:cs="宋体" w:eastAsia="宋体"/>
                <w:sz w:val="18"/>
                <w:b/>
                <w:color w:val="000000"/>
              </w:rPr>
              <w:t>一</w:t>
            </w:r>
            <w:r>
              <w:rPr>
                <w:rFonts w:ascii="宋体" w:hAnsi="宋体" w:cs="宋体" w:eastAsia="宋体"/>
                <w:sz w:val="18"/>
                <w:b/>
                <w:color w:val="000000"/>
              </w:rPr>
              <w:t>.项目简介</w:t>
            </w:r>
            <w:r>
              <w:rPr>
                <w:rFonts w:ascii="宋体" w:hAnsi="宋体" w:cs="宋体" w:eastAsia="宋体"/>
                <w:sz w:val="18"/>
                <w:color w:val="000000"/>
              </w:rPr>
              <w:t>：</w:t>
            </w:r>
          </w:p>
          <w:p>
            <w:pPr>
              <w:pStyle w:val="null3"/>
              <w:ind w:firstLine="180"/>
            </w:pPr>
            <w:r>
              <w:rPr>
                <w:rFonts w:ascii="宋体" w:hAnsi="宋体" w:cs="宋体" w:eastAsia="宋体"/>
                <w:sz w:val="18"/>
                <w:color w:val="000000"/>
              </w:rPr>
              <w:t>为保障我厅网络安全防护能力，需要购买厅网络安全设备（外网防火墙、网络入侵防御设备、网络安全审计网络实名认证及审计、内外网堡垒机、</w:t>
            </w:r>
            <w:r>
              <w:rPr>
                <w:rFonts w:ascii="宋体" w:hAnsi="宋体" w:cs="宋体" w:eastAsia="宋体"/>
                <w:sz w:val="18"/>
                <w:color w:val="000000"/>
              </w:rPr>
              <w:t>DHCP及DNS管理系统、自动化安全测试评估系统、网闸、VPN、云安全管理平台等），信创网络安全设备（防火墙、入侵检测、WAF、网络审计、日志收集与分析系统、运维安全管理系统、负载均衡系统、数据库审计等多款产品）等安全设备的维保服务、设备硬件质保、软件升级、规则库更新、备品备件及全年7*24小时技术支持服务。</w:t>
            </w:r>
          </w:p>
          <w:p>
            <w:pPr>
              <w:pStyle w:val="null3"/>
              <w:ind w:firstLine="181"/>
            </w:pPr>
            <w:r>
              <w:rPr>
                <w:rFonts w:ascii="宋体" w:hAnsi="宋体" w:cs="宋体" w:eastAsia="宋体"/>
                <w:sz w:val="18"/>
                <w:b/>
                <w:color w:val="000000"/>
              </w:rPr>
              <w:t>二</w:t>
            </w:r>
            <w:r>
              <w:rPr>
                <w:rFonts w:ascii="宋体" w:hAnsi="宋体" w:cs="宋体" w:eastAsia="宋体"/>
                <w:sz w:val="18"/>
                <w:b/>
                <w:color w:val="000000"/>
              </w:rPr>
              <w:t>.项目预算金额：</w:t>
            </w:r>
            <w:r>
              <w:rPr>
                <w:rFonts w:ascii="宋体" w:hAnsi="宋体" w:cs="宋体" w:eastAsia="宋体"/>
                <w:sz w:val="18"/>
                <w:color w:val="000000"/>
              </w:rPr>
              <w:t>67.54万元。</w:t>
            </w:r>
          </w:p>
          <w:p>
            <w:pPr>
              <w:pStyle w:val="null3"/>
              <w:ind w:firstLine="181"/>
            </w:pPr>
            <w:r>
              <w:rPr>
                <w:rFonts w:ascii="宋体" w:hAnsi="宋体" w:cs="宋体" w:eastAsia="宋体"/>
                <w:sz w:val="18"/>
                <w:b/>
                <w:color w:val="000000"/>
              </w:rPr>
              <w:t>三</w:t>
            </w:r>
            <w:r>
              <w:rPr>
                <w:rFonts w:ascii="宋体" w:hAnsi="宋体" w:cs="宋体" w:eastAsia="宋体"/>
                <w:sz w:val="18"/>
                <w:b/>
                <w:color w:val="000000"/>
              </w:rPr>
              <w:t>.维保设备清单：</w:t>
            </w:r>
          </w:p>
          <w:p>
            <w:pPr>
              <w:pStyle w:val="null3"/>
              <w:ind w:firstLine="180"/>
            </w:pPr>
            <w:r>
              <w:rPr>
                <w:rFonts w:ascii="宋体" w:hAnsi="宋体" w:cs="宋体" w:eastAsia="宋体"/>
                <w:sz w:val="18"/>
                <w:color w:val="000000"/>
              </w:rPr>
              <w:t>3.1 网络安全设备清单</w:t>
            </w:r>
          </w:p>
          <w:tbl>
            <w:tblPr>
              <w:tblInd w:type="dxa" w:w="120"/>
              <w:tblBorders>
                <w:top w:val="none" w:color="000000" w:sz="4"/>
                <w:left w:val="none" w:color="000000" w:sz="4"/>
                <w:bottom w:val="none" w:color="000000" w:sz="4"/>
                <w:right w:val="none" w:color="000000" w:sz="4"/>
                <w:insideH w:val="none"/>
                <w:insideV w:val="none"/>
              </w:tblBorders>
            </w:tblPr>
            <w:tblGrid>
              <w:gridCol w:w="274"/>
              <w:gridCol w:w="673"/>
              <w:gridCol w:w="740"/>
              <w:gridCol w:w="243"/>
              <w:gridCol w:w="243"/>
              <w:gridCol w:w="367"/>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pPr>
                  <w:r>
                    <w:rPr>
                      <w:rFonts w:ascii="宋体" w:hAnsi="宋体" w:cs="宋体" w:eastAsia="宋体"/>
                      <w:sz w:val="20"/>
                      <w:b/>
                      <w:color w:val="000000"/>
                    </w:rPr>
                    <w:t>序号</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1"/>
                  </w:pPr>
                  <w:r>
                    <w:rPr>
                      <w:rFonts w:ascii="宋体" w:hAnsi="宋体" w:cs="宋体" w:eastAsia="宋体"/>
                      <w:sz w:val="20"/>
                      <w:b/>
                      <w:color w:val="000000"/>
                    </w:rPr>
                    <w:t>设备名称</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1"/>
                  </w:pPr>
                  <w:r>
                    <w:rPr>
                      <w:rFonts w:ascii="宋体" w:hAnsi="宋体" w:cs="宋体" w:eastAsia="宋体"/>
                      <w:sz w:val="20"/>
                      <w:b/>
                      <w:color w:val="000000"/>
                    </w:rPr>
                    <w:t>品牌型号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1"/>
                  </w:pPr>
                  <w:r>
                    <w:rPr>
                      <w:rFonts w:ascii="宋体" w:hAnsi="宋体" w:cs="宋体" w:eastAsia="宋体"/>
                      <w:sz w:val="20"/>
                      <w:b/>
                      <w:color w:val="000000"/>
                    </w:rPr>
                    <w:t>数量</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1"/>
                  </w:pPr>
                  <w:r>
                    <w:rPr>
                      <w:rFonts w:ascii="宋体" w:hAnsi="宋体" w:cs="宋体" w:eastAsia="宋体"/>
                      <w:sz w:val="20"/>
                      <w:b/>
                      <w:color w:val="000000"/>
                    </w:rPr>
                    <w:t>单位</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1"/>
                  </w:pPr>
                  <w:r>
                    <w:rPr>
                      <w:rFonts w:ascii="宋体" w:hAnsi="宋体" w:cs="宋体" w:eastAsia="宋体"/>
                      <w:sz w:val="20"/>
                      <w:b/>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防火墙</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w:t>
                  </w:r>
                </w:p>
                <w:p>
                  <w:pPr>
                    <w:pStyle w:val="null3"/>
                    <w:ind w:firstLine="180"/>
                  </w:pPr>
                  <w:r>
                    <w:rPr>
                      <w:rFonts w:ascii="宋体" w:hAnsi="宋体" w:cs="宋体" w:eastAsia="宋体"/>
                      <w:sz w:val="18"/>
                      <w:color w:val="000000"/>
                    </w:rPr>
                    <w:t>NGFW4000-UF(NG-81010)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原厂硬件维保、软件升级、特征库库升级及7*24小时技术支持服务</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网络入侵防御IPS</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 TopIDP3000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网络审计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TA-508-Net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网络实名制认证及审计设备（PA）</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派网 PB-3000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网络核心交换系统</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S7506E</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负载均衡设备（AD）</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深信服 AD-1000-G642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网络审计规则库许可（2套）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 license</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年</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网络入侵防御IPS 规则库许可（2套）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 license</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年</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网络实名制认证及审计设备（PA）</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派网 license</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年</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网页防篡改系统</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网页防篡改服务器版</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套</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DHCP及DNS管理系统</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迪讯 CNS APP 1000(102C)-TWDA</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自动化安全测试评估系统</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墨云 VackBot RSV/2.0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套</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运维安全审计系统(堡垒机)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w:t>
                  </w:r>
                </w:p>
                <w:p>
                  <w:pPr>
                    <w:pStyle w:val="null3"/>
                    <w:ind w:firstLine="180"/>
                  </w:pPr>
                  <w:r>
                    <w:rPr>
                      <w:rFonts w:ascii="宋体" w:hAnsi="宋体" w:cs="宋体" w:eastAsia="宋体"/>
                      <w:sz w:val="18"/>
                      <w:color w:val="000000"/>
                    </w:rPr>
                    <w:t>TopSAG NSAG-51410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网闸</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w:t>
                  </w:r>
                </w:p>
                <w:p>
                  <w:pPr>
                    <w:pStyle w:val="null3"/>
                    <w:ind w:firstLine="180"/>
                  </w:pPr>
                  <w:r>
                    <w:rPr>
                      <w:rFonts w:ascii="宋体" w:hAnsi="宋体" w:cs="宋体" w:eastAsia="宋体"/>
                      <w:sz w:val="18"/>
                      <w:color w:val="000000"/>
                    </w:rPr>
                    <w:t>TopRules NR-31816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VPN</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w:t>
                  </w:r>
                </w:p>
                <w:p>
                  <w:pPr>
                    <w:pStyle w:val="null3"/>
                    <w:ind w:firstLine="180"/>
                  </w:pPr>
                  <w:r>
                    <w:rPr>
                      <w:rFonts w:ascii="宋体" w:hAnsi="宋体" w:cs="宋体" w:eastAsia="宋体"/>
                      <w:sz w:val="18"/>
                      <w:color w:val="000000"/>
                    </w:rPr>
                    <w:t>TopVPN 6000 NV-61426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67"/>
                  <w:vMerge/>
                  <w:tcBorders>
                    <w:top w:val="none" w:color="000000" w:sz="4"/>
                    <w:left w:val="none" w:color="000000" w:sz="4"/>
                    <w:bottom w:val="single" w:color="000000" w:sz="4"/>
                    <w:right w:val="single" w:color="000000" w:sz="4"/>
                  </w:tcBorders>
                </w:tc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宋体" w:hAnsi="宋体" w:cs="宋体" w:eastAsia="宋体"/>
                      <w:sz w:val="20"/>
                      <w:color w:val="000000"/>
                    </w:rPr>
                    <w:t>16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云安全管理平台</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w:t>
                  </w:r>
                </w:p>
                <w:p>
                  <w:pPr>
                    <w:pStyle w:val="null3"/>
                    <w:ind w:firstLine="180"/>
                  </w:pPr>
                  <w:r>
                    <w:rPr>
                      <w:rFonts w:ascii="宋体" w:hAnsi="宋体" w:cs="宋体" w:eastAsia="宋体"/>
                      <w:sz w:val="18"/>
                      <w:color w:val="000000"/>
                    </w:rPr>
                    <w:t>TopSDS TSS-MGT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pPr>
                  <w:r>
                    <w:rPr>
                      <w:rFonts w:ascii="宋体" w:hAnsi="宋体" w:cs="宋体" w:eastAsia="宋体"/>
                      <w:sz w:val="18"/>
                      <w:color w:val="000000"/>
                    </w:rPr>
                    <w:t>组</w:t>
                  </w:r>
                </w:p>
              </w:tc>
              <w:tc>
                <w:tcPr>
                  <w:tcW w:type="dxa" w:w="367"/>
                  <w:vMerge/>
                  <w:tcBorders>
                    <w:top w:val="none" w:color="000000" w:sz="4"/>
                    <w:left w:val="none" w:color="000000" w:sz="4"/>
                    <w:bottom w:val="single" w:color="000000" w:sz="4"/>
                    <w:right w:val="single" w:color="000000" w:sz="4"/>
                  </w:tcBorders>
                </w:tcPr>
                <w:p/>
              </w:tc>
            </w:tr>
          </w:tbl>
          <w:p>
            <w:pPr>
              <w:pStyle w:val="null3"/>
              <w:ind w:firstLine="180"/>
            </w:pPr>
            <w:r>
              <w:rPr>
                <w:rFonts w:ascii="宋体" w:hAnsi="宋体" w:cs="宋体" w:eastAsia="宋体"/>
                <w:sz w:val="18"/>
                <w:color w:val="000000"/>
              </w:rPr>
              <w:t>3.2 信创网络安全设备清单</w:t>
            </w:r>
          </w:p>
          <w:tbl>
            <w:tblPr>
              <w:tblInd w:type="dxa" w:w="120"/>
              <w:tblBorders>
                <w:top w:val="none" w:color="000000" w:sz="4"/>
                <w:left w:val="none" w:color="000000" w:sz="4"/>
                <w:bottom w:val="none" w:color="000000" w:sz="4"/>
                <w:right w:val="none" w:color="000000" w:sz="4"/>
                <w:insideH w:val="none"/>
                <w:insideV w:val="none"/>
              </w:tblBorders>
            </w:tblPr>
            <w:tblGrid>
              <w:gridCol w:w="265"/>
              <w:gridCol w:w="673"/>
              <w:gridCol w:w="718"/>
              <w:gridCol w:w="257"/>
              <w:gridCol w:w="248"/>
              <w:gridCol w:w="376"/>
            </w:tblGrid>
            <w:tr>
              <w:tc>
                <w:tcPr>
                  <w:tcW w:type="dxa" w:w="2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1"/>
                  </w:pPr>
                  <w:r>
                    <w:rPr>
                      <w:rFonts w:ascii="宋体" w:hAnsi="宋体" w:cs="宋体" w:eastAsia="宋体"/>
                      <w:sz w:val="18"/>
                      <w:b/>
                      <w:color w:val="000000"/>
                    </w:rPr>
                    <w:t>序号</w:t>
                  </w:r>
                </w:p>
              </w:tc>
              <w:tc>
                <w:tcPr>
                  <w:tcW w:type="dxa" w:w="6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1"/>
                  </w:pPr>
                  <w:r>
                    <w:rPr>
                      <w:rFonts w:ascii="宋体" w:hAnsi="宋体" w:cs="宋体" w:eastAsia="宋体"/>
                      <w:sz w:val="18"/>
                      <w:b/>
                      <w:color w:val="000000"/>
                    </w:rPr>
                    <w:t>设备名称</w:t>
                  </w:r>
                </w:p>
              </w:tc>
              <w:tc>
                <w:tcPr>
                  <w:tcW w:type="dxa" w:w="7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1"/>
                  </w:pPr>
                  <w:r>
                    <w:rPr>
                      <w:rFonts w:ascii="宋体" w:hAnsi="宋体" w:cs="宋体" w:eastAsia="宋体"/>
                      <w:sz w:val="18"/>
                      <w:b/>
                      <w:color w:val="000000"/>
                    </w:rPr>
                    <w:t>品牌型号</w:t>
                  </w:r>
                </w:p>
              </w:tc>
              <w:tc>
                <w:tcPr>
                  <w:tcW w:type="dxa" w:w="2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1"/>
                  </w:pPr>
                  <w:r>
                    <w:rPr>
                      <w:rFonts w:ascii="宋体" w:hAnsi="宋体" w:cs="宋体" w:eastAsia="宋体"/>
                      <w:sz w:val="18"/>
                      <w:b/>
                      <w:color w:val="000000"/>
                    </w:rPr>
                    <w:t>数量</w:t>
                  </w:r>
                </w:p>
              </w:tc>
              <w:tc>
                <w:tcPr>
                  <w:tcW w:type="dxa" w:w="2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1"/>
                  </w:pPr>
                  <w:r>
                    <w:rPr>
                      <w:rFonts w:ascii="宋体" w:hAnsi="宋体" w:cs="宋体" w:eastAsia="宋体"/>
                      <w:sz w:val="18"/>
                      <w:b/>
                      <w:color w:val="000000"/>
                    </w:rPr>
                    <w:t>单位</w:t>
                  </w:r>
                </w:p>
              </w:tc>
              <w:tc>
                <w:tcPr>
                  <w:tcW w:type="dxa" w:w="3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1"/>
                  </w:pPr>
                  <w:r>
                    <w:rPr>
                      <w:rFonts w:ascii="宋体" w:hAnsi="宋体" w:cs="宋体" w:eastAsia="宋体"/>
                      <w:sz w:val="18"/>
                      <w:b/>
                      <w:color w:val="000000"/>
                    </w:rPr>
                    <w:t>备注</w:t>
                  </w: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天融信防火墙系统V3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天融信NGFW4000-UF(FT-A)(万兆)V3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8</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原厂硬件维保、软件升级、特征库库升级及7*24小时技术支持服务</w:t>
                  </w: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2</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天融信主机监控与审计系统V3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天融信TSM-21328-TopNAC</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3</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天融信Web应用安全防护系统V3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 TopWAF(FT-A)(万兆)V3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4</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僵木蠕监测系统</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天融信TVD-7155A</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5</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流量复制器</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天融信TopApp(TAD-82118)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6</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天融信入侵防御系统V3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天融信TopSentry3000(FT-B)(万兆)V3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7</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天融信入侵检测系统V3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天融信TopSentry3000(FT-B)(万兆)V3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8</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天融信网络审计系统V3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 TA-Net(ZX-A)V3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9</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天融信数据库审计系统V3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 TA-DB(ZX-A)V3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10</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天融信日志收集与分析系统V3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天融信TopAuditTA-L-HSE-100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11</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天融信运维安全管理系统V3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天融信TopSAG(ZX-A)V3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12</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绿盟远程安全评估系统RSAS</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绿盟 NX3-HFB/V6.0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1</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13</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天融信负载均衡系统V3</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天融信TopApp(TAD-82118)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14</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天融信VPN系统V6</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天融信TopVPN 6000(ZX-B20)V6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pPr>
                  <w:r>
                    <w:rPr>
                      <w:rFonts w:ascii="宋体" w:hAnsi="宋体" w:cs="宋体" w:eastAsia="宋体"/>
                      <w:sz w:val="20"/>
                      <w:color w:val="000000"/>
                    </w:rPr>
                    <w:t>15</w:t>
                  </w:r>
                </w:p>
              </w:tc>
              <w:tc>
                <w:tcPr>
                  <w:tcW w:type="dxa" w:w="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服务器密码机</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三未信安 SJJ1948-G</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80"/>
                  </w:pPr>
                  <w:r>
                    <w:rPr>
                      <w:rFonts w:ascii="宋体" w:hAnsi="宋体" w:cs="宋体" w:eastAsia="宋体"/>
                      <w:sz w:val="18"/>
                      <w:color w:val="000000"/>
                    </w:rPr>
                    <w:t>台</w:t>
                  </w:r>
                </w:p>
              </w:tc>
              <w:tc>
                <w:tcPr>
                  <w:tcW w:type="dxa" w:w="376"/>
                  <w:vMerge/>
                  <w:tcBorders>
                    <w:top w:val="none" w:color="000000" w:sz="4"/>
                    <w:left w:val="none" w:color="000000" w:sz="4"/>
                    <w:bottom w:val="single" w:color="000000" w:sz="4"/>
                    <w:right w:val="single" w:color="000000" w:sz="4"/>
                  </w:tcBorders>
                </w:tcPr>
                <w:p/>
              </w:tc>
            </w:tr>
          </w:tbl>
          <w:p>
            <w:pPr>
              <w:pStyle w:val="null3"/>
              <w:ind w:firstLine="180"/>
            </w:pPr>
            <w:r>
              <w:rPr>
                <w:rFonts w:ascii="宋体" w:hAnsi="宋体" w:cs="宋体" w:eastAsia="宋体"/>
                <w:sz w:val="18"/>
                <w:color w:val="000000"/>
              </w:rPr>
              <w:t>四</w:t>
            </w:r>
            <w:r>
              <w:rPr>
                <w:rFonts w:ascii="宋体" w:hAnsi="宋体" w:cs="宋体" w:eastAsia="宋体"/>
                <w:sz w:val="18"/>
                <w:color w:val="000000"/>
              </w:rPr>
              <w:t>.技术规格：</w:t>
            </w:r>
          </w:p>
          <w:p>
            <w:pPr>
              <w:pStyle w:val="null3"/>
              <w:ind w:firstLine="180"/>
            </w:pPr>
            <w:r>
              <w:rPr>
                <w:rFonts w:ascii="宋体" w:hAnsi="宋体" w:cs="宋体" w:eastAsia="宋体"/>
                <w:sz w:val="18"/>
                <w:color w:val="000000"/>
              </w:rPr>
              <w:t>为保障我厅网络安全体系正常运行，需购买网络安全设备维保服务、设备硬件质保、软件升级、规则库更新、备品备件及全年</w:t>
            </w:r>
            <w:r>
              <w:rPr>
                <w:rFonts w:ascii="宋体" w:hAnsi="宋体" w:cs="宋体" w:eastAsia="宋体"/>
                <w:sz w:val="18"/>
                <w:color w:val="000000"/>
              </w:rPr>
              <w:t>7*24小时技术支持服务，保障我厅网络安全体系架构的安全稳定运行，具体的要求如下：</w:t>
            </w:r>
          </w:p>
          <w:p>
            <w:pPr>
              <w:pStyle w:val="null3"/>
              <w:ind w:firstLine="180"/>
            </w:pPr>
            <w:r>
              <w:rPr>
                <w:rFonts w:ascii="宋体" w:hAnsi="宋体" w:cs="宋体" w:eastAsia="宋体"/>
                <w:sz w:val="18"/>
                <w:color w:val="000000"/>
              </w:rPr>
              <w:t>4.1 总体要求</w:t>
            </w:r>
          </w:p>
          <w:p>
            <w:pPr>
              <w:pStyle w:val="null3"/>
              <w:ind w:firstLine="180"/>
            </w:pPr>
            <w:r>
              <w:rPr>
                <w:rFonts w:ascii="宋体" w:hAnsi="宋体" w:cs="宋体" w:eastAsia="宋体"/>
                <w:sz w:val="18"/>
                <w:color w:val="000000"/>
              </w:rPr>
              <w:t>4.1.1 故障维护</w:t>
            </w:r>
          </w:p>
          <w:p>
            <w:pPr>
              <w:pStyle w:val="null3"/>
              <w:ind w:firstLine="180"/>
            </w:pPr>
            <w:r>
              <w:rPr>
                <w:rFonts w:ascii="宋体" w:hAnsi="宋体" w:cs="宋体" w:eastAsia="宋体"/>
                <w:sz w:val="18"/>
                <w:color w:val="000000"/>
              </w:rPr>
              <w:t>供应商服务工程师应在故障维护的同时，针对性地对故障的现象、分析、诊断、定位等向用户方技术人员进行现场指导培训，以提高用户方信息系统软硬件设备的运行率。</w:t>
            </w:r>
          </w:p>
          <w:p>
            <w:pPr>
              <w:pStyle w:val="null3"/>
              <w:ind w:firstLine="180"/>
            </w:pPr>
            <w:r>
              <w:rPr>
                <w:rFonts w:ascii="宋体" w:hAnsi="宋体" w:cs="宋体" w:eastAsia="宋体"/>
                <w:sz w:val="18"/>
                <w:color w:val="000000"/>
              </w:rPr>
              <w:t>4.1.2 重装和软硬件版本升级</w:t>
            </w:r>
          </w:p>
          <w:p>
            <w:pPr>
              <w:pStyle w:val="null3"/>
              <w:ind w:firstLine="180"/>
            </w:pPr>
            <w:r>
              <w:rPr>
                <w:rFonts w:ascii="宋体" w:hAnsi="宋体" w:cs="宋体" w:eastAsia="宋体"/>
                <w:sz w:val="18"/>
                <w:color w:val="000000"/>
              </w:rPr>
              <w:t>供应商服务工程师应在重装和软硬件版本升级的同时，针对性地对用户方技术人员进行现场指导培训，告知升级后各种对系统可能造成的隐患以及如何排除隐患进行说明和预防，以提高用户方信息系统软硬件设备的运行率。</w:t>
            </w:r>
          </w:p>
          <w:p>
            <w:pPr>
              <w:pStyle w:val="null3"/>
              <w:ind w:firstLine="180"/>
            </w:pPr>
            <w:r>
              <w:rPr>
                <w:rFonts w:ascii="宋体" w:hAnsi="宋体" w:cs="宋体" w:eastAsia="宋体"/>
                <w:sz w:val="18"/>
                <w:color w:val="000000"/>
              </w:rPr>
              <w:t>4.1.3 预防性巡检</w:t>
            </w:r>
          </w:p>
          <w:p>
            <w:pPr>
              <w:pStyle w:val="null3"/>
              <w:ind w:firstLine="180"/>
            </w:pPr>
            <w:r>
              <w:rPr>
                <w:rFonts w:ascii="宋体" w:hAnsi="宋体" w:cs="宋体" w:eastAsia="宋体"/>
                <w:sz w:val="18"/>
                <w:color w:val="000000"/>
              </w:rPr>
              <w:t>供应商服务工程师在预防性巡检时应向用户方技术人员进行现场培训，指导用户方技术人员巡检要点，及时发现故障隐患，以提高用户方信息系统软硬件设备的运行率。</w:t>
            </w:r>
          </w:p>
          <w:p>
            <w:pPr>
              <w:pStyle w:val="null3"/>
              <w:ind w:firstLine="180"/>
            </w:pPr>
            <w:r>
              <w:rPr>
                <w:rFonts w:ascii="宋体" w:hAnsi="宋体" w:cs="宋体" w:eastAsia="宋体"/>
                <w:sz w:val="18"/>
                <w:color w:val="000000"/>
              </w:rPr>
              <w:t>4.1.4 检修和巡检报告</w:t>
            </w:r>
          </w:p>
          <w:p>
            <w:pPr>
              <w:pStyle w:val="null3"/>
              <w:ind w:firstLine="180"/>
            </w:pPr>
            <w:r>
              <w:rPr>
                <w:rFonts w:ascii="宋体" w:hAnsi="宋体" w:cs="宋体" w:eastAsia="宋体"/>
                <w:sz w:val="18"/>
                <w:color w:val="000000"/>
              </w:rPr>
              <w:t>供应商在对用户方的安全设备进行定期的软硬件检修、维护保养后，每次须提供工作的检修、维护保养报告，同时为用户方的系统完善、升级、改造提供软硬件设备的新技术、新资讯，报告经双方技术人员签字确认以供用户方备案。原厂工程师巡检频率至少一季度一次。每次巡检要求工程师携带工作证到用户现场巡检，并且需要用户现场签字确认，提供详细的巡检报告，并把用户确认报告整理成文档，作为验收依据。保修内容包括：</w:t>
            </w:r>
          </w:p>
          <w:p>
            <w:pPr>
              <w:pStyle w:val="null3"/>
              <w:ind w:firstLine="180"/>
            </w:pPr>
            <w:r>
              <w:rPr>
                <w:rFonts w:ascii="宋体" w:hAnsi="宋体" w:cs="宋体" w:eastAsia="宋体"/>
                <w:sz w:val="18"/>
                <w:color w:val="000000"/>
              </w:rPr>
              <w:t>4.1.4.1 故障检修</w:t>
            </w:r>
          </w:p>
          <w:p>
            <w:pPr>
              <w:pStyle w:val="null3"/>
              <w:ind w:firstLine="180"/>
            </w:pPr>
            <w:r>
              <w:rPr>
                <w:rFonts w:ascii="宋体" w:hAnsi="宋体" w:cs="宋体" w:eastAsia="宋体"/>
                <w:sz w:val="18"/>
                <w:color w:val="000000"/>
              </w:rPr>
              <w:t>故障现象</w:t>
            </w:r>
          </w:p>
          <w:p>
            <w:pPr>
              <w:pStyle w:val="null3"/>
              <w:ind w:firstLine="180"/>
            </w:pPr>
            <w:r>
              <w:rPr>
                <w:rFonts w:ascii="宋体" w:hAnsi="宋体" w:cs="宋体" w:eastAsia="宋体"/>
                <w:sz w:val="18"/>
                <w:color w:val="000000"/>
              </w:rPr>
              <w:t>故障分析、定位</w:t>
            </w:r>
          </w:p>
          <w:p>
            <w:pPr>
              <w:pStyle w:val="null3"/>
              <w:ind w:firstLine="180"/>
            </w:pPr>
            <w:r>
              <w:rPr>
                <w:rFonts w:ascii="宋体" w:hAnsi="宋体" w:cs="宋体" w:eastAsia="宋体"/>
                <w:sz w:val="18"/>
                <w:color w:val="000000"/>
              </w:rPr>
              <w:t>故障处理</w:t>
            </w:r>
          </w:p>
          <w:p>
            <w:pPr>
              <w:pStyle w:val="null3"/>
              <w:ind w:firstLine="180"/>
            </w:pPr>
            <w:r>
              <w:rPr>
                <w:rFonts w:ascii="宋体" w:hAnsi="宋体" w:cs="宋体" w:eastAsia="宋体"/>
                <w:sz w:val="18"/>
                <w:color w:val="000000"/>
              </w:rPr>
              <w:t>故障原因</w:t>
            </w:r>
          </w:p>
          <w:p>
            <w:pPr>
              <w:pStyle w:val="null3"/>
              <w:ind w:firstLine="180"/>
            </w:pPr>
            <w:r>
              <w:rPr>
                <w:rFonts w:ascii="宋体" w:hAnsi="宋体" w:cs="宋体" w:eastAsia="宋体"/>
                <w:sz w:val="18"/>
                <w:color w:val="000000"/>
              </w:rPr>
              <w:t>4.1.4.1 巡检保养</w:t>
            </w:r>
          </w:p>
          <w:p>
            <w:pPr>
              <w:pStyle w:val="null3"/>
              <w:ind w:firstLine="180"/>
            </w:pPr>
            <w:r>
              <w:rPr>
                <w:rFonts w:ascii="宋体" w:hAnsi="宋体" w:cs="宋体" w:eastAsia="宋体"/>
                <w:sz w:val="18"/>
                <w:color w:val="000000"/>
              </w:rPr>
              <w:t>巡检内容</w:t>
            </w:r>
          </w:p>
          <w:p>
            <w:pPr>
              <w:pStyle w:val="null3"/>
              <w:ind w:firstLine="180"/>
            </w:pPr>
            <w:r>
              <w:rPr>
                <w:rFonts w:ascii="宋体" w:hAnsi="宋体" w:cs="宋体" w:eastAsia="宋体"/>
                <w:sz w:val="18"/>
                <w:color w:val="000000"/>
              </w:rPr>
              <w:t>巡检发现的问题或隐患</w:t>
            </w:r>
          </w:p>
          <w:p>
            <w:pPr>
              <w:pStyle w:val="null3"/>
              <w:ind w:firstLine="180"/>
            </w:pPr>
            <w:r>
              <w:rPr>
                <w:rFonts w:ascii="宋体" w:hAnsi="宋体" w:cs="宋体" w:eastAsia="宋体"/>
                <w:sz w:val="18"/>
                <w:color w:val="000000"/>
              </w:rPr>
              <w:t>隐患产生的后果分析</w:t>
            </w:r>
          </w:p>
          <w:p>
            <w:pPr>
              <w:pStyle w:val="null3"/>
              <w:ind w:firstLine="180"/>
            </w:pPr>
            <w:r>
              <w:rPr>
                <w:rFonts w:ascii="宋体" w:hAnsi="宋体" w:cs="宋体" w:eastAsia="宋体"/>
                <w:sz w:val="18"/>
                <w:color w:val="000000"/>
              </w:rPr>
              <w:t>隐患的如何处理</w:t>
            </w:r>
          </w:p>
          <w:p>
            <w:pPr>
              <w:pStyle w:val="null3"/>
              <w:ind w:firstLine="180"/>
            </w:pPr>
            <w:r>
              <w:rPr>
                <w:rFonts w:ascii="宋体" w:hAnsi="宋体" w:cs="宋体" w:eastAsia="宋体"/>
                <w:sz w:val="18"/>
                <w:color w:val="000000"/>
              </w:rPr>
              <w:t>4.1.5 巡检计划性</w:t>
            </w:r>
          </w:p>
          <w:p>
            <w:pPr>
              <w:pStyle w:val="null3"/>
              <w:ind w:firstLine="180"/>
            </w:pPr>
            <w:r>
              <w:rPr>
                <w:rFonts w:ascii="宋体" w:hAnsi="宋体" w:cs="宋体" w:eastAsia="宋体"/>
                <w:sz w:val="18"/>
                <w:color w:val="000000"/>
              </w:rPr>
              <w:t>供应商应在响应文件中制定相应的定期维保计划，具体时间。巡检应提前二个工作日通知用户方，安排技术人员进行现场配合，接受培训指导。</w:t>
            </w:r>
          </w:p>
          <w:p>
            <w:pPr>
              <w:pStyle w:val="null3"/>
              <w:ind w:firstLine="180"/>
            </w:pPr>
            <w:r>
              <w:rPr>
                <w:rFonts w:ascii="宋体" w:hAnsi="宋体" w:cs="宋体" w:eastAsia="宋体"/>
                <w:sz w:val="18"/>
                <w:color w:val="000000"/>
              </w:rPr>
              <w:t>4.1.6 应急预案</w:t>
            </w:r>
          </w:p>
          <w:p>
            <w:pPr>
              <w:pStyle w:val="null3"/>
              <w:ind w:firstLine="180"/>
            </w:pPr>
            <w:r>
              <w:rPr>
                <w:rFonts w:ascii="宋体" w:hAnsi="宋体" w:cs="宋体" w:eastAsia="宋体"/>
                <w:sz w:val="18"/>
                <w:color w:val="000000"/>
              </w:rPr>
              <w:t>供应商应做好本招标范围内安全硬件设备故障并符合网络与信息安全考核要求的应急方案的编制工作，相应的事故预想及应对和保障措施。</w:t>
            </w:r>
          </w:p>
          <w:p>
            <w:pPr>
              <w:pStyle w:val="null3"/>
              <w:ind w:firstLine="180"/>
            </w:pPr>
            <w:r>
              <w:rPr>
                <w:rFonts w:ascii="宋体" w:hAnsi="宋体" w:cs="宋体" w:eastAsia="宋体"/>
                <w:sz w:val="18"/>
                <w:color w:val="000000"/>
              </w:rPr>
              <w:t>供应商在本地需具有完整的备品备件库，具备提供备件支持的能力，投标时请明确备件清单和对应备件的产品序列号，用户有权要求在中标后核实，若有虚假应标的将上报财政监管部门，根据相关规定处理。</w:t>
            </w:r>
          </w:p>
          <w:p>
            <w:pPr>
              <w:pStyle w:val="null3"/>
              <w:ind w:firstLine="180"/>
            </w:pPr>
            <w:r>
              <w:rPr>
                <w:rFonts w:ascii="宋体" w:hAnsi="宋体" w:cs="宋体" w:eastAsia="宋体"/>
                <w:sz w:val="18"/>
                <w:color w:val="000000"/>
              </w:rPr>
              <w:t>4.2 软硬件服务的要求</w:t>
            </w:r>
          </w:p>
          <w:p>
            <w:pPr>
              <w:pStyle w:val="null3"/>
              <w:ind w:firstLine="180"/>
            </w:pPr>
            <w:r>
              <w:rPr>
                <w:rFonts w:ascii="宋体" w:hAnsi="宋体" w:cs="宋体" w:eastAsia="宋体"/>
                <w:sz w:val="18"/>
                <w:color w:val="000000"/>
              </w:rPr>
              <w:t>本项目范围内所有设备的非人为故障维护涉及配件均由供应商免费提供。</w:t>
            </w:r>
          </w:p>
          <w:p>
            <w:pPr>
              <w:pStyle w:val="null3"/>
              <w:ind w:firstLine="180"/>
            </w:pPr>
            <w:r>
              <w:rPr>
                <w:rFonts w:ascii="宋体" w:hAnsi="宋体" w:cs="宋体" w:eastAsia="宋体"/>
                <w:sz w:val="18"/>
                <w:color w:val="000000"/>
              </w:rPr>
              <w:t>供应商应独立完成用户方的安全设备进行故障诊断和恢复，在系统故障处理时，未经用户方许可，供应商不得借助用户方的任何资源。</w:t>
            </w:r>
          </w:p>
          <w:p>
            <w:pPr>
              <w:pStyle w:val="null3"/>
              <w:ind w:firstLine="180"/>
            </w:pPr>
            <w:r>
              <w:rPr>
                <w:rFonts w:ascii="宋体" w:hAnsi="宋体" w:cs="宋体" w:eastAsia="宋体"/>
                <w:sz w:val="18"/>
                <w:color w:val="000000"/>
              </w:rPr>
              <w:t>4.3 预防性定期维护保养。</w:t>
            </w:r>
          </w:p>
          <w:p>
            <w:pPr>
              <w:pStyle w:val="null3"/>
              <w:ind w:firstLine="180"/>
            </w:pPr>
            <w:r>
              <w:rPr>
                <w:rFonts w:ascii="宋体" w:hAnsi="宋体" w:cs="宋体" w:eastAsia="宋体"/>
                <w:sz w:val="18"/>
                <w:color w:val="000000"/>
              </w:rPr>
              <w:t>4.3.1 供应商应安排工程师对本招标范围中包含的设备做定期的系统巡检和维护保养，包括设备清洗、系统诊断、系统优化等，并针对潜在问题提出调整建议。</w:t>
            </w:r>
          </w:p>
          <w:p>
            <w:pPr>
              <w:pStyle w:val="null3"/>
              <w:ind w:firstLine="180"/>
            </w:pPr>
            <w:r>
              <w:rPr>
                <w:rFonts w:ascii="宋体" w:hAnsi="宋体" w:cs="宋体" w:eastAsia="宋体"/>
                <w:sz w:val="18"/>
                <w:color w:val="000000"/>
              </w:rPr>
              <w:t>4.3.2 供应商应在响应文件中制定相应的定期维保计划，并按照维保计划及时到用户方现场进行不间断的设备维护保养，直至保养结束。</w:t>
            </w:r>
          </w:p>
          <w:p>
            <w:pPr>
              <w:pStyle w:val="null3"/>
              <w:ind w:firstLine="180"/>
            </w:pPr>
            <w:r>
              <w:rPr>
                <w:rFonts w:ascii="宋体" w:hAnsi="宋体" w:cs="宋体" w:eastAsia="宋体"/>
                <w:sz w:val="18"/>
                <w:color w:val="000000"/>
              </w:rPr>
              <w:t>4.4 操作系统的重装及版本更新。</w:t>
            </w:r>
          </w:p>
          <w:p>
            <w:pPr>
              <w:pStyle w:val="null3"/>
              <w:ind w:firstLine="180"/>
            </w:pPr>
            <w:r>
              <w:rPr>
                <w:rFonts w:ascii="宋体" w:hAnsi="宋体" w:cs="宋体" w:eastAsia="宋体"/>
                <w:sz w:val="18"/>
                <w:color w:val="000000"/>
              </w:rPr>
              <w:t>应用户方要求，供应商提供现场重新安装本招标范围内安全设备所承载的操作系统的服务；供应商应根据用户方要求或系统调优的需要，进行操作系统版本（包含大、小版本）的更新。</w:t>
            </w:r>
          </w:p>
          <w:p>
            <w:pPr>
              <w:pStyle w:val="null3"/>
              <w:ind w:firstLine="180"/>
            </w:pPr>
            <w:r>
              <w:rPr>
                <w:rFonts w:ascii="宋体" w:hAnsi="宋体" w:cs="宋体" w:eastAsia="宋体"/>
                <w:sz w:val="18"/>
                <w:color w:val="000000"/>
              </w:rPr>
              <w:t>4.5其他服务</w:t>
            </w:r>
          </w:p>
          <w:p>
            <w:pPr>
              <w:pStyle w:val="null3"/>
              <w:ind w:firstLine="180"/>
            </w:pPr>
            <w:r>
              <w:rPr>
                <w:rFonts w:ascii="宋体" w:hAnsi="宋体" w:cs="宋体" w:eastAsia="宋体"/>
                <w:sz w:val="18"/>
                <w:color w:val="000000"/>
              </w:rPr>
              <w:t>供应商应按照用户方要求提供本招标范围内安全设备系统的以下服务：</w:t>
            </w:r>
          </w:p>
          <w:p>
            <w:pPr>
              <w:pStyle w:val="null3"/>
              <w:ind w:firstLine="180"/>
            </w:pPr>
            <w:r>
              <w:rPr>
                <w:rFonts w:ascii="宋体" w:hAnsi="宋体" w:cs="宋体" w:eastAsia="宋体"/>
                <w:sz w:val="18"/>
                <w:color w:val="000000"/>
              </w:rPr>
              <w:t>4.5.1 安全设备的搬迁。</w:t>
            </w:r>
          </w:p>
          <w:p>
            <w:pPr>
              <w:pStyle w:val="null3"/>
              <w:ind w:firstLine="180"/>
            </w:pPr>
            <w:r>
              <w:rPr>
                <w:rFonts w:ascii="宋体" w:hAnsi="宋体" w:cs="宋体" w:eastAsia="宋体"/>
                <w:sz w:val="18"/>
                <w:color w:val="000000"/>
              </w:rPr>
              <w:t>4.5.2 安全设备承载的应用系统故障，涉及安全设备硬件配置和操作系统设置的。</w:t>
            </w:r>
          </w:p>
          <w:p>
            <w:pPr>
              <w:pStyle w:val="null3"/>
              <w:ind w:firstLine="180"/>
            </w:pPr>
            <w:r>
              <w:rPr>
                <w:rFonts w:ascii="宋体" w:hAnsi="宋体" w:cs="宋体" w:eastAsia="宋体"/>
                <w:sz w:val="18"/>
                <w:color w:val="000000"/>
              </w:rPr>
              <w:t>4.5.3 安全设备承载应用系统迁移。</w:t>
            </w:r>
          </w:p>
          <w:p>
            <w:pPr>
              <w:pStyle w:val="null3"/>
              <w:ind w:firstLine="180"/>
            </w:pPr>
            <w:r>
              <w:rPr>
                <w:rFonts w:ascii="宋体" w:hAnsi="宋体" w:cs="宋体" w:eastAsia="宋体"/>
                <w:sz w:val="18"/>
                <w:color w:val="000000"/>
              </w:rPr>
              <w:t>4.5.5 安全设备运行方式的调整。</w:t>
            </w:r>
          </w:p>
          <w:p>
            <w:pPr>
              <w:pStyle w:val="null3"/>
              <w:ind w:firstLine="180"/>
            </w:pPr>
            <w:r>
              <w:rPr>
                <w:rFonts w:ascii="宋体" w:hAnsi="宋体" w:cs="宋体" w:eastAsia="宋体"/>
                <w:sz w:val="18"/>
                <w:color w:val="000000"/>
              </w:rPr>
              <w:t>供应商应做好本招标范围内安全设备设施故障的应急预案编制工作，并在服务期间视安全设备设施的调整做好相应的更新工作。</w:t>
            </w:r>
          </w:p>
          <w:p>
            <w:pPr>
              <w:pStyle w:val="null3"/>
              <w:ind w:firstLine="180"/>
            </w:pPr>
            <w:r>
              <w:rPr>
                <w:rFonts w:ascii="宋体" w:hAnsi="宋体" w:cs="宋体" w:eastAsia="宋体"/>
                <w:sz w:val="18"/>
                <w:color w:val="000000"/>
              </w:rPr>
              <w:t>凡在现场实施系统恢复、安全设备承载操作系统重装等涉及网络与信息系统安全的，供应商在具体操作前均须制定具体恢复及应急方案递交用户方审核，在征得用户方同意后方可操作。</w:t>
            </w:r>
          </w:p>
          <w:p>
            <w:pPr>
              <w:pStyle w:val="null3"/>
              <w:ind w:firstLine="180"/>
            </w:pPr>
            <w:r>
              <w:rPr>
                <w:rFonts w:ascii="宋体" w:hAnsi="宋体" w:cs="宋体" w:eastAsia="宋体"/>
                <w:sz w:val="18"/>
                <w:color w:val="000000"/>
              </w:rPr>
              <w:t>在本项目实施结束后，供应商应将此期间历次维护报告、记录进行总结并装订成册递交用户方。</w:t>
            </w:r>
          </w:p>
          <w:p>
            <w:pPr>
              <w:pStyle w:val="null3"/>
              <w:ind w:firstLine="180"/>
            </w:pPr>
            <w:r>
              <w:rPr>
                <w:rFonts w:ascii="宋体" w:hAnsi="宋体" w:cs="宋体" w:eastAsia="宋体"/>
                <w:sz w:val="18"/>
                <w:color w:val="000000"/>
              </w:rPr>
              <w:t>4.6 维保服务要求</w:t>
            </w:r>
          </w:p>
          <w:p>
            <w:pPr>
              <w:pStyle w:val="null3"/>
              <w:ind w:firstLine="180"/>
            </w:pPr>
            <w:r>
              <w:rPr>
                <w:rFonts w:ascii="宋体" w:hAnsi="宋体" w:cs="宋体" w:eastAsia="宋体"/>
                <w:sz w:val="18"/>
                <w:color w:val="000000"/>
              </w:rPr>
              <w:t>4.6.1 系统响应要求</w:t>
            </w:r>
          </w:p>
          <w:p>
            <w:pPr>
              <w:pStyle w:val="null3"/>
              <w:ind w:firstLine="180"/>
            </w:pPr>
            <w:r>
              <w:rPr>
                <w:rFonts w:ascii="宋体" w:hAnsi="宋体" w:cs="宋体" w:eastAsia="宋体"/>
                <w:sz w:val="18"/>
                <w:color w:val="000000"/>
              </w:rPr>
              <w:t>软硬件故障维护</w:t>
            </w:r>
          </w:p>
          <w:p>
            <w:pPr>
              <w:pStyle w:val="null3"/>
              <w:ind w:firstLine="180"/>
            </w:pPr>
            <w:r>
              <w:rPr>
                <w:rFonts w:ascii="宋体" w:hAnsi="宋体" w:cs="宋体" w:eastAsia="宋体"/>
                <w:sz w:val="18"/>
                <w:color w:val="000000"/>
              </w:rPr>
              <w:t>提供</w:t>
            </w:r>
            <w:r>
              <w:rPr>
                <w:rFonts w:ascii="宋体" w:hAnsi="宋体" w:cs="宋体" w:eastAsia="宋体"/>
                <w:sz w:val="18"/>
                <w:color w:val="000000"/>
              </w:rPr>
              <w:t>7×24小时技术支持服务，2小时内到达现场服务。</w:t>
            </w:r>
          </w:p>
          <w:p>
            <w:pPr>
              <w:pStyle w:val="null3"/>
              <w:ind w:firstLine="180"/>
            </w:pPr>
            <w:r>
              <w:rPr>
                <w:rFonts w:ascii="宋体" w:hAnsi="宋体" w:cs="宋体" w:eastAsia="宋体"/>
                <w:sz w:val="18"/>
                <w:color w:val="000000"/>
              </w:rPr>
              <w:t>4.6.2 预防性定期维护巡检</w:t>
            </w:r>
          </w:p>
          <w:p>
            <w:pPr>
              <w:pStyle w:val="null3"/>
              <w:ind w:firstLine="180"/>
            </w:pPr>
            <w:r>
              <w:rPr>
                <w:rFonts w:ascii="宋体" w:hAnsi="宋体" w:cs="宋体" w:eastAsia="宋体"/>
                <w:sz w:val="18"/>
                <w:color w:val="000000"/>
              </w:rPr>
              <w:t>操作系统的重装及版本更新。</w:t>
            </w:r>
          </w:p>
          <w:p>
            <w:pPr>
              <w:pStyle w:val="null3"/>
              <w:ind w:firstLine="180"/>
            </w:pPr>
            <w:r>
              <w:rPr>
                <w:rFonts w:ascii="宋体" w:hAnsi="宋体" w:cs="宋体" w:eastAsia="宋体"/>
                <w:sz w:val="18"/>
                <w:color w:val="000000"/>
              </w:rPr>
              <w:t>提供</w:t>
            </w:r>
            <w:r>
              <w:rPr>
                <w:rFonts w:ascii="宋体" w:hAnsi="宋体" w:cs="宋体" w:eastAsia="宋体"/>
                <w:sz w:val="18"/>
                <w:color w:val="000000"/>
              </w:rPr>
              <w:t>7×24小时远程支持服务, 4小时内到达现场服务。</w:t>
            </w:r>
          </w:p>
          <w:p>
            <w:pPr>
              <w:pStyle w:val="null3"/>
              <w:ind w:firstLine="180"/>
            </w:pPr>
            <w:r>
              <w:rPr>
                <w:rFonts w:ascii="宋体" w:hAnsi="宋体" w:cs="宋体" w:eastAsia="宋体"/>
                <w:sz w:val="18"/>
                <w:color w:val="000000"/>
              </w:rPr>
              <w:t>4.6.3 保密要求：成交供应商必须采取认真负责的预防措施，防止公司员工在合同执行期间将掌握的任何有关客户机密或专有信息透露给任何未经授权的人等。如因此给用户造成损失或不良影响的有成交供应商承担相关责任并赔偿。</w:t>
            </w:r>
          </w:p>
          <w:p>
            <w:pPr>
              <w:pStyle w:val="null3"/>
              <w:ind w:firstLine="180"/>
            </w:pPr>
            <w:r>
              <w:rPr>
                <w:rFonts w:ascii="宋体" w:hAnsi="宋体" w:cs="宋体" w:eastAsia="宋体"/>
                <w:sz w:val="18"/>
                <w:color w:val="000000"/>
              </w:rPr>
              <w:t>4.6.4 其他服务及与服务相关的支持</w:t>
            </w:r>
          </w:p>
          <w:p>
            <w:pPr>
              <w:pStyle w:val="null3"/>
              <w:ind w:firstLine="180"/>
            </w:pPr>
            <w:r>
              <w:rPr>
                <w:rFonts w:ascii="宋体" w:hAnsi="宋体" w:cs="宋体" w:eastAsia="宋体"/>
                <w:sz w:val="18"/>
                <w:color w:val="000000"/>
              </w:rPr>
              <w:t>供应商应确保其技术方案以及所提供产品的完整性、实用性，保证全部系统及时投入正常运行。否则若出现因供应商提供的产品不满足要求、不合理，或者其所提供的技术支持和服务不全面，而导致系统无法实现或不能完全实现的状况，供应商负全部责任。</w:t>
            </w:r>
          </w:p>
          <w:p>
            <w:pPr>
              <w:pStyle w:val="null3"/>
              <w:ind w:firstLine="180"/>
            </w:pPr>
            <w:r>
              <w:rPr>
                <w:rFonts w:ascii="宋体" w:hAnsi="宋体" w:cs="宋体" w:eastAsia="宋体"/>
                <w:sz w:val="18"/>
                <w:color w:val="000000"/>
              </w:rPr>
              <w:t>对采购人非保内业务系统软件、中间件等系统软件出现的问题，成交供应商应积极配合分析和查找故障产生原因，并提出排除故障的建议和措施，不得推辞。</w:t>
            </w:r>
          </w:p>
          <w:p>
            <w:pPr>
              <w:pStyle w:val="null3"/>
              <w:ind w:firstLine="180"/>
            </w:pPr>
            <w:r>
              <w:rPr>
                <w:rFonts w:ascii="宋体" w:hAnsi="宋体" w:cs="宋体" w:eastAsia="宋体"/>
                <w:sz w:val="18"/>
                <w:color w:val="000000"/>
              </w:rPr>
              <w:t>4.7 故障维修</w:t>
            </w:r>
          </w:p>
          <w:p>
            <w:pPr>
              <w:pStyle w:val="null3"/>
              <w:ind w:firstLine="180"/>
            </w:pPr>
            <w:r>
              <w:rPr>
                <w:rFonts w:ascii="宋体" w:hAnsi="宋体" w:cs="宋体" w:eastAsia="宋体"/>
                <w:sz w:val="18"/>
                <w:color w:val="000000"/>
              </w:rPr>
              <w:t>4.7.1 检修期间造成事故扩大供应商应承担因操作失误等造成故障扩大、数据损坏、误操作等的赔偿和安全责任。</w:t>
            </w:r>
          </w:p>
          <w:p>
            <w:pPr>
              <w:pStyle w:val="null3"/>
              <w:ind w:firstLine="180"/>
            </w:pPr>
            <w:r>
              <w:rPr>
                <w:rFonts w:ascii="宋体" w:hAnsi="宋体" w:cs="宋体" w:eastAsia="宋体"/>
                <w:sz w:val="18"/>
                <w:color w:val="000000"/>
              </w:rPr>
              <w:t>4.7.2巡检、版本升级</w:t>
            </w:r>
          </w:p>
          <w:p>
            <w:pPr>
              <w:pStyle w:val="null3"/>
              <w:ind w:firstLine="180"/>
            </w:pPr>
            <w:r>
              <w:rPr>
                <w:rFonts w:ascii="宋体" w:hAnsi="宋体" w:cs="宋体" w:eastAsia="宋体"/>
                <w:sz w:val="18"/>
                <w:color w:val="000000"/>
              </w:rPr>
              <w:t>4.7.3 定期巡检和软硬件版本升级期间造成用户方信息系统软硬件故障的，供应商应承担因操作失误等造成故障、数据损坏、误操作等的赔偿和安全责任。造成较大损失的，甲方有权扣每次不低于元的合同款，情况严重的，甲方有权单方面中止合同，并要求赔偿损失。</w:t>
            </w:r>
          </w:p>
          <w:p>
            <w:pPr>
              <w:pStyle w:val="null3"/>
              <w:ind w:firstLine="180"/>
            </w:pPr>
            <w:r>
              <w:rPr>
                <w:rFonts w:ascii="宋体" w:hAnsi="宋体" w:cs="宋体" w:eastAsia="宋体"/>
                <w:sz w:val="18"/>
                <w:color w:val="000000"/>
              </w:rPr>
              <w:t>4.7.4 成交供应商在维护期内所使用的软件工具等必须为正版软件，如因成交供应商使用非正版软件造成的一切后果由成交供应商承担。</w:t>
            </w:r>
          </w:p>
          <w:p>
            <w:pPr>
              <w:pStyle w:val="null3"/>
              <w:ind w:firstLine="180"/>
            </w:pPr>
            <w:r>
              <w:rPr>
                <w:rFonts w:ascii="宋体" w:hAnsi="宋体" w:cs="宋体" w:eastAsia="宋体"/>
                <w:sz w:val="18"/>
                <w:color w:val="000000"/>
              </w:rPr>
              <w:t>4.8 质量保证</w:t>
            </w:r>
          </w:p>
          <w:p>
            <w:pPr>
              <w:pStyle w:val="null3"/>
              <w:ind w:firstLine="180"/>
            </w:pPr>
            <w:r>
              <w:rPr>
                <w:rFonts w:ascii="宋体" w:hAnsi="宋体" w:cs="宋体" w:eastAsia="宋体"/>
                <w:sz w:val="18"/>
                <w:color w:val="000000"/>
              </w:rPr>
              <w:t>合同签订前，对于原厂设备维保，成交供应商须协助用户通过原厂商电话查询售后服务手续办理情况，验证后，再行签订合同；项目验收前，对于原厂设备维保服务，成交供应商须提供由原厂商出具的已办妥的原厂商设备保修服务启动函的书面证明（须有原厂商的盖章及负责人签字；同时，协助用户通过电话查询售后服务手续办理情况予以验证）。</w:t>
            </w:r>
          </w:p>
          <w:p>
            <w:pPr>
              <w:pStyle w:val="null3"/>
              <w:ind w:firstLine="180"/>
            </w:pPr>
            <w:r>
              <w:rPr>
                <w:rFonts w:ascii="宋体" w:hAnsi="宋体" w:cs="宋体" w:eastAsia="宋体"/>
                <w:sz w:val="18"/>
                <w:color w:val="000000"/>
              </w:rPr>
              <w:t>4.9 备品备件及耗材等要求</w:t>
            </w:r>
          </w:p>
          <w:p>
            <w:pPr>
              <w:pStyle w:val="null3"/>
              <w:ind w:firstLine="180"/>
            </w:pPr>
            <w:r>
              <w:rPr>
                <w:rFonts w:ascii="宋体" w:hAnsi="宋体" w:cs="宋体" w:eastAsia="宋体"/>
                <w:sz w:val="18"/>
                <w:color w:val="000000"/>
              </w:rPr>
              <w:t>供应商在本地需具有完整的备品备件库，具备</w:t>
            </w:r>
            <w:r>
              <w:rPr>
                <w:rFonts w:ascii="宋体" w:hAnsi="宋体" w:cs="宋体" w:eastAsia="宋体"/>
                <w:sz w:val="18"/>
                <w:color w:val="000000"/>
              </w:rPr>
              <w:t>24小时内提供备件支持的能力，具备天融信防火墙和天融信入侵防御IPS设备等重要设备的备件，若有虚假应标的将报告上级监管单位，根据相关规定处理。</w:t>
            </w:r>
          </w:p>
          <w:p>
            <w:pPr>
              <w:pStyle w:val="null3"/>
              <w:ind w:firstLine="180"/>
            </w:pPr>
            <w:r>
              <w:rPr>
                <w:rFonts w:ascii="宋体" w:hAnsi="宋体" w:cs="宋体" w:eastAsia="宋体"/>
                <w:sz w:val="18"/>
                <w:color w:val="000000"/>
              </w:rPr>
              <w:t>五、其他服务：重要时期设备巡检及保障。</w:t>
            </w:r>
          </w:p>
          <w:p>
            <w:pPr>
              <w:pStyle w:val="null3"/>
              <w:ind w:firstLine="181"/>
            </w:pPr>
            <w:r>
              <w:rPr>
                <w:rFonts w:ascii="宋体" w:hAnsi="宋体" w:cs="宋体" w:eastAsia="宋体"/>
                <w:sz w:val="18"/>
                <w:b/>
                <w:color w:val="000000"/>
              </w:rPr>
              <w:t>六、服务期：</w:t>
            </w:r>
          </w:p>
          <w:p>
            <w:pPr>
              <w:pStyle w:val="null3"/>
              <w:ind w:firstLine="181"/>
            </w:pPr>
            <w:r>
              <w:rPr>
                <w:rFonts w:ascii="宋体" w:hAnsi="宋体" w:cs="宋体" w:eastAsia="宋体"/>
                <w:sz w:val="18"/>
                <w:b/>
                <w:color w:val="000000"/>
              </w:rPr>
              <w:t>1.网络安全设备维保服务期为：2025年1月1日-2025年12月31日。</w:t>
            </w:r>
          </w:p>
          <w:p>
            <w:pPr>
              <w:pStyle w:val="null3"/>
              <w:ind w:firstLine="181"/>
            </w:pPr>
            <w:r>
              <w:rPr>
                <w:rFonts w:ascii="宋体" w:hAnsi="宋体" w:cs="宋体" w:eastAsia="宋体"/>
                <w:sz w:val="18"/>
                <w:b/>
                <w:color w:val="000000"/>
              </w:rPr>
              <w:t>2.信创网络安全设备维保服务为：2025年9月7日-2025年12月31日。</w:t>
            </w:r>
          </w:p>
          <w:p>
            <w:pPr>
              <w:pStyle w:val="null3"/>
            </w:pPr>
            <w:r>
              <w:rPr>
                <w:rFonts w:ascii="宋体" w:hAnsi="宋体" w:cs="宋体" w:eastAsia="宋体"/>
                <w:sz w:val="18"/>
                <w:b/>
                <w:color w:val="000000"/>
              </w:rPr>
              <w:t>七、服务地点：采购人指定地点</w:t>
            </w:r>
          </w:p>
        </w:tc>
      </w:tr>
    </w:tbl>
    <w:p>
      <w:pPr>
        <w:pStyle w:val="null3"/>
        <w:outlineLvl w:val="2"/>
      </w:pPr>
      <w:r>
        <w:rPr>
          <w:sz w:val="28"/>
          <w:b/>
        </w:rPr>
        <w:t>3.2.3人员配置要求</w:t>
      </w:r>
    </w:p>
    <w:p>
      <w:pPr>
        <w:pStyle w:val="null3"/>
      </w:pPr>
      <w:r>
        <w:rPr/>
        <w:t>采购包1：</w:t>
      </w:r>
    </w:p>
    <w:p>
      <w:pPr>
        <w:pStyle w:val="null3"/>
      </w:pPr>
      <w:r>
        <w:rPr/>
        <w:t>详见“服务要求”</w:t>
      </w:r>
    </w:p>
    <w:p>
      <w:pPr>
        <w:pStyle w:val="null3"/>
        <w:outlineLvl w:val="2"/>
      </w:pPr>
      <w:r>
        <w:rPr>
          <w:sz w:val="28"/>
          <w:b/>
        </w:rPr>
        <w:t>3.2.4设施设备要求</w:t>
      </w:r>
    </w:p>
    <w:p>
      <w:pPr>
        <w:pStyle w:val="null3"/>
      </w:pPr>
      <w:r>
        <w:rPr/>
        <w:t>采购包1：</w:t>
      </w:r>
    </w:p>
    <w:p>
      <w:pPr>
        <w:pStyle w:val="null3"/>
      </w:pPr>
      <w:r>
        <w:rPr/>
        <w:t>详见“服务要求”</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1.网络安全设备维保服务期为：2025年1月1日-2025年12月31日。 2.信创网络安全设备维保服务为：2025年9月7日-2025年12月31日。</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项目磋商文件，国库支付中心项目验收办法。</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本项目首期款以甲方财政资金实际到位后，乙方书面提出支付申请函及与支付金额等额的符合甲方财务管理要求的相应发票，甲方确认后启动首期款支付流程</w:t>
      </w:r>
      <w:r>
        <w:rPr/>
        <w:t xml:space="preserve"> ，达到付款条件起 </w:t>
      </w:r>
      <w:r>
        <w:rPr/>
        <w:t>30</w:t>
      </w:r>
      <w:r>
        <w:rPr/>
        <w:t xml:space="preserve"> 日内，支付合同总金额的 </w:t>
      </w:r>
      <w:r>
        <w:rPr/>
        <w:t>50.00</w:t>
      </w:r>
      <w:r>
        <w:rPr/>
        <w:t>%。</w:t>
      </w:r>
    </w:p>
    <w:p>
      <w:pPr>
        <w:pStyle w:val="null3"/>
      </w:pPr>
      <w:r>
        <w:rPr/>
        <w:t>采购包1：</w:t>
      </w:r>
      <w:r>
        <w:rPr/>
        <w:t xml:space="preserve"> 付款条件说明： </w:t>
      </w:r>
      <w:r>
        <w:rPr/>
        <w:t>本项目经甲方验收通过后,依据甲方服务评价结果确认的金额，乙方书面提出支付申请函及与拟支付金额等额的符合甲方财务管理要求的相应发票，甲方确认后启动尾款支付流程</w:t>
      </w:r>
      <w:r>
        <w:rPr/>
        <w:t xml:space="preserve"> ，达到付款条件起 </w:t>
      </w:r>
      <w:r>
        <w:rPr/>
        <w:t>30</w:t>
      </w:r>
      <w:r>
        <w:rPr/>
        <w:t xml:space="preserve"> 日内，支付合同总金额的 </w:t>
      </w:r>
      <w:r>
        <w:rPr/>
        <w:t>50.00</w:t>
      </w:r>
      <w:r>
        <w:rPr/>
        <w:t>%。</w:t>
      </w:r>
    </w:p>
    <w:p>
      <w:pPr>
        <w:pStyle w:val="null3"/>
        <w:outlineLvl w:val="3"/>
      </w:pPr>
      <w:r>
        <w:rPr>
          <w:sz w:val="24"/>
          <w:b/>
        </w:rPr>
        <w:t>3.3.6违约责任及解决争议的方法</w:t>
      </w:r>
    </w:p>
    <w:p>
      <w:pPr>
        <w:pStyle w:val="null3"/>
      </w:pPr>
      <w:r>
        <w:rPr/>
        <w:t>采购包1：</w:t>
      </w:r>
    </w:p>
    <w:p>
      <w:pPr>
        <w:pStyle w:val="null3"/>
      </w:pPr>
      <w:r>
        <w:rPr/>
        <w:t>详见合同</w:t>
      </w:r>
    </w:p>
    <w:p>
      <w:pPr>
        <w:pStyle w:val="null3"/>
        <w:outlineLvl w:val="2"/>
      </w:pPr>
      <w:r>
        <w:rPr>
          <w:sz w:val="28"/>
          <w:b/>
        </w:rPr>
        <w:t>3.4其他要求</w:t>
      </w:r>
    </w:p>
    <w:p>
      <w:pPr>
        <w:pStyle w:val="null3"/>
      </w:pPr>
      <w:r>
        <w:rPr/>
        <w:t>1.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2.本项目非专门面向中小企业采购。 3.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以电子或纸质形式留存。 4.供应商如果需要了解设备具体使用情况可直接与采购人联系。 5.需要落实的政府采购政策：（1）《国务院办公厅关于建立政府强制采购节能产品制度的通知》（国办发〔2007〕51号）；（2）《财政部 司法部关于政府采购支持监狱企业发展有关问题的通知》（财库〔2014〕68号）；（3）《财政部、民政部、中国残疾人联合会关于促进残疾人就业政府采购政策的通知》（财库〔2017〕141号）；（4）《财政部发展改革委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 、其他组织或自然人</w:t>
            </w:r>
          </w:p>
        </w:tc>
        <w:tc>
          <w:tcPr>
            <w:tcW w:type="dxa" w:w="3322"/>
          </w:tcPr>
          <w:p>
            <w:pPr>
              <w:pStyle w:val="null3"/>
            </w:pPr>
            <w:r>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财务状况报告：供应商近年（2023年）经审计的财务报告（事业法人可提供部门决算报告）或基本开户银行出具的 资信证明或政府采购专业担保机构出具的投标担保函，供应商需在项目电子化交易系统中按要求上传相应证明文件</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税收缴纳凭证及社会保险缴纳的凭证</w:t>
            </w:r>
          </w:p>
        </w:tc>
        <w:tc>
          <w:tcPr>
            <w:tcW w:type="dxa" w:w="3322"/>
          </w:tcPr>
          <w:p>
            <w:pPr>
              <w:pStyle w:val="null3"/>
            </w:pPr>
            <w:r>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书面声明</w:t>
            </w:r>
          </w:p>
        </w:tc>
        <w:tc>
          <w:tcPr>
            <w:tcW w:type="dxa" w:w="3322"/>
          </w:tcPr>
          <w:p>
            <w:pPr>
              <w:pStyle w:val="null3"/>
            </w:pPr>
            <w:r>
              <w:rPr/>
              <w:t>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1661"/>
          </w:tcPr>
          <w:p>
            <w:pPr>
              <w:pStyle w:val="null3"/>
            </w:pPr>
            <w:r>
              <w:rPr/>
              <w:t>附件 供应商应提交的相关资格证明材料</w:t>
            </w:r>
          </w:p>
        </w:tc>
      </w:tr>
      <w:tr>
        <w:tc>
          <w:tcPr>
            <w:tcW w:type="dxa" w:w="831"/>
          </w:tcPr>
          <w:p>
            <w:pPr>
              <w:pStyle w:val="null3"/>
            </w:pPr>
            <w:r>
              <w:rPr/>
              <w:t>5</w:t>
            </w:r>
          </w:p>
        </w:tc>
        <w:tc>
          <w:tcPr>
            <w:tcW w:type="dxa" w:w="2492"/>
          </w:tcPr>
          <w:p>
            <w:pPr>
              <w:pStyle w:val="null3"/>
            </w:pPr>
            <w:r>
              <w:rPr/>
              <w:t>具有履行合同所必需的设备和专业技术能力的承诺函</w:t>
            </w:r>
          </w:p>
        </w:tc>
        <w:tc>
          <w:tcPr>
            <w:tcW w:type="dxa" w:w="3322"/>
          </w:tcPr>
          <w:p>
            <w:pPr>
              <w:pStyle w:val="null3"/>
            </w:pPr>
            <w:r>
              <w:rPr/>
              <w:t>履行合同所必需的设备和专业技术能力书面声明函：具有履行合同所必需的设备和专业技术能力书面声明函，供应商 需在项目电子化交易系统中按要求上传相应证明文件并进行电子签章。</w:t>
            </w:r>
          </w:p>
        </w:tc>
        <w:tc>
          <w:tcPr>
            <w:tcW w:type="dxa" w:w="1661"/>
          </w:tcPr>
          <w:p>
            <w:pPr>
              <w:pStyle w:val="null3"/>
            </w:pPr>
            <w:r>
              <w:rPr/>
              <w:t>附件 供应商应提交的相关资格证明材料 其他</w:t>
            </w:r>
          </w:p>
        </w:tc>
      </w:tr>
      <w:tr>
        <w:tc>
          <w:tcPr>
            <w:tcW w:type="dxa" w:w="831"/>
          </w:tcPr>
          <w:p>
            <w:pPr>
              <w:pStyle w:val="null3"/>
            </w:pPr>
            <w:r>
              <w:rPr/>
              <w:t>6</w:t>
            </w:r>
          </w:p>
        </w:tc>
        <w:tc>
          <w:tcPr>
            <w:tcW w:type="dxa" w:w="2492"/>
          </w:tcPr>
          <w:p>
            <w:pPr>
              <w:pStyle w:val="null3"/>
            </w:pPr>
            <w:r>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w:t>
            </w:r>
          </w:p>
        </w:tc>
        <w:tc>
          <w:tcPr>
            <w:tcW w:type="dxa" w:w="3322"/>
          </w:tcPr>
          <w:p>
            <w:pPr>
              <w:pStyle w:val="null3"/>
            </w:pPr>
            <w:r>
              <w:rPr/>
              <w:t>采购人或采购代理机构在开标当日通过“信用中国” 网站(www. creditchina. gov.cn)、中国政府采购网 (www.ccgp.gov.cn)查询相关主体信用记录网页截图保存</w:t>
            </w:r>
          </w:p>
        </w:tc>
        <w:tc>
          <w:tcPr>
            <w:tcW w:type="dxa" w:w="1661"/>
          </w:tcPr>
          <w:p>
            <w:pPr>
              <w:pStyle w:val="null3"/>
            </w:pPr>
            <w:r>
              <w:rPr/>
              <w:t>响应函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响应文件的有效期</w:t>
            </w:r>
          </w:p>
        </w:tc>
        <w:tc>
          <w:tcPr>
            <w:tcW w:type="dxa" w:w="3322"/>
          </w:tcPr>
          <w:p>
            <w:pPr>
              <w:pStyle w:val="null3"/>
            </w:pPr>
            <w:r>
              <w:rPr/>
              <w:t>提交首次响应文件的截止之日起不少于90天</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授权委托书</w:t>
            </w:r>
          </w:p>
        </w:tc>
        <w:tc>
          <w:tcPr>
            <w:tcW w:type="dxa" w:w="3322"/>
          </w:tcPr>
          <w:p>
            <w:pPr>
              <w:pStyle w:val="null3"/>
            </w:pPr>
            <w:r>
              <w:rPr/>
              <w:t>提供授权委托书，符合磋商文件要求</w:t>
            </w:r>
          </w:p>
        </w:tc>
        <w:tc>
          <w:tcPr>
            <w:tcW w:type="dxa" w:w="1661"/>
          </w:tcPr>
          <w:p>
            <w:pPr>
              <w:pStyle w:val="null3"/>
            </w:pPr>
            <w:r>
              <w:rPr/>
              <w:t>响应文件封面 授权委托书</w:t>
            </w:r>
          </w:p>
        </w:tc>
      </w:tr>
      <w:tr>
        <w:tc>
          <w:tcPr>
            <w:tcW w:type="dxa" w:w="831"/>
          </w:tcPr>
          <w:p>
            <w:pPr>
              <w:pStyle w:val="null3"/>
            </w:pPr>
            <w:r>
              <w:rPr/>
              <w:t>4</w:t>
            </w:r>
          </w:p>
        </w:tc>
        <w:tc>
          <w:tcPr>
            <w:tcW w:type="dxa" w:w="2492"/>
          </w:tcPr>
          <w:p>
            <w:pPr>
              <w:pStyle w:val="null3"/>
            </w:pPr>
            <w:r>
              <w:rPr/>
              <w:t>响应文件签署、盖章</w:t>
            </w:r>
          </w:p>
        </w:tc>
        <w:tc>
          <w:tcPr>
            <w:tcW w:type="dxa" w:w="3322"/>
          </w:tcPr>
          <w:p>
            <w:pPr>
              <w:pStyle w:val="null3"/>
            </w:pPr>
            <w:r>
              <w:rPr/>
              <w:t>响应文件签署、盖章均按磋商文件要求签字、盖章。</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符合磋商文件要求</w:t>
            </w:r>
          </w:p>
        </w:tc>
        <w:tc>
          <w:tcPr>
            <w:tcW w:type="dxa" w:w="1661"/>
          </w:tcPr>
          <w:p>
            <w:pPr>
              <w:pStyle w:val="null3"/>
            </w:pPr>
            <w:r>
              <w:rPr/>
              <w:t>技术条款偏离表 响应文件封面 标的清单 商务条款偏离表</w:t>
            </w:r>
          </w:p>
        </w:tc>
      </w:tr>
      <w:tr>
        <w:tc>
          <w:tcPr>
            <w:tcW w:type="dxa" w:w="831"/>
          </w:tcPr>
          <w:p>
            <w:pPr>
              <w:pStyle w:val="null3"/>
            </w:pPr>
            <w:r>
              <w:rPr/>
              <w:t>6</w:t>
            </w:r>
          </w:p>
        </w:tc>
        <w:tc>
          <w:tcPr>
            <w:tcW w:type="dxa" w:w="2492"/>
          </w:tcPr>
          <w:p>
            <w:pPr>
              <w:pStyle w:val="null3"/>
            </w:pPr>
            <w:r>
              <w:rPr/>
              <w:t>服务地点</w:t>
            </w:r>
          </w:p>
        </w:tc>
        <w:tc>
          <w:tcPr>
            <w:tcW w:type="dxa" w:w="3322"/>
          </w:tcPr>
          <w:p>
            <w:pPr>
              <w:pStyle w:val="null3"/>
            </w:pPr>
            <w:r>
              <w:rPr/>
              <w:t>符合磋商文件要求</w:t>
            </w:r>
          </w:p>
        </w:tc>
        <w:tc>
          <w:tcPr>
            <w:tcW w:type="dxa" w:w="1661"/>
          </w:tcPr>
          <w:p>
            <w:pPr>
              <w:pStyle w:val="null3"/>
            </w:pPr>
            <w:r>
              <w:rPr/>
              <w:t>响应文件封面 标的清单</w:t>
            </w:r>
          </w:p>
        </w:tc>
      </w:tr>
      <w:tr>
        <w:tc>
          <w:tcPr>
            <w:tcW w:type="dxa" w:w="831"/>
          </w:tcPr>
          <w:p>
            <w:pPr>
              <w:pStyle w:val="null3"/>
            </w:pPr>
            <w:r>
              <w:rPr/>
              <w:t>7</w:t>
            </w:r>
          </w:p>
        </w:tc>
        <w:tc>
          <w:tcPr>
            <w:tcW w:type="dxa" w:w="2492"/>
          </w:tcPr>
          <w:p>
            <w:pPr>
              <w:pStyle w:val="null3"/>
            </w:pPr>
            <w:r>
              <w:rPr/>
              <w:t>磋商报价</w:t>
            </w:r>
          </w:p>
        </w:tc>
        <w:tc>
          <w:tcPr>
            <w:tcW w:type="dxa" w:w="3322"/>
          </w:tcPr>
          <w:p>
            <w:pPr>
              <w:pStyle w:val="null3"/>
            </w:pPr>
            <w:r>
              <w:rPr/>
              <w:t>报价唯一，且没有高于采购预算或磋商文件规定的最高限价。</w:t>
            </w:r>
          </w:p>
        </w:tc>
        <w:tc>
          <w:tcPr>
            <w:tcW w:type="dxa" w:w="1661"/>
          </w:tcPr>
          <w:p>
            <w:pPr>
              <w:pStyle w:val="null3"/>
            </w:pPr>
            <w:r>
              <w:rPr/>
              <w:t>响应文件封面 标的清单</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项目理解</w:t>
            </w:r>
          </w:p>
        </w:tc>
        <w:tc>
          <w:tcPr>
            <w:tcW w:type="dxa" w:w="2492"/>
          </w:tcPr>
          <w:p>
            <w:pPr>
              <w:pStyle w:val="null3"/>
            </w:pPr>
            <w:r>
              <w:rPr/>
              <w:t>针对本项目采购人要求的服务内容有完整、明确的需求理解说明： 1、对项目理解全面详细，贴合实际需求得5分； 2、对项目理解一般，一般贴合实际需求得3分； 3、对项目理解有缺陷，不贴合实际需求得1分； 4、未提供不计分。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维保服务方案</w:t>
            </w:r>
          </w:p>
        </w:tc>
        <w:tc>
          <w:tcPr>
            <w:tcW w:type="dxa" w:w="2492"/>
          </w:tcPr>
          <w:p>
            <w:pPr>
              <w:pStyle w:val="null3"/>
            </w:pPr>
            <w:r>
              <w:rPr/>
              <w:t>针对本项目维保制定规范化服务方案，方案设计合理、架构完整、层次清楚，响应本项目服务要求： 1、服务方案详细完整，内容表述清晰，具备针对性、可操作性强的得20分； 2、服务方案较为完整，内容表述清晰，较有针对性、基本切实可行的得 16分； 3、服务方案基本完整，内容表述基本清晰，针对性、可操作性一般的得12分； 4、服务方案基本完整，内容表述稍有欠缺，针对性、可操作性稍有不足的得8分； 5、服务方案粗略，内容表述不清晰，针对性、可操作性有明显瑕疵的得4分； 6、未提供不计分。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服务质量</w:t>
            </w:r>
          </w:p>
        </w:tc>
        <w:tc>
          <w:tcPr>
            <w:tcW w:type="dxa" w:w="2492"/>
          </w:tcPr>
          <w:p>
            <w:pPr>
              <w:pStyle w:val="null3"/>
            </w:pPr>
            <w:r>
              <w:rPr/>
              <w:t>确保服务7*24H不间断服务，须制定行之有效、详细具体的服务响应时间实施方案，且维保工作必须遵循并优化现有的安全体系，必须在现有安全体制下提出确保设备系统安全可靠的策略、措施和步骤： 1、方案能够确保设备系统安全可靠，步骤完善得15分； 2、方案能够确保设备系统安全可靠，步骤较完善得12分； 3、方案基本确保设备系统安全，步骤基本完善得9分； 4、方案一般，步骤一般完善得6分； 5、方案简单、空泛、不完善得3分； 6、未提供不计分。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工作流程</w:t>
            </w:r>
          </w:p>
        </w:tc>
        <w:tc>
          <w:tcPr>
            <w:tcW w:type="dxa" w:w="2492"/>
          </w:tcPr>
          <w:p>
            <w:pPr>
              <w:pStyle w:val="null3"/>
            </w:pPr>
            <w:r>
              <w:rPr/>
              <w:t>针对本项目提供完整、具体可行的工作流程： 1、能够按照工作内容全面梳理工作流程，流程清晰、方法得当，可行性强，完全满足采购人的要求计5分； 2、能够按照工作内容梳理出工作流程，流程较为清晰、可行，基本满足采购人的要求计3分； 3、基本能够按照工作内容梳理出工作流程，流程基本清晰得1分； 4、未提供不计分。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供应商根据人员组织架构设置与管理科学合理，制定符合本项目实际情况的项目管理方案： 1、项目管理组织机构分工合理、责任明确，可保障服务质量得计15分； 2、项目管理方案、人员安排方案较为完善，整个项目的组织机构分工较为合理、责任较为明确，可保障服务质量得12分； 3、项目管理方案、人员安排方案基本完善，整个项目的组织机构分工基本合理、责任基本明确，基本可保障服务质量得9分； 4、项目管理方案、人员安排方案一般，整个项目的组织机构分工一般、责任描述一般，可保障服务质量一般得6分； 5、项目管理方案、人员安排方案不完善，整个项目的组织机构分工不合理，勉强能保障服务质量得计3分； 6、未提供不计分。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保密措施</w:t>
            </w:r>
          </w:p>
        </w:tc>
        <w:tc>
          <w:tcPr>
            <w:tcW w:type="dxa" w:w="2492"/>
          </w:tcPr>
          <w:p>
            <w:pPr>
              <w:pStyle w:val="null3"/>
            </w:pPr>
            <w:r>
              <w:rPr/>
              <w:t>供应商在项目的服务期间，保障采购人及相关单位数据安全保密措施进行描述： 1、措施细致详细、合理性强、项目情况针对性强得5分； 2、措施细致较详细、合理性较强、项目情况针对性较强得4分； 3、措施细致一般、合理性一般、项目情况针对性一般得3分； 4、措施不完善，提供内容简单有欠缺，未贴合实际得1分； 5、未提供不得分。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服务质量保障</w:t>
            </w:r>
          </w:p>
        </w:tc>
        <w:tc>
          <w:tcPr>
            <w:tcW w:type="dxa" w:w="2492"/>
          </w:tcPr>
          <w:p>
            <w:pPr>
              <w:pStyle w:val="null3"/>
            </w:pPr>
            <w:r>
              <w:rPr/>
              <w:t>为保证维保服务质量，供应商能够提供原设备及系统生产厂家（天融信、深信服、迪讯、绿盟、北京派网）出具的原厂售后服务相关证明材料，每出具一家得2分，总分10分，不提供得0分。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提供2022年1月1日 (以合同签订日期为准) 至今同类项目维保业绩合同，每提供一份计1分，满分5分。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价格分统一采用低价优先法计算，即满足磋商文件要求且最终报价最低的投标报价为评审基准价，其价格分为满分。其他供应商的价格分统一按照下列公式计算： 最终报价得分=(评审基准价／最终报价报价)×20</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详见附件：技术条款偏离表</w:t>
      </w:r>
    </w:p>
    <w:p>
      <w:pPr>
        <w:pStyle w:val="null3"/>
        <w:ind w:firstLine="960"/>
      </w:pPr>
      <w:r>
        <w:rPr/>
        <w:t>详见附件：商务条款偏离表</w:t>
      </w:r>
    </w:p>
    <w:p>
      <w:pPr>
        <w:pStyle w:val="null3"/>
        <w:ind w:firstLine="960"/>
      </w:pPr>
      <w:r>
        <w:rPr/>
        <w:t>详见附件：其他</w:t>
      </w:r>
    </w:p>
    <w:p>
      <w:pPr>
        <w:pStyle w:val="null3"/>
        <w:ind w:firstLine="960"/>
      </w:pPr>
      <w:r>
        <w:rPr/>
        <w:t>详见附件：附件</w:t>
      </w:r>
    </w:p>
    <w:p>
      <w:pPr>
        <w:pStyle w:val="null3"/>
        <w:ind w:firstLine="960"/>
      </w:pPr>
      <w:r>
        <w:rPr/>
        <w:t>详见附件：授权委托书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