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版本号：241226001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三维激光扫描仪采购项目</w:t>
      </w:r>
    </w:p>
    <w:p>
      <w:pPr>
        <w:pStyle w:val="null3"/>
        <w:jc w:val="center"/>
        <w:outlineLvl w:val="2"/>
      </w:pPr>
      <w:r>
        <w:rPr>
          <w:sz w:val="28"/>
          <w:b/>
        </w:rPr>
        <w:t>采购项目编号：</w:t>
      </w:r>
      <w:r>
        <w:rPr>
          <w:sz w:val="28"/>
          <w:b/>
        </w:rPr>
        <w:t>ZX2024-11-65</w:t>
      </w:r>
      <w:r>
        <w:br/>
      </w:r>
      <w:r>
        <w:br/>
      </w:r>
      <w:r>
        <w:br/>
      </w:r>
    </w:p>
    <w:p>
      <w:pPr>
        <w:pStyle w:val="null3"/>
        <w:jc w:val="center"/>
        <w:outlineLvl w:val="2"/>
      </w:pPr>
      <w:r>
        <w:rPr>
          <w:sz w:val="28"/>
          <w:b/>
        </w:rPr>
        <w:t>西安工业大学</w:t>
      </w:r>
    </w:p>
    <w:p>
      <w:pPr>
        <w:pStyle w:val="null3"/>
        <w:jc w:val="center"/>
        <w:outlineLvl w:val="2"/>
      </w:pPr>
      <w:r>
        <w:rPr>
          <w:sz w:val="28"/>
          <w:b/>
        </w:rPr>
        <w:t>陕西正信招标有限公司</w:t>
      </w:r>
      <w:r>
        <w:rPr>
          <w:sz w:val="28"/>
          <w:b/>
        </w:rPr>
        <w:t>共同编制</w:t>
      </w:r>
    </w:p>
    <w:p>
      <w:pPr>
        <w:pStyle w:val="null3"/>
        <w:jc w:val="center"/>
        <w:outlineLvl w:val="2"/>
      </w:pPr>
      <w:r>
        <w:rPr>
          <w:sz w:val="28"/>
          <w:b/>
        </w:rPr>
        <w:t>2024年12月26日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陕西正信招标有限公司</w:t>
      </w:r>
      <w:r>
        <w:rPr/>
        <w:t>（以下简称“代理机构”）受</w:t>
      </w:r>
      <w:r>
        <w:rPr/>
        <w:t>西安工业大学</w:t>
      </w:r>
      <w:r>
        <w:rPr/>
        <w:t>委托，拟对</w:t>
      </w:r>
      <w:r>
        <w:rPr/>
        <w:t>三维激光扫描仪采购项目</w:t>
      </w:r>
      <w:r>
        <w:rPr/>
        <w:t>进行国内公开招标，兹邀请符合本次招标要求的供应商参加投标。</w:t>
      </w:r>
    </w:p>
    <w:p>
      <w:pPr>
        <w:pStyle w:val="null3"/>
        <w:outlineLvl w:val="2"/>
      </w:pPr>
      <w:r>
        <w:rPr>
          <w:sz w:val="28"/>
          <w:b/>
        </w:rPr>
        <w:t>一、采购项目编号：</w:t>
      </w:r>
      <w:r>
        <w:rPr>
          <w:sz w:val="28"/>
          <w:b/>
        </w:rPr>
        <w:t>ZX2024-11-65</w:t>
      </w:r>
    </w:p>
    <w:p>
      <w:pPr>
        <w:pStyle w:val="null3"/>
        <w:outlineLvl w:val="2"/>
      </w:pPr>
      <w:r>
        <w:rPr>
          <w:sz w:val="28"/>
          <w:b/>
        </w:rPr>
        <w:t>二、采购项目名称：</w:t>
      </w:r>
      <w:r>
        <w:rPr>
          <w:sz w:val="28"/>
          <w:b/>
        </w:rPr>
        <w:t>三维激光扫描仪采购项目</w:t>
      </w:r>
    </w:p>
    <w:p>
      <w:pPr>
        <w:pStyle w:val="null3"/>
        <w:outlineLvl w:val="2"/>
      </w:pPr>
      <w:r>
        <w:rPr>
          <w:sz w:val="28"/>
          <w:b/>
        </w:rPr>
        <w:t>三、招标项目简介</w:t>
      </w:r>
    </w:p>
    <w:p>
      <w:pPr>
        <w:pStyle w:val="null3"/>
        <w:ind w:firstLine="480"/>
      </w:pPr>
      <w:r>
        <w:rPr/>
        <w:t>用于获取目标的外部轮廓和深度信息，高分辨率多源目标三维探测器获取目标在可见光和红外波段的纹理信息。具备核心扫描任务和辅助配准、定向、定位任务并行的创新架构，且能在各种复杂苛刻工况（灰尘、雾霾、雨水、遮蔽）下实现稳定、高速、远距离、高精度测量；高分辨率多源目标三维探测器在总体结构方面充分考虑小型化、轻量化和环境适应性要求，在电气架构方面将模块独立与共电路集成相结合，在算法方面采用处理效能和实时性能并重的算法，并进行深度迭代优化，具体详见采购文件第3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本项目的特定资格要求：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p>
      <w:pPr>
        <w:pStyle w:val="null3"/>
      </w:pPr>
      <w:r>
        <w:rPr/>
        <w:t>2、法定代表人授权委托书：法定代表人参加投标的，须出示身份证；法定代表人授权本单位他人参加投标的，须提供法定代表人授权委托书及被授权人身份证复印件。</w:t>
      </w:r>
    </w:p>
    <w:p>
      <w:pPr>
        <w:pStyle w:val="null3"/>
      </w:pPr>
      <w:r>
        <w:rPr/>
        <w:t>3、本项目不接受联合体投标：本项目不接受联合体投标，不允许分包。投标人应提供《非联合体不分包投标声明》；</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西安工业大学</w:t>
      </w:r>
    </w:p>
    <w:p>
      <w:pPr>
        <w:pStyle w:val="null3"/>
      </w:pPr>
      <w:r>
        <w:rPr/>
        <w:t xml:space="preserve"> 地址： </w:t>
      </w:r>
      <w:r>
        <w:rPr/>
        <w:t>西安市未央区学府中路2号</w:t>
      </w:r>
    </w:p>
    <w:p>
      <w:pPr>
        <w:pStyle w:val="null3"/>
      </w:pPr>
      <w:r>
        <w:rPr/>
        <w:t xml:space="preserve"> 邮编： </w:t>
      </w:r>
      <w:r>
        <w:rPr/>
        <w:t>710000</w:t>
      </w:r>
    </w:p>
    <w:p>
      <w:pPr>
        <w:pStyle w:val="null3"/>
      </w:pPr>
      <w:r>
        <w:rPr/>
        <w:t xml:space="preserve"> 联系人： </w:t>
      </w:r>
      <w:r>
        <w:rPr/>
        <w:t>周老师</w:t>
      </w:r>
    </w:p>
    <w:p>
      <w:pPr>
        <w:pStyle w:val="null3"/>
      </w:pPr>
      <w:r>
        <w:rPr/>
        <w:t xml:space="preserve"> 联系电话： </w:t>
      </w:r>
      <w:r>
        <w:rPr/>
        <w:t>029-86173142</w:t>
      </w:r>
    </w:p>
    <w:p>
      <w:pPr>
        <w:pStyle w:val="null3"/>
        <w:outlineLvl w:val="2"/>
      </w:pPr>
      <w:r>
        <w:rPr>
          <w:sz w:val="28"/>
          <w:b/>
        </w:rPr>
        <w:t>代理机构：</w:t>
      </w:r>
      <w:r>
        <w:rPr>
          <w:sz w:val="28"/>
          <w:b/>
        </w:rPr>
        <w:t>陕西正信招标有限公司</w:t>
      </w:r>
    </w:p>
    <w:p>
      <w:pPr>
        <w:pStyle w:val="null3"/>
      </w:pPr>
      <w:r>
        <w:rPr/>
        <w:t xml:space="preserve"> 地址： </w:t>
      </w:r>
      <w:r>
        <w:rPr/>
        <w:t>西安市莲湖区环城西路南段元晟合中心6层</w:t>
      </w:r>
    </w:p>
    <w:p>
      <w:pPr>
        <w:pStyle w:val="null3"/>
      </w:pPr>
      <w:r>
        <w:rPr/>
        <w:t xml:space="preserve"> 邮编： </w:t>
      </w:r>
      <w:r>
        <w:rPr/>
        <w:t>710082</w:t>
      </w:r>
    </w:p>
    <w:p>
      <w:pPr>
        <w:pStyle w:val="null3"/>
      </w:pPr>
      <w:r>
        <w:rPr/>
        <w:t xml:space="preserve"> 联系人： </w:t>
      </w:r>
      <w:r>
        <w:rPr/>
        <w:t>柯敏 周楚杰 蔡丹 王琦</w:t>
      </w:r>
    </w:p>
    <w:p>
      <w:pPr>
        <w:pStyle w:val="null3"/>
      </w:pPr>
      <w:r>
        <w:rPr/>
        <w:t xml:space="preserve"> 联系电话： </w:t>
      </w:r>
      <w:r>
        <w:rPr/>
        <w:t>029-88411508转8014</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采购包1：1,100,000.00元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w:t>
            </w:r>
            <w:r>
              <w:rPr/>
              <w:t>产品属于节能产品政府采购品目清单中应优先采购的产品范围，本项目采购的</w:t>
            </w:r>
            <w:r>
              <w:rPr/>
              <w:t>/</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采购包1保证金金额：20,011.65元</w:t>
            </w:r>
          </w:p>
          <w:p>
            <w:pPr>
              <w:pStyle w:val="null3"/>
            </w:pPr>
            <w:r>
              <w:rPr/>
              <w:t>缴交渠道：电子保函,转账、支票、汇票等（需通过实体账户、户名及开户行信息）</w:t>
            </w:r>
          </w:p>
          <w:p>
            <w:pPr>
              <w:pStyle w:val="null3"/>
            </w:pPr>
            <w:r>
              <w:rPr/>
              <w:t>开户名称：陕西正信招标有限公司（资金性质：保证金专用账户）</w:t>
            </w:r>
          </w:p>
          <w:p>
            <w:pPr>
              <w:pStyle w:val="null3"/>
            </w:pPr>
            <w:r>
              <w:rPr/>
              <w:t>开户银行：中国银行西安四府街支行</w:t>
            </w:r>
          </w:p>
          <w:p>
            <w:pPr>
              <w:pStyle w:val="null3"/>
            </w:pPr>
            <w:r>
              <w:rPr/>
              <w:t>银行账号：102500641590</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说明：中标（成交）供应商在签订合同前5个工作日内，向采购人缴纳合同总价5%的履约保证金； 2.中标（成交）供应商如期履约完成且不存在其他任何违约责任，采购人无息由原缴费账户退还履约保证金全款。 3.若中标（成交）供应商未能按照合同约定履行，则采购人有权全额扣除履约保证金，并保留追究中标（成交）供应商违约相关的法律责任。</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120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代理服务费收费标准：1、本项目代理服务费按照成交金额的0.6%计取。 2、支付方式：成交供应商应在领取通知书的同时，支付本项目代理服务费。收款账户如下： 收款单位：陕西正信招标有限公司 开户银行：中国银行股份有限公司西安四府街支行 银行账号：102460065607 3、转账时请备注：241165项目服务费。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西安工业大学</w:t>
      </w:r>
      <w:r>
        <w:rPr/>
        <w:t>和</w:t>
      </w:r>
      <w:r>
        <w:rPr/>
        <w:t>陕西正信招标有限公司</w:t>
      </w:r>
      <w:r>
        <w:rPr/>
        <w:t>享有。对招标文件中供应商参加本次政府采购活动应当具备的条件，招标项目技术、服务、商务及其他要求，评标细则及标准由</w:t>
      </w:r>
      <w:r>
        <w:rPr/>
        <w:t>西安工业大学</w:t>
      </w:r>
      <w:r>
        <w:rPr/>
        <w:t>负责解释。除上述招标文件内容，其他内容由</w:t>
      </w:r>
      <w:r>
        <w:rPr/>
        <w:t>陕西正信招标有限公司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西安工业大学</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陕西正信招标有限公司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按照招标文件以及合同要求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陕西正信招标有限公司</w:t>
      </w:r>
      <w:r>
        <w:rPr/>
        <w:t xml:space="preserve"> 负责答复；供应商对除采购需求外的采购文件的询问、质疑由</w:t>
      </w:r>
      <w:r>
        <w:rPr/>
        <w:t>陕西正信招标有限公司</w:t>
      </w:r>
      <w:r>
        <w:rPr/>
        <w:t xml:space="preserve"> 负责答复；供应商对采购过程、采购结果的询问、质疑由 </w:t>
      </w:r>
      <w:r>
        <w:rPr/>
        <w:t>陕西正信招标有限公司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联系人：周楚杰 柯敏</w:t>
      </w:r>
    </w:p>
    <w:p>
      <w:pPr>
        <w:pStyle w:val="null3"/>
      </w:pPr>
      <w:r>
        <w:rPr/>
        <w:t>联系电话：029-88411508转8014</w:t>
      </w:r>
    </w:p>
    <w:p>
      <w:pPr>
        <w:pStyle w:val="null3"/>
      </w:pPr>
      <w:r>
        <w:rPr/>
        <w:t>地址：西安市莲湖区环城西路南段元晟合中心6层</w:t>
      </w:r>
    </w:p>
    <w:p>
      <w:pPr>
        <w:pStyle w:val="null3"/>
      </w:pPr>
      <w:r>
        <w:rPr/>
        <w:t>邮编：71082</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用于获取目标的外部轮廓和深度信息，高分辨率多源目标三维探测器获取目标在可见光和红外波段的纹理信息。具备核心扫描任务和辅助配准、定向、定位任务并行的创新架构，且能在各种复杂苛刻工况（灰尘、雾霾、雨水、遮蔽）下实现稳定、高速、远距离、高精度测量；高分辨率多源目标三维探测器在总体结构方面充分考虑小型化、轻量化和环境适应性要求，在电气架构方面将模块独立与共电路集成相结合，在算法方面采用处理效能和实时性能并重的算法，并进行深度迭代优化，具体详见采购文件第3章。</w:t>
      </w:r>
    </w:p>
    <w:p>
      <w:pPr>
        <w:pStyle w:val="null3"/>
        <w:outlineLvl w:val="2"/>
      </w:pPr>
      <w:r>
        <w:rPr>
          <w:sz w:val="28"/>
          <w:b/>
        </w:rPr>
        <w:t>3.2采购内容</w:t>
      </w:r>
    </w:p>
    <w:p>
      <w:pPr>
        <w:pStyle w:val="null3"/>
      </w:pPr>
      <w:r>
        <w:rPr/>
        <w:t>采购包1：</w:t>
      </w:r>
    </w:p>
    <w:p>
      <w:pPr>
        <w:pStyle w:val="null3"/>
      </w:pPr>
      <w:r>
        <w:rPr/>
        <w:t>采购包预算金额（元）: 1,100,000.00</w:t>
      </w:r>
    </w:p>
    <w:p>
      <w:pPr>
        <w:pStyle w:val="null3"/>
      </w:pPr>
      <w:r>
        <w:rPr/>
        <w:t>采购包最高限价（元）: 1,100,000.00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西安工业大学三维激光扫描仪采购项目</w:t>
            </w:r>
          </w:p>
        </w:tc>
        <w:tc>
          <w:tcPr>
            <w:tcW w:type="dxa" w:w="831"/>
          </w:tcPr>
          <w:p>
            <w:pPr>
              <w:pStyle w:val="null3"/>
              <w:jc w:val="right"/>
            </w:pPr>
            <w:r>
              <w:rPr/>
              <w:t>1.00</w:t>
            </w:r>
          </w:p>
        </w:tc>
        <w:tc>
          <w:tcPr>
            <w:tcW w:type="dxa" w:w="831"/>
          </w:tcPr>
          <w:p>
            <w:pPr>
              <w:pStyle w:val="null3"/>
              <w:jc w:val="right"/>
            </w:pPr>
            <w:r>
              <w:rPr/>
              <w:t>1,100,000.00</w:t>
            </w:r>
          </w:p>
        </w:tc>
        <w:tc>
          <w:tcPr>
            <w:tcW w:type="dxa" w:w="831"/>
          </w:tcPr>
          <w:p>
            <w:pPr>
              <w:pStyle w:val="null3"/>
            </w:pPr>
            <w:r>
              <w:rPr/>
              <w:t>套</w:t>
            </w:r>
          </w:p>
        </w:tc>
        <w:tc>
          <w:tcPr>
            <w:tcW w:type="dxa" w:w="831"/>
          </w:tcPr>
          <w:p>
            <w:pPr>
              <w:pStyle w:val="null3"/>
            </w:pPr>
            <w:r>
              <w:rPr/>
              <w:t>工业</w:t>
            </w:r>
          </w:p>
        </w:tc>
        <w:tc>
          <w:tcPr>
            <w:tcW w:type="dxa" w:w="831"/>
          </w:tcPr>
          <w:p>
            <w:pPr>
              <w:pStyle w:val="null3"/>
            </w:pPr>
            <w:r>
              <w:rPr/>
              <w:t>是</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标的名称：西安工业大学三维激光扫描仪采购项目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rFonts w:ascii="仿宋" w:hAnsi="仿宋" w:cs="仿宋" w:eastAsia="仿宋"/>
                <w:sz w:val="22"/>
                <w:shd w:fill="FFFFFF" w:val="clear"/>
              </w:rPr>
              <w:t>1.功能简述：</w:t>
            </w:r>
          </w:p>
          <w:p>
            <w:pPr>
              <w:pStyle w:val="null3"/>
              <w:ind w:left="360"/>
            </w:pPr>
            <w:r>
              <w:rPr>
                <w:rFonts w:ascii="仿宋" w:hAnsi="仿宋" w:cs="仿宋" w:eastAsia="仿宋"/>
                <w:sz w:val="22"/>
                <w:shd w:fill="FFFFFF" w:val="clear"/>
              </w:rPr>
              <w:t>用于获取目标的外部轮廓和深度信息，高分辨率多源目标三维探测器获取目标在可见光和红外波段的纹理信息。具备核心扫描任务和辅助配准、定向、定位任务并行的创新架构，且能在各种复杂苛刻工况（灰尘、雾霾、雨水、遮蔽）下实现稳定、高速、远距离、高精度测量；高分辨率多源目标三维探测器在总体结构方面充分考虑小型化、轻量化和环境适应性要求，在电气架构方面将模块独立与共电路集成相结合，在算法方面采用处理效能和实时性能并重的算法，并进行深度迭代优化。</w:t>
            </w:r>
          </w:p>
          <w:p>
            <w:pPr>
              <w:pStyle w:val="null3"/>
            </w:pPr>
            <w:r>
              <w:rPr>
                <w:rFonts w:ascii="仿宋" w:hAnsi="仿宋" w:cs="仿宋" w:eastAsia="仿宋"/>
                <w:sz w:val="22"/>
                <w:shd w:fill="FFFFFF" w:val="clear"/>
              </w:rPr>
              <w:t>2.具体性能指标：</w:t>
            </w:r>
          </w:p>
          <w:p>
            <w:pPr>
              <w:pStyle w:val="null3"/>
            </w:pPr>
            <w:r>
              <w:rPr>
                <w:rFonts w:ascii="仿宋" w:hAnsi="仿宋" w:cs="仿宋" w:eastAsia="仿宋"/>
                <w:sz w:val="22"/>
                <w:shd w:fill="FFFFFF" w:val="clear"/>
              </w:rPr>
              <w:t>(1) ▲最大测程：≥2500 m；</w:t>
            </w:r>
          </w:p>
          <w:p>
            <w:pPr>
              <w:pStyle w:val="null3"/>
            </w:pPr>
            <w:r>
              <w:rPr>
                <w:rFonts w:ascii="仿宋" w:hAnsi="仿宋" w:cs="仿宋" w:eastAsia="仿宋"/>
                <w:sz w:val="22"/>
                <w:shd w:fill="FFFFFF" w:val="clear"/>
              </w:rPr>
              <w:t>(2) 测距精度：≤4 mm@100m；</w:t>
            </w:r>
          </w:p>
          <w:p>
            <w:pPr>
              <w:pStyle w:val="null3"/>
            </w:pPr>
            <w:r>
              <w:rPr>
                <w:rFonts w:ascii="仿宋" w:hAnsi="仿宋" w:cs="仿宋" w:eastAsia="仿宋"/>
                <w:sz w:val="22"/>
                <w:shd w:fill="FFFFFF" w:val="clear"/>
              </w:rPr>
              <w:t>(3) 分辨率≤0.004°</w:t>
            </w:r>
          </w:p>
          <w:p>
            <w:pPr>
              <w:pStyle w:val="null3"/>
            </w:pPr>
            <w:r>
              <w:rPr>
                <w:rFonts w:ascii="仿宋" w:hAnsi="仿宋" w:cs="仿宋" w:eastAsia="仿宋"/>
                <w:sz w:val="22"/>
                <w:shd w:fill="FFFFFF" w:val="clear"/>
              </w:rPr>
              <w:t>(4) ▲重复精度：≤ 3 mm@100m，</w:t>
            </w:r>
          </w:p>
          <w:p>
            <w:pPr>
              <w:pStyle w:val="null3"/>
            </w:pPr>
            <w:r>
              <w:rPr>
                <w:rFonts w:ascii="仿宋" w:hAnsi="仿宋" w:cs="仿宋" w:eastAsia="仿宋"/>
                <w:sz w:val="22"/>
                <w:shd w:fill="FFFFFF" w:val="clear"/>
              </w:rPr>
              <w:t>(5) 最小测量距离：≤0.8 m；</w:t>
            </w:r>
          </w:p>
          <w:p>
            <w:pPr>
              <w:pStyle w:val="null3"/>
            </w:pPr>
            <w:r>
              <w:rPr>
                <w:rFonts w:ascii="仿宋" w:hAnsi="仿宋" w:cs="仿宋" w:eastAsia="仿宋"/>
                <w:sz w:val="22"/>
                <w:shd w:fill="FFFFFF" w:val="clear"/>
              </w:rPr>
              <w:t>(6)</w:t>
            </w:r>
            <w:r>
              <w:rPr/>
              <w:t xml:space="preserve"> </w:t>
            </w:r>
            <w:r>
              <w:rPr>
                <w:rFonts w:ascii="仿宋" w:hAnsi="仿宋" w:cs="仿宋" w:eastAsia="仿宋"/>
                <w:sz w:val="22"/>
                <w:shd w:fill="FFFFFF" w:val="clear"/>
              </w:rPr>
              <w:t>防护等级：</w:t>
            </w:r>
            <w:r>
              <w:rPr>
                <w:rFonts w:ascii="仿宋" w:hAnsi="仿宋" w:cs="仿宋" w:eastAsia="仿宋"/>
                <w:sz w:val="22"/>
                <w:shd w:fill="FFFFFF" w:val="clear"/>
              </w:rPr>
              <w:t>≥IP64；</w:t>
            </w:r>
          </w:p>
          <w:p>
            <w:pPr>
              <w:pStyle w:val="null3"/>
            </w:pPr>
            <w:r>
              <w:rPr>
                <w:rFonts w:ascii="仿宋" w:hAnsi="仿宋" w:cs="仿宋" w:eastAsia="仿宋"/>
                <w:sz w:val="22"/>
                <w:shd w:fill="FFFFFF" w:val="clear"/>
              </w:rPr>
              <w:t>(7)可通过无线控制扫描仪；</w:t>
            </w:r>
          </w:p>
          <w:p>
            <w:pPr>
              <w:pStyle w:val="null3"/>
            </w:pPr>
            <w:r>
              <w:rPr>
                <w:rFonts w:ascii="仿宋" w:hAnsi="仿宋" w:cs="仿宋" w:eastAsia="仿宋"/>
                <w:sz w:val="22"/>
                <w:shd w:fill="FFFFFF" w:val="clear"/>
              </w:rPr>
              <w:t>(8)</w:t>
            </w:r>
            <w:r>
              <w:rPr/>
              <w:t xml:space="preserve"> </w:t>
            </w:r>
            <w:r>
              <w:rPr>
                <w:rFonts w:ascii="仿宋" w:hAnsi="仿宋" w:cs="仿宋" w:eastAsia="仿宋"/>
                <w:sz w:val="22"/>
                <w:shd w:fill="FFFFFF" w:val="clear"/>
              </w:rPr>
              <w:t>内置三轴磁罗盘、三轴加速度计、三轴陀螺仪、气压计；</w:t>
            </w:r>
          </w:p>
          <w:p>
            <w:pPr>
              <w:pStyle w:val="null3"/>
            </w:pPr>
            <w:r>
              <w:rPr>
                <w:rFonts w:ascii="仿宋" w:hAnsi="仿宋" w:cs="仿宋" w:eastAsia="仿宋"/>
                <w:sz w:val="22"/>
                <w:shd w:fill="FFFFFF" w:val="clear"/>
              </w:rPr>
              <w:t>(9)</w:t>
            </w:r>
            <w:r>
              <w:rPr/>
              <w:t xml:space="preserve"> </w:t>
            </w:r>
            <w:r>
              <w:rPr>
                <w:rFonts w:ascii="仿宋" w:hAnsi="仿宋" w:cs="仿宋" w:eastAsia="仿宋"/>
                <w:sz w:val="22"/>
                <w:shd w:fill="FFFFFF" w:val="clear"/>
              </w:rPr>
              <w:t>扫描视野：水平</w:t>
            </w:r>
            <w:r>
              <w:rPr>
                <w:rFonts w:ascii="仿宋" w:hAnsi="仿宋" w:cs="仿宋" w:eastAsia="仿宋"/>
                <w:sz w:val="22"/>
                <w:shd w:fill="FFFFFF" w:val="clear"/>
              </w:rPr>
              <w:t>360°、垂直：≥100°；</w:t>
            </w:r>
          </w:p>
          <w:p>
            <w:pPr>
              <w:pStyle w:val="null3"/>
            </w:pPr>
            <w:r>
              <w:rPr>
                <w:rFonts w:ascii="仿宋" w:hAnsi="仿宋" w:cs="仿宋" w:eastAsia="仿宋"/>
                <w:sz w:val="22"/>
                <w:shd w:fill="FFFFFF" w:val="clear"/>
              </w:rPr>
              <w:t>(10)应用主机即可独立完成扫描工作，无需任何辅助手部和外接设备；</w:t>
            </w:r>
          </w:p>
          <w:p>
            <w:pPr>
              <w:pStyle w:val="null3"/>
            </w:pPr>
            <w:r>
              <w:rPr>
                <w:rFonts w:ascii="仿宋" w:hAnsi="仿宋" w:cs="仿宋" w:eastAsia="仿宋"/>
                <w:sz w:val="22"/>
                <w:shd w:fill="FFFFFF" w:val="clear"/>
              </w:rPr>
              <w:t>(11)可实现移动测量，无需另外购置外接IMU；</w:t>
            </w:r>
          </w:p>
          <w:p>
            <w:pPr>
              <w:pStyle w:val="null3"/>
            </w:pPr>
            <w:r>
              <w:rPr>
                <w:rFonts w:ascii="仿宋" w:hAnsi="仿宋" w:cs="仿宋" w:eastAsia="仿宋"/>
                <w:sz w:val="22"/>
                <w:shd w:fill="FFFFFF" w:val="clear"/>
              </w:rPr>
              <w:t>(12)</w:t>
            </w:r>
            <w:r>
              <w:rPr/>
              <w:t xml:space="preserve"> </w:t>
            </w:r>
            <w:r>
              <w:rPr>
                <w:rFonts w:ascii="仿宋" w:hAnsi="仿宋" w:cs="仿宋" w:eastAsia="仿宋"/>
                <w:sz w:val="22"/>
                <w:shd w:fill="FFFFFF" w:val="clear"/>
              </w:rPr>
              <w:t>通过操作界面可自定义扫描区域；</w:t>
            </w:r>
          </w:p>
          <w:p>
            <w:pPr>
              <w:pStyle w:val="null3"/>
            </w:pPr>
            <w:r>
              <w:rPr>
                <w:rFonts w:ascii="仿宋" w:hAnsi="仿宋" w:cs="仿宋" w:eastAsia="仿宋"/>
                <w:sz w:val="22"/>
                <w:shd w:fill="FFFFFF" w:val="clear"/>
              </w:rPr>
              <w:t>(13) 设备采用一级安全激光；</w:t>
            </w:r>
          </w:p>
          <w:p>
            <w:pPr>
              <w:pStyle w:val="null3"/>
            </w:pPr>
            <w:r>
              <w:rPr>
                <w:rFonts w:ascii="仿宋" w:hAnsi="仿宋" w:cs="仿宋" w:eastAsia="仿宋"/>
                <w:sz w:val="22"/>
                <w:shd w:fill="FFFFFF" w:val="clear"/>
              </w:rPr>
              <w:t>(1</w:t>
            </w:r>
            <w:r>
              <w:rPr>
                <w:rFonts w:ascii="仿宋" w:hAnsi="仿宋" w:cs="仿宋" w:eastAsia="仿宋"/>
                <w:sz w:val="22"/>
                <w:shd w:fill="FFFFFF" w:val="clear"/>
              </w:rPr>
              <w:t>4</w:t>
            </w:r>
            <w:r>
              <w:rPr>
                <w:rFonts w:ascii="仿宋" w:hAnsi="仿宋" w:cs="仿宋" w:eastAsia="仿宋"/>
                <w:sz w:val="22"/>
                <w:shd w:fill="FFFFFF" w:val="clear"/>
              </w:rPr>
              <w:t>) 控制操作界面为中文；</w:t>
            </w:r>
          </w:p>
          <w:p>
            <w:pPr>
              <w:pStyle w:val="null3"/>
            </w:pPr>
            <w:r>
              <w:rPr>
                <w:rFonts w:ascii="仿宋" w:hAnsi="仿宋" w:cs="仿宋" w:eastAsia="仿宋"/>
                <w:sz w:val="22"/>
                <w:shd w:fill="FFFFFF" w:val="clear"/>
              </w:rPr>
              <w:t>(1</w:t>
            </w:r>
            <w:r>
              <w:rPr>
                <w:rFonts w:ascii="仿宋" w:hAnsi="仿宋" w:cs="仿宋" w:eastAsia="仿宋"/>
                <w:sz w:val="22"/>
                <w:shd w:fill="FFFFFF" w:val="clear"/>
              </w:rPr>
              <w:t>5</w:t>
            </w:r>
            <w:r>
              <w:rPr>
                <w:rFonts w:ascii="仿宋" w:hAnsi="仿宋" w:cs="仿宋" w:eastAsia="仿宋"/>
                <w:sz w:val="22"/>
                <w:shd w:fill="FFFFFF" w:val="clear"/>
              </w:rPr>
              <w:t>) 支持自定义扫描模式；</w:t>
            </w:r>
          </w:p>
          <w:p>
            <w:pPr>
              <w:pStyle w:val="null3"/>
            </w:pPr>
            <w:r>
              <w:rPr>
                <w:rFonts w:ascii="仿宋" w:hAnsi="仿宋" w:cs="仿宋" w:eastAsia="仿宋"/>
                <w:sz w:val="22"/>
                <w:shd w:fill="FFFFFF" w:val="clear"/>
              </w:rPr>
              <w:t>(1</w:t>
            </w:r>
            <w:r>
              <w:rPr>
                <w:rFonts w:ascii="仿宋" w:hAnsi="仿宋" w:cs="仿宋" w:eastAsia="仿宋"/>
                <w:sz w:val="22"/>
                <w:shd w:fill="FFFFFF" w:val="clear"/>
              </w:rPr>
              <w:t>6</w:t>
            </w:r>
            <w:r>
              <w:rPr>
                <w:rFonts w:ascii="仿宋" w:hAnsi="仿宋" w:cs="仿宋" w:eastAsia="仿宋"/>
                <w:sz w:val="22"/>
                <w:shd w:fill="FFFFFF" w:val="clear"/>
              </w:rPr>
              <w:t>) ▲数据发射频率：≥1100 KHz；</w:t>
            </w:r>
          </w:p>
          <w:p>
            <w:pPr>
              <w:pStyle w:val="null3"/>
            </w:pPr>
            <w:r>
              <w:rPr>
                <w:rFonts w:ascii="仿宋" w:hAnsi="仿宋" w:cs="仿宋" w:eastAsia="仿宋"/>
                <w:sz w:val="22"/>
                <w:shd w:fill="FFFFFF" w:val="clear"/>
              </w:rPr>
              <w:t>(1</w:t>
            </w:r>
            <w:r>
              <w:rPr>
                <w:rFonts w:ascii="仿宋" w:hAnsi="仿宋" w:cs="仿宋" w:eastAsia="仿宋"/>
                <w:sz w:val="22"/>
                <w:shd w:fill="FFFFFF" w:val="clear"/>
              </w:rPr>
              <w:t>7</w:t>
            </w:r>
            <w:r>
              <w:rPr>
                <w:rFonts w:ascii="仿宋" w:hAnsi="仿宋" w:cs="仿宋" w:eastAsia="仿宋"/>
                <w:sz w:val="22"/>
                <w:shd w:fill="FFFFFF" w:val="clear"/>
              </w:rPr>
              <w:t>) 外置相机，像素≥4500万；</w:t>
            </w:r>
          </w:p>
          <w:p>
            <w:pPr>
              <w:pStyle w:val="null3"/>
            </w:pPr>
            <w:r>
              <w:rPr>
                <w:rFonts w:ascii="仿宋" w:hAnsi="仿宋" w:cs="仿宋" w:eastAsia="仿宋"/>
                <w:sz w:val="22"/>
                <w:shd w:fill="FFFFFF" w:val="clear"/>
              </w:rPr>
              <w:t>(1</w:t>
            </w:r>
            <w:r>
              <w:rPr>
                <w:rFonts w:ascii="仿宋" w:hAnsi="仿宋" w:cs="仿宋" w:eastAsia="仿宋"/>
                <w:sz w:val="22"/>
                <w:shd w:fill="FFFFFF" w:val="clear"/>
              </w:rPr>
              <w:t>8</w:t>
            </w:r>
            <w:r>
              <w:rPr>
                <w:rFonts w:ascii="仿宋" w:hAnsi="仿宋" w:cs="仿宋" w:eastAsia="仿宋"/>
                <w:sz w:val="22"/>
                <w:shd w:fill="FFFFFF" w:val="clear"/>
              </w:rPr>
              <w:t>)使用温度：-40～50℃；</w:t>
            </w:r>
          </w:p>
          <w:p>
            <w:pPr>
              <w:pStyle w:val="null3"/>
            </w:pPr>
            <w:r>
              <w:rPr>
                <w:rFonts w:ascii="仿宋" w:hAnsi="仿宋" w:cs="仿宋" w:eastAsia="仿宋"/>
                <w:sz w:val="22"/>
                <w:shd w:fill="FFFFFF" w:val="clear"/>
              </w:rPr>
              <w:t>(</w:t>
            </w:r>
            <w:r>
              <w:rPr>
                <w:rFonts w:ascii="仿宋" w:hAnsi="仿宋" w:cs="仿宋" w:eastAsia="仿宋"/>
                <w:sz w:val="22"/>
                <w:shd w:fill="FFFFFF" w:val="clear"/>
              </w:rPr>
              <w:t>19</w:t>
            </w:r>
            <w:r>
              <w:rPr>
                <w:rFonts w:ascii="仿宋" w:hAnsi="仿宋" w:cs="仿宋" w:eastAsia="仿宋"/>
                <w:sz w:val="22"/>
                <w:shd w:fill="FFFFFF" w:val="clear"/>
              </w:rPr>
              <w:t>)▲可实现设备内部拼接；支持多种数据存储拷贝方式、包括网线读取本地；</w:t>
            </w:r>
          </w:p>
          <w:p>
            <w:pPr>
              <w:pStyle w:val="null3"/>
            </w:pPr>
            <w:r>
              <w:rPr>
                <w:rFonts w:ascii="仿宋" w:hAnsi="仿宋" w:cs="仿宋" w:eastAsia="仿宋"/>
                <w:sz w:val="22"/>
                <w:shd w:fill="FFFFFF" w:val="clear"/>
              </w:rPr>
              <w:t>(2</w:t>
            </w:r>
            <w:r>
              <w:rPr>
                <w:rFonts w:ascii="仿宋" w:hAnsi="仿宋" w:cs="仿宋" w:eastAsia="仿宋"/>
                <w:sz w:val="22"/>
                <w:shd w:fill="FFFFFF" w:val="clear"/>
              </w:rPr>
              <w:t>0</w:t>
            </w:r>
            <w:r>
              <w:rPr>
                <w:rFonts w:ascii="仿宋" w:hAnsi="仿宋" w:cs="仿宋" w:eastAsia="仿宋"/>
                <w:sz w:val="22"/>
                <w:shd w:fill="FFFFFF" w:val="clear"/>
              </w:rPr>
              <w:t>) ▲支持机器人操作系统控制，并配备协同机器人底盘进行扫描作业；</w:t>
            </w:r>
          </w:p>
          <w:p>
            <w:pPr>
              <w:pStyle w:val="null3"/>
            </w:pPr>
            <w:r>
              <w:rPr>
                <w:rFonts w:ascii="仿宋" w:hAnsi="仿宋" w:cs="仿宋" w:eastAsia="仿宋"/>
                <w:sz w:val="22"/>
                <w:shd w:fill="FFFFFF" w:val="clear"/>
              </w:rPr>
              <w:t>(2</w:t>
            </w:r>
            <w:r>
              <w:rPr>
                <w:rFonts w:ascii="仿宋" w:hAnsi="仿宋" w:cs="仿宋" w:eastAsia="仿宋"/>
                <w:sz w:val="22"/>
                <w:shd w:fill="FFFFFF" w:val="clear"/>
              </w:rPr>
              <w:t>1</w:t>
            </w:r>
            <w:r>
              <w:rPr>
                <w:rFonts w:ascii="仿宋" w:hAnsi="仿宋" w:cs="仿宋" w:eastAsia="仿宋"/>
                <w:sz w:val="22"/>
                <w:shd w:fill="FFFFFF" w:val="clear"/>
              </w:rPr>
              <w:t>)</w:t>
            </w:r>
            <w:r>
              <w:rPr/>
              <w:t xml:space="preserve"> </w:t>
            </w:r>
            <w:r>
              <w:rPr>
                <w:rFonts w:ascii="仿宋" w:hAnsi="仿宋" w:cs="仿宋" w:eastAsia="仿宋"/>
                <w:sz w:val="22"/>
                <w:shd w:fill="FFFFFF" w:val="clear"/>
              </w:rPr>
              <w:t>机器人底盘链接架需具备过滤高低频减震链接单元，且不阻挡扫描仪视场角度；</w:t>
            </w:r>
          </w:p>
          <w:p>
            <w:pPr>
              <w:pStyle w:val="null3"/>
            </w:pPr>
            <w:r>
              <w:rPr>
                <w:rFonts w:ascii="仿宋" w:hAnsi="仿宋" w:cs="仿宋" w:eastAsia="仿宋"/>
                <w:sz w:val="22"/>
                <w:shd w:fill="FFFFFF" w:val="clear"/>
              </w:rPr>
              <w:t>(2</w:t>
            </w:r>
            <w:r>
              <w:rPr>
                <w:rFonts w:ascii="仿宋" w:hAnsi="仿宋" w:cs="仿宋" w:eastAsia="仿宋"/>
                <w:sz w:val="22"/>
                <w:shd w:fill="FFFFFF" w:val="clear"/>
              </w:rPr>
              <w:t>2</w:t>
            </w:r>
            <w:r>
              <w:rPr>
                <w:rFonts w:ascii="仿宋" w:hAnsi="仿宋" w:cs="仿宋" w:eastAsia="仿宋"/>
                <w:sz w:val="22"/>
                <w:shd w:fill="FFFFFF" w:val="clear"/>
              </w:rPr>
              <w:t>) ▲可实现控制底盘触发扫描仪进行数据获取；</w:t>
            </w:r>
          </w:p>
          <w:p>
            <w:pPr>
              <w:pStyle w:val="null3"/>
            </w:pPr>
            <w:r>
              <w:rPr>
                <w:rFonts w:ascii="仿宋" w:hAnsi="仿宋" w:cs="仿宋" w:eastAsia="仿宋"/>
                <w:sz w:val="22"/>
                <w:shd w:fill="FFFFFF" w:val="clear"/>
              </w:rPr>
              <w:t>(2</w:t>
            </w:r>
            <w:r>
              <w:rPr>
                <w:rFonts w:ascii="仿宋" w:hAnsi="仿宋" w:cs="仿宋" w:eastAsia="仿宋"/>
                <w:sz w:val="22"/>
                <w:shd w:fill="FFFFFF" w:val="clear"/>
              </w:rPr>
              <w:t>3</w:t>
            </w:r>
            <w:r>
              <w:rPr>
                <w:rFonts w:ascii="仿宋" w:hAnsi="仿宋" w:cs="仿宋" w:eastAsia="仿宋"/>
                <w:sz w:val="22"/>
                <w:shd w:fill="FFFFFF" w:val="clear"/>
              </w:rPr>
              <w:t>)</w:t>
            </w:r>
            <w:r>
              <w:rPr/>
              <w:t xml:space="preserve"> </w:t>
            </w:r>
            <w:r>
              <w:rPr>
                <w:rFonts w:ascii="仿宋" w:hAnsi="仿宋" w:cs="仿宋" w:eastAsia="仿宋"/>
                <w:sz w:val="22"/>
                <w:shd w:fill="FFFFFF" w:val="clear"/>
              </w:rPr>
              <w:t>最大速度：</w:t>
            </w:r>
            <w:r>
              <w:rPr>
                <w:rFonts w:ascii="仿宋" w:hAnsi="仿宋" w:cs="仿宋" w:eastAsia="仿宋"/>
                <w:sz w:val="22"/>
                <w:shd w:fill="FFFFFF" w:val="clear"/>
              </w:rPr>
              <w:t>≥ 5km/h，最大爬坡角度：＞15°，空载续航能力：≥3 小时；</w:t>
            </w:r>
          </w:p>
          <w:p>
            <w:pPr>
              <w:pStyle w:val="null3"/>
            </w:pPr>
            <w:r>
              <w:rPr>
                <w:rFonts w:ascii="仿宋" w:hAnsi="仿宋" w:cs="仿宋" w:eastAsia="仿宋"/>
                <w:sz w:val="22"/>
                <w:shd w:fill="FFFFFF" w:val="clear"/>
              </w:rPr>
              <w:t>(2</w:t>
            </w:r>
            <w:r>
              <w:rPr>
                <w:rFonts w:ascii="仿宋" w:hAnsi="仿宋" w:cs="仿宋" w:eastAsia="仿宋"/>
                <w:sz w:val="22"/>
                <w:shd w:fill="FFFFFF" w:val="clear"/>
              </w:rPr>
              <w:t>4</w:t>
            </w:r>
            <w:r>
              <w:rPr>
                <w:rFonts w:ascii="仿宋" w:hAnsi="仿宋" w:cs="仿宋" w:eastAsia="仿宋"/>
                <w:sz w:val="22"/>
                <w:shd w:fill="FFFFFF" w:val="clear"/>
              </w:rPr>
              <w:t>)悬挂模式：独立悬挂；</w:t>
            </w:r>
          </w:p>
          <w:p>
            <w:pPr>
              <w:pStyle w:val="null3"/>
            </w:pPr>
            <w:r>
              <w:rPr>
                <w:rFonts w:ascii="仿宋" w:hAnsi="仿宋" w:cs="仿宋" w:eastAsia="仿宋"/>
                <w:sz w:val="22"/>
                <w:shd w:fill="FFFFFF" w:val="clear"/>
              </w:rPr>
              <w:t>(2</w:t>
            </w:r>
            <w:r>
              <w:rPr>
                <w:rFonts w:ascii="仿宋" w:hAnsi="仿宋" w:cs="仿宋" w:eastAsia="仿宋"/>
                <w:sz w:val="22"/>
                <w:shd w:fill="FFFFFF" w:val="clear"/>
              </w:rPr>
              <w:t>5</w:t>
            </w:r>
            <w:r>
              <w:rPr>
                <w:rFonts w:ascii="仿宋" w:hAnsi="仿宋" w:cs="仿宋" w:eastAsia="仿宋"/>
                <w:sz w:val="22"/>
                <w:shd w:fill="FFFFFF" w:val="clear"/>
              </w:rPr>
              <w:t>) ▲可实现通过机器人底盘遥控器远程操控三维激光扫描系统。机器人底盘可实时搭载扫描仪自主避障并生成高精度底图。生成底图后可自定义兴趣点进行扫描作业并可同时搭载热红外、摄像机及微光成像等传感器；</w:t>
            </w:r>
          </w:p>
          <w:p>
            <w:pPr>
              <w:pStyle w:val="null3"/>
            </w:pPr>
            <w:r>
              <w:rPr>
                <w:rFonts w:ascii="仿宋" w:hAnsi="仿宋" w:cs="仿宋" w:eastAsia="仿宋"/>
                <w:sz w:val="22"/>
                <w:shd w:fill="FFFFFF" w:val="clear"/>
              </w:rPr>
              <w:t>（</w:t>
            </w: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）机器人配套传感器参数：</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.1激光雷达：≥2颗</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.2激光波长：905nm</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.3人眼安全级别：Class 1</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.4 FOV：水平360°、竖直：-7～52°</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.5点云输出：≥200000点/秒</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.6深度相机：2组前部安装</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.7深度检测距离：0.3～3 m</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.8功耗：整机工作平均功耗≤2W， 激光开启瞬间峰值≤5W(持续时间 3ms)</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.9深度图分辨率：640×400@30FPS、320×200@30FPS</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.10彩色图分辨率：1920×1080@30FPS、1280×720@30FPS、640×480@30FPS</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.11深度FOV：水平：≥66°、垂直：≥45°</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.12彩色FOV：水平≥70°、垂直：≥42°</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.13供电方式：USB</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.14安全性：Class 1</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.15惯性传感器imu</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.16惯性传感器支持宽压输入。</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.17惯性传感器具备三轴加速度计、三轴陀螺仪、三轴磁传感器。</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.18惯性传感器中三轴陀螺仪最大量程：≥±2000°/s</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.19惯性传感器中三轴加速度计最大量程：≥±8G</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.20惯性传感器中三轴磁传感器最大量程：±8G（Gauss）。</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.21惯性传感器支持USB通讯输出接口。</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.22惯性传感器支持9轴/6轴航向角度输出，工作模式可选。</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.23工控机：i7-9700同等性能或更高、内存：≥16G、固态硬盘、容量：≥256G</w:t>
            </w:r>
          </w:p>
          <w:p>
            <w:pPr>
              <w:pStyle w:val="null3"/>
            </w:pPr>
            <w:r>
              <w:rPr>
                <w:rFonts w:ascii="仿宋" w:hAnsi="仿宋" w:cs="仿宋" w:eastAsia="仿宋"/>
                <w:sz w:val="22"/>
                <w:shd w:fill="FFFFFF" w:val="clear"/>
              </w:rPr>
              <w:t>26.24控制器支持：9～36V宽压输入，DC电源</w:t>
            </w:r>
          </w:p>
          <w:p>
            <w:pPr>
              <w:pStyle w:val="null3"/>
            </w:pPr>
            <w:r>
              <w:rPr>
                <w:rFonts w:ascii="仿宋" w:hAnsi="仿宋" w:cs="仿宋" w:eastAsia="仿宋"/>
                <w:sz w:val="22"/>
                <w:shd w:fill="FFFFFF" w:val="clear"/>
              </w:rPr>
              <w:t>2</w:t>
            </w:r>
            <w:r>
              <w:rPr>
                <w:rFonts w:ascii="仿宋" w:hAnsi="仿宋" w:cs="仿宋" w:eastAsia="仿宋"/>
                <w:sz w:val="22"/>
                <w:shd w:fill="FFFFFF" w:val="clear"/>
              </w:rPr>
              <w:t>6</w:t>
            </w:r>
            <w:r>
              <w:rPr>
                <w:rFonts w:ascii="仿宋" w:hAnsi="仿宋" w:cs="仿宋" w:eastAsia="仿宋"/>
                <w:sz w:val="22"/>
                <w:shd w:fill="FFFFFF" w:val="clear"/>
              </w:rPr>
              <w:t>.25安全防护：带触边传感器：≥2组,超声波检测≥4组；</w:t>
            </w:r>
          </w:p>
          <w:p>
            <w:pPr>
              <w:pStyle w:val="null3"/>
            </w:pPr>
            <w:r>
              <w:rPr>
                <w:rFonts w:ascii="仿宋" w:hAnsi="仿宋" w:cs="仿宋" w:eastAsia="仿宋"/>
                <w:sz w:val="22"/>
                <w:shd w:fill="FFFFFF" w:val="clear"/>
              </w:rPr>
              <w:t>3、软件指标</w:t>
            </w:r>
          </w:p>
          <w:p>
            <w:pPr>
              <w:pStyle w:val="null3"/>
            </w:pPr>
            <w:r>
              <w:rPr>
                <w:rFonts w:ascii="仿宋" w:hAnsi="仿宋" w:cs="仿宋" w:eastAsia="仿宋"/>
                <w:sz w:val="22"/>
                <w:shd w:fill="FFFFFF" w:val="clear"/>
              </w:rPr>
              <w:t>(2</w:t>
            </w:r>
            <w:r>
              <w:rPr>
                <w:rFonts w:ascii="仿宋" w:hAnsi="仿宋" w:cs="仿宋" w:eastAsia="仿宋"/>
                <w:sz w:val="22"/>
                <w:shd w:fill="FFFFFF" w:val="clear"/>
              </w:rPr>
              <w:t>7</w:t>
            </w:r>
            <w:r>
              <w:rPr>
                <w:rFonts w:ascii="仿宋" w:hAnsi="仿宋" w:cs="仿宋" w:eastAsia="仿宋"/>
                <w:sz w:val="22"/>
                <w:shd w:fill="FFFFFF" w:val="clear"/>
              </w:rPr>
              <w:t>)多种数据拼接、过滤、建模功能；</w:t>
            </w:r>
          </w:p>
          <w:p>
            <w:pPr>
              <w:pStyle w:val="null3"/>
            </w:pPr>
            <w:r>
              <w:rPr>
                <w:rFonts w:ascii="仿宋" w:hAnsi="仿宋" w:cs="仿宋" w:eastAsia="仿宋"/>
                <w:sz w:val="22"/>
                <w:shd w:fill="FFFFFF" w:val="clear"/>
              </w:rPr>
              <w:t>（</w:t>
            </w:r>
            <w:r>
              <w:rPr>
                <w:rFonts w:ascii="仿宋" w:hAnsi="仿宋" w:cs="仿宋" w:eastAsia="仿宋"/>
                <w:sz w:val="22"/>
                <w:shd w:fill="FFFFFF" w:val="clear"/>
              </w:rPr>
              <w:t>2</w:t>
            </w:r>
            <w:r>
              <w:rPr>
                <w:rFonts w:ascii="仿宋" w:hAnsi="仿宋" w:cs="仿宋" w:eastAsia="仿宋"/>
                <w:sz w:val="22"/>
                <w:shd w:fill="FFFFFF" w:val="clear"/>
              </w:rPr>
              <w:t>8</w:t>
            </w:r>
            <w:r>
              <w:rPr>
                <w:rFonts w:ascii="仿宋" w:hAnsi="仿宋" w:cs="仿宋" w:eastAsia="仿宋"/>
                <w:sz w:val="22"/>
                <w:shd w:fill="FFFFFF" w:val="clear"/>
              </w:rPr>
              <w:t>）具备多种数据导入</w:t>
            </w:r>
            <w:r>
              <w:rPr>
                <w:rFonts w:ascii="仿宋" w:hAnsi="仿宋" w:cs="仿宋" w:eastAsia="仿宋"/>
                <w:sz w:val="22"/>
                <w:shd w:fill="FFFFFF" w:val="clear"/>
              </w:rPr>
              <w:t>\导出功能，提高数据的兼容性；</w:t>
            </w:r>
          </w:p>
          <w:p>
            <w:pPr>
              <w:pStyle w:val="null3"/>
            </w:pPr>
            <w:r>
              <w:rPr>
                <w:rFonts w:ascii="仿宋" w:hAnsi="仿宋" w:cs="仿宋" w:eastAsia="仿宋"/>
                <w:sz w:val="22"/>
                <w:shd w:fill="FFFFFF" w:val="clear"/>
              </w:rPr>
              <w:t>（</w:t>
            </w:r>
            <w:r>
              <w:rPr>
                <w:rFonts w:ascii="仿宋" w:hAnsi="仿宋" w:cs="仿宋" w:eastAsia="仿宋"/>
                <w:sz w:val="22"/>
                <w:shd w:fill="FFFFFF" w:val="clear"/>
              </w:rPr>
              <w:t>29</w:t>
            </w:r>
            <w:r>
              <w:rPr>
                <w:rFonts w:ascii="仿宋" w:hAnsi="仿宋" w:cs="仿宋" w:eastAsia="仿宋"/>
                <w:sz w:val="22"/>
                <w:shd w:fill="FFFFFF" w:val="clear"/>
              </w:rPr>
              <w:t>）可实现植被的一键过滤；</w:t>
            </w:r>
          </w:p>
          <w:p>
            <w:pPr>
              <w:pStyle w:val="null3"/>
            </w:pPr>
            <w:r>
              <w:rPr>
                <w:rFonts w:ascii="仿宋" w:hAnsi="仿宋" w:cs="仿宋" w:eastAsia="仿宋"/>
                <w:sz w:val="22"/>
                <w:shd w:fill="FFFFFF" w:val="clear"/>
              </w:rPr>
              <w:t>（</w:t>
            </w:r>
            <w:r>
              <w:rPr>
                <w:rFonts w:ascii="仿宋" w:hAnsi="仿宋" w:cs="仿宋" w:eastAsia="仿宋"/>
                <w:sz w:val="22"/>
                <w:shd w:fill="FFFFFF" w:val="clear"/>
              </w:rPr>
              <w:t>30</w:t>
            </w:r>
            <w:r>
              <w:rPr>
                <w:rFonts w:ascii="仿宋" w:hAnsi="仿宋" w:cs="仿宋" w:eastAsia="仿宋"/>
                <w:sz w:val="22"/>
                <w:shd w:fill="FFFFFF" w:val="clear"/>
              </w:rPr>
              <w:t>）相同数据可进行多视图显示，便于数据对比及查看；</w:t>
            </w:r>
          </w:p>
          <w:p>
            <w:pPr>
              <w:pStyle w:val="null3"/>
            </w:pPr>
            <w:r>
              <w:rPr>
                <w:rFonts w:ascii="仿宋" w:hAnsi="仿宋" w:cs="仿宋" w:eastAsia="仿宋"/>
                <w:sz w:val="22"/>
                <w:shd w:fill="FFFFFF" w:val="clear"/>
              </w:rPr>
              <w:t>（</w:t>
            </w:r>
            <w:r>
              <w:rPr>
                <w:rFonts w:ascii="仿宋" w:hAnsi="仿宋" w:cs="仿宋" w:eastAsia="仿宋"/>
                <w:sz w:val="22"/>
                <w:shd w:fill="FFFFFF" w:val="clear"/>
              </w:rPr>
              <w:t>31</w:t>
            </w:r>
            <w:r>
              <w:rPr>
                <w:rFonts w:ascii="仿宋" w:hAnsi="仿宋" w:cs="仿宋" w:eastAsia="仿宋"/>
                <w:sz w:val="22"/>
                <w:shd w:fill="FFFFFF" w:val="clear"/>
              </w:rPr>
              <w:t>）具备多种建模方式，可一键建立复杂模型；</w:t>
            </w:r>
          </w:p>
          <w:p>
            <w:pPr>
              <w:pStyle w:val="null3"/>
            </w:pPr>
            <w:r>
              <w:rPr>
                <w:rFonts w:ascii="仿宋" w:hAnsi="仿宋" w:cs="仿宋" w:eastAsia="仿宋"/>
                <w:sz w:val="22"/>
                <w:shd w:fill="FFFFFF" w:val="clear"/>
              </w:rPr>
              <w:t>（</w:t>
            </w:r>
            <w:r>
              <w:rPr>
                <w:rFonts w:ascii="仿宋" w:hAnsi="仿宋" w:cs="仿宋" w:eastAsia="仿宋"/>
                <w:sz w:val="22"/>
                <w:shd w:fill="FFFFFF" w:val="clear"/>
              </w:rPr>
              <w:t>3</w:t>
            </w:r>
            <w:r>
              <w:rPr>
                <w:rFonts w:ascii="仿宋" w:hAnsi="仿宋" w:cs="仿宋" w:eastAsia="仿宋"/>
                <w:sz w:val="22"/>
                <w:shd w:fill="FFFFFF" w:val="clear"/>
              </w:rPr>
              <w:t>2</w:t>
            </w:r>
            <w:r>
              <w:rPr>
                <w:rFonts w:ascii="仿宋" w:hAnsi="仿宋" w:cs="仿宋" w:eastAsia="仿宋"/>
                <w:sz w:val="22"/>
                <w:shd w:fill="FFFFFF" w:val="clear"/>
              </w:rPr>
              <w:t>）可实现</w:t>
            </w:r>
            <w:r>
              <w:rPr>
                <w:rFonts w:ascii="仿宋" w:hAnsi="仿宋" w:cs="仿宋" w:eastAsia="仿宋"/>
                <w:sz w:val="22"/>
                <w:shd w:fill="FFFFFF" w:val="clear"/>
              </w:rPr>
              <w:t>3D/4D自定义路径及自定义时间节点动画录制；</w:t>
            </w:r>
          </w:p>
          <w:p>
            <w:pPr>
              <w:pStyle w:val="null3"/>
            </w:pPr>
            <w:r>
              <w:rPr>
                <w:rFonts w:ascii="仿宋" w:hAnsi="仿宋" w:cs="仿宋" w:eastAsia="仿宋"/>
                <w:sz w:val="22"/>
                <w:shd w:fill="FFFFFF" w:val="clear"/>
              </w:rPr>
              <w:t>（</w:t>
            </w:r>
            <w:r>
              <w:rPr>
                <w:rFonts w:ascii="仿宋" w:hAnsi="仿宋" w:cs="仿宋" w:eastAsia="仿宋"/>
                <w:sz w:val="22"/>
                <w:shd w:fill="FFFFFF" w:val="clear"/>
              </w:rPr>
              <w:t>3</w:t>
            </w:r>
            <w:r>
              <w:rPr>
                <w:rFonts w:ascii="仿宋" w:hAnsi="仿宋" w:cs="仿宋" w:eastAsia="仿宋"/>
                <w:sz w:val="22"/>
                <w:shd w:fill="FFFFFF" w:val="clear"/>
              </w:rPr>
              <w:t>3</w:t>
            </w:r>
            <w:r>
              <w:rPr>
                <w:rFonts w:ascii="仿宋" w:hAnsi="仿宋" w:cs="仿宋" w:eastAsia="仿宋"/>
                <w:sz w:val="22"/>
                <w:shd w:fill="FFFFFF" w:val="clear"/>
              </w:rPr>
              <w:t>）可以对粉尘及雪状物等噪音点一键自动过滤；</w:t>
            </w:r>
          </w:p>
          <w:p>
            <w:pPr>
              <w:pStyle w:val="null3"/>
            </w:pPr>
            <w:r>
              <w:rPr>
                <w:rFonts w:ascii="仿宋" w:hAnsi="仿宋" w:cs="仿宋" w:eastAsia="仿宋"/>
                <w:sz w:val="22"/>
                <w:shd w:fill="FFFFFF" w:val="clear"/>
              </w:rPr>
              <w:t>（</w:t>
            </w:r>
            <w:r>
              <w:rPr>
                <w:rFonts w:ascii="仿宋" w:hAnsi="仿宋" w:cs="仿宋" w:eastAsia="仿宋"/>
                <w:sz w:val="22"/>
                <w:shd w:fill="FFFFFF" w:val="clear"/>
              </w:rPr>
              <w:t>3</w:t>
            </w:r>
            <w:r>
              <w:rPr>
                <w:rFonts w:ascii="仿宋" w:hAnsi="仿宋" w:cs="仿宋" w:eastAsia="仿宋"/>
                <w:sz w:val="22"/>
                <w:shd w:fill="FFFFFF" w:val="clear"/>
              </w:rPr>
              <w:t>4</w:t>
            </w:r>
            <w:r>
              <w:rPr>
                <w:rFonts w:ascii="仿宋" w:hAnsi="仿宋" w:cs="仿宋" w:eastAsia="仿宋"/>
                <w:sz w:val="22"/>
                <w:shd w:fill="FFFFFF" w:val="clear"/>
              </w:rPr>
              <w:t>）可实现特征线的一键提取，并可实现与二维平面软件的无缝对接；</w:t>
            </w:r>
          </w:p>
          <w:p>
            <w:pPr>
              <w:pStyle w:val="null3"/>
            </w:pPr>
            <w:r>
              <w:rPr>
                <w:rFonts w:ascii="仿宋" w:hAnsi="仿宋" w:cs="仿宋" w:eastAsia="仿宋"/>
                <w:sz w:val="22"/>
                <w:shd w:fill="FFFFFF" w:val="clear"/>
              </w:rPr>
              <w:t>（</w:t>
            </w:r>
            <w:r>
              <w:rPr>
                <w:rFonts w:ascii="仿宋" w:hAnsi="仿宋" w:cs="仿宋" w:eastAsia="仿宋"/>
                <w:sz w:val="22"/>
                <w:shd w:fill="FFFFFF" w:val="clear"/>
              </w:rPr>
              <w:t>3</w:t>
            </w:r>
            <w:r>
              <w:rPr>
                <w:rFonts w:ascii="仿宋" w:hAnsi="仿宋" w:cs="仿宋" w:eastAsia="仿宋"/>
                <w:sz w:val="22"/>
                <w:shd w:fill="FFFFFF" w:val="clear"/>
              </w:rPr>
              <w:t>5</w:t>
            </w:r>
            <w:r>
              <w:rPr>
                <w:rFonts w:ascii="仿宋" w:hAnsi="仿宋" w:cs="仿宋" w:eastAsia="仿宋"/>
                <w:sz w:val="22"/>
                <w:shd w:fill="FFFFFF" w:val="clear"/>
              </w:rPr>
              <w:t>）可自定义工作面，方便用户使用，可自定义使用模块位置，支持</w:t>
            </w:r>
            <w:r>
              <w:rPr>
                <w:rFonts w:ascii="仿宋" w:hAnsi="仿宋" w:cs="仿宋" w:eastAsia="仿宋"/>
                <w:sz w:val="22"/>
                <w:shd w:fill="FFFFFF" w:val="clear"/>
              </w:rPr>
              <w:t>WGS84、CGCS-2000、XIAN80、BEIJING54等坐标系，并支持坐标系间的相互转换；</w:t>
            </w:r>
          </w:p>
          <w:p>
            <w:pPr>
              <w:pStyle w:val="null3"/>
            </w:pPr>
            <w:r>
              <w:rPr>
                <w:rFonts w:ascii="仿宋" w:hAnsi="仿宋" w:cs="仿宋" w:eastAsia="仿宋"/>
                <w:sz w:val="22"/>
                <w:shd w:fill="FFFFFF" w:val="clear"/>
              </w:rPr>
              <w:t>（</w:t>
            </w:r>
            <w:r>
              <w:rPr>
                <w:rFonts w:ascii="仿宋" w:hAnsi="仿宋" w:cs="仿宋" w:eastAsia="仿宋"/>
                <w:sz w:val="22"/>
                <w:shd w:fill="FFFFFF" w:val="clear"/>
              </w:rPr>
              <w:t>3</w:t>
            </w:r>
            <w:r>
              <w:rPr>
                <w:rFonts w:ascii="仿宋" w:hAnsi="仿宋" w:cs="仿宋" w:eastAsia="仿宋"/>
                <w:sz w:val="22"/>
                <w:shd w:fill="FFFFFF" w:val="clear"/>
              </w:rPr>
              <w:t>6</w:t>
            </w:r>
            <w:r>
              <w:rPr>
                <w:rFonts w:ascii="仿宋" w:hAnsi="仿宋" w:cs="仿宋" w:eastAsia="仿宋"/>
                <w:sz w:val="22"/>
                <w:shd w:fill="FFFFFF" w:val="clear"/>
              </w:rPr>
              <w:t>）通过提取平面特征自动拼接；</w:t>
            </w:r>
          </w:p>
          <w:p>
            <w:pPr>
              <w:pStyle w:val="null3"/>
            </w:pPr>
            <w:r>
              <w:rPr>
                <w:rFonts w:ascii="仿宋" w:hAnsi="仿宋" w:cs="仿宋" w:eastAsia="仿宋"/>
                <w:sz w:val="22"/>
                <w:shd w:fill="FFFFFF" w:val="clear"/>
              </w:rPr>
              <w:t>（</w:t>
            </w:r>
            <w:r>
              <w:rPr>
                <w:rFonts w:ascii="仿宋" w:hAnsi="仿宋" w:cs="仿宋" w:eastAsia="仿宋"/>
                <w:sz w:val="22"/>
                <w:shd w:fill="FFFFFF" w:val="clear"/>
              </w:rPr>
              <w:t>3</w:t>
            </w:r>
            <w:r>
              <w:rPr>
                <w:rFonts w:ascii="仿宋" w:hAnsi="仿宋" w:cs="仿宋" w:eastAsia="仿宋"/>
                <w:sz w:val="22"/>
                <w:shd w:fill="FFFFFF" w:val="clear"/>
              </w:rPr>
              <w:t>7</w:t>
            </w:r>
            <w:r>
              <w:rPr>
                <w:rFonts w:ascii="仿宋" w:hAnsi="仿宋" w:cs="仿宋" w:eastAsia="仿宋"/>
                <w:sz w:val="22"/>
                <w:shd w:fill="FFFFFF" w:val="clear"/>
              </w:rPr>
              <w:t>）多期数据自动比对功能；</w:t>
            </w:r>
          </w:p>
          <w:p>
            <w:pPr>
              <w:pStyle w:val="null3"/>
            </w:pPr>
            <w:r>
              <w:rPr>
                <w:rFonts w:ascii="仿宋" w:hAnsi="仿宋" w:cs="仿宋" w:eastAsia="仿宋"/>
                <w:sz w:val="22"/>
                <w:shd w:fill="FFFFFF" w:val="clear"/>
              </w:rPr>
              <w:t>（</w:t>
            </w:r>
            <w:r>
              <w:rPr>
                <w:rFonts w:ascii="仿宋" w:hAnsi="仿宋" w:cs="仿宋" w:eastAsia="仿宋"/>
                <w:sz w:val="22"/>
                <w:shd w:fill="FFFFFF" w:val="clear"/>
              </w:rPr>
              <w:t>3</w:t>
            </w:r>
            <w:r>
              <w:rPr>
                <w:rFonts w:ascii="仿宋" w:hAnsi="仿宋" w:cs="仿宋" w:eastAsia="仿宋"/>
                <w:sz w:val="22"/>
                <w:shd w:fill="FFFFFF" w:val="clear"/>
              </w:rPr>
              <w:t>8</w:t>
            </w:r>
            <w:r>
              <w:rPr>
                <w:rFonts w:ascii="仿宋" w:hAnsi="仿宋" w:cs="仿宋" w:eastAsia="仿宋"/>
                <w:sz w:val="22"/>
                <w:shd w:fill="FFFFFF" w:val="clear"/>
              </w:rPr>
              <w:t>）支持一键自动滤噪功能；</w:t>
            </w:r>
          </w:p>
          <w:p>
            <w:pPr>
              <w:pStyle w:val="null3"/>
            </w:pPr>
            <w:r>
              <w:rPr>
                <w:rFonts w:ascii="仿宋" w:hAnsi="仿宋" w:cs="仿宋" w:eastAsia="仿宋"/>
                <w:sz w:val="22"/>
                <w:shd w:fill="FFFFFF" w:val="clear"/>
              </w:rPr>
              <w:t>（</w:t>
            </w:r>
            <w:r>
              <w:rPr>
                <w:rFonts w:ascii="仿宋" w:hAnsi="仿宋" w:cs="仿宋" w:eastAsia="仿宋"/>
                <w:sz w:val="22"/>
                <w:shd w:fill="FFFFFF" w:val="clear"/>
              </w:rPr>
              <w:t>39</w:t>
            </w:r>
            <w:r>
              <w:rPr>
                <w:rFonts w:ascii="仿宋" w:hAnsi="仿宋" w:cs="仿宋" w:eastAsia="仿宋"/>
                <w:sz w:val="22"/>
                <w:shd w:fill="FFFFFF" w:val="clear"/>
              </w:rPr>
              <w:t>）具备反射率显示功能</w:t>
            </w:r>
            <w:r>
              <w:rPr>
                <w:rFonts w:ascii="仿宋" w:hAnsi="仿宋" w:cs="仿宋" w:eastAsia="仿宋"/>
                <w:sz w:val="22"/>
                <w:shd w:fill="FFFFFF" w:val="clear"/>
              </w:rPr>
              <w:t>,振幅显示功能；X射线显示功能；</w:t>
            </w:r>
          </w:p>
          <w:p>
            <w:pPr>
              <w:pStyle w:val="null3"/>
            </w:pPr>
            <w:r>
              <w:rPr>
                <w:rFonts w:ascii="仿宋" w:hAnsi="仿宋" w:cs="仿宋" w:eastAsia="仿宋"/>
                <w:sz w:val="22"/>
                <w:shd w:fill="FFFFFF" w:val="clear"/>
              </w:rPr>
              <w:t>（</w:t>
            </w:r>
            <w:r>
              <w:rPr>
                <w:rFonts w:ascii="仿宋" w:hAnsi="仿宋" w:cs="仿宋" w:eastAsia="仿宋"/>
                <w:sz w:val="22"/>
                <w:shd w:fill="FFFFFF" w:val="clear"/>
              </w:rPr>
              <w:t>4</w:t>
            </w:r>
            <w:r>
              <w:rPr>
                <w:rFonts w:ascii="仿宋" w:hAnsi="仿宋" w:cs="仿宋" w:eastAsia="仿宋"/>
                <w:sz w:val="22"/>
                <w:shd w:fill="FFFFFF" w:val="clear"/>
              </w:rPr>
              <w:t>0</w:t>
            </w:r>
            <w:r>
              <w:rPr>
                <w:rFonts w:ascii="仿宋" w:hAnsi="仿宋" w:cs="仿宋" w:eastAsia="仿宋"/>
                <w:sz w:val="22"/>
                <w:shd w:fill="FFFFFF" w:val="clear"/>
              </w:rPr>
              <w:t>）拥有二维矢量化模块，可将三维点云以投影视角输出二维投影视图，可导出</w:t>
            </w:r>
            <w:r>
              <w:rPr>
                <w:rFonts w:ascii="仿宋" w:hAnsi="仿宋" w:cs="仿宋" w:eastAsia="仿宋"/>
                <w:sz w:val="22"/>
                <w:shd w:fill="FFFFFF" w:val="clear"/>
              </w:rPr>
              <w:t>DWG、JPG等、支持生成立面、截面、平面（以正射影像形式生成无扭曲形变的平面图及剖面图）生成PDF、DXF、JPG、PNG等格式、支持单机及网络发布模块，支持工作站生成exe运行文件；支持网页发布，支持手机二维码扫描浏览；</w:t>
            </w:r>
          </w:p>
          <w:p>
            <w:pPr>
              <w:pStyle w:val="null3"/>
            </w:pPr>
            <w:r>
              <w:rPr>
                <w:rFonts w:ascii="仿宋" w:hAnsi="仿宋" w:cs="仿宋" w:eastAsia="仿宋"/>
                <w:sz w:val="22"/>
                <w:shd w:fill="FFFFFF" w:val="clear"/>
              </w:rPr>
              <w:t>（</w:t>
            </w:r>
            <w:r>
              <w:rPr>
                <w:rFonts w:ascii="仿宋" w:hAnsi="仿宋" w:cs="仿宋" w:eastAsia="仿宋"/>
                <w:sz w:val="22"/>
                <w:shd w:fill="FFFFFF" w:val="clear"/>
              </w:rPr>
              <w:t>4</w:t>
            </w:r>
            <w:r>
              <w:rPr>
                <w:rFonts w:ascii="仿宋" w:hAnsi="仿宋" w:cs="仿宋" w:eastAsia="仿宋"/>
                <w:sz w:val="22"/>
                <w:shd w:fill="FFFFFF" w:val="clear"/>
              </w:rPr>
              <w:t>1</w:t>
            </w:r>
            <w:r>
              <w:rPr>
                <w:rFonts w:ascii="仿宋" w:hAnsi="仿宋" w:cs="仿宋" w:eastAsia="仿宋"/>
                <w:sz w:val="22"/>
                <w:shd w:fill="FFFFFF" w:val="clear"/>
              </w:rPr>
              <w:t>）</w:t>
            </w:r>
            <w:r>
              <w:rPr>
                <w:rFonts w:ascii="仿宋" w:hAnsi="仿宋" w:cs="仿宋" w:eastAsia="仿宋"/>
                <w:sz w:val="22"/>
                <w:shd w:fill="FFFFFF" w:val="clear"/>
              </w:rPr>
              <w:t>▲支持纸片化分析功能、支持沉降分析功能；倾角分析模块，可对地物表面倾角进行分类及处理；</w:t>
            </w:r>
          </w:p>
          <w:p>
            <w:pPr>
              <w:pStyle w:val="null3"/>
            </w:pPr>
            <w:r>
              <w:rPr>
                <w:rFonts w:ascii="仿宋" w:hAnsi="仿宋" w:cs="仿宋" w:eastAsia="仿宋"/>
                <w:sz w:val="22"/>
                <w:shd w:fill="FFFFFF" w:val="clear"/>
              </w:rPr>
              <w:t>（</w:t>
            </w:r>
            <w:r>
              <w:rPr>
                <w:rFonts w:ascii="仿宋" w:hAnsi="仿宋" w:cs="仿宋" w:eastAsia="仿宋"/>
                <w:sz w:val="22"/>
                <w:shd w:fill="FFFFFF" w:val="clear"/>
              </w:rPr>
              <w:t>4</w:t>
            </w:r>
            <w:r>
              <w:rPr>
                <w:rFonts w:ascii="仿宋" w:hAnsi="仿宋" w:cs="仿宋" w:eastAsia="仿宋"/>
                <w:sz w:val="22"/>
                <w:shd w:fill="FFFFFF" w:val="clear"/>
              </w:rPr>
              <w:t>2</w:t>
            </w:r>
            <w:r>
              <w:rPr>
                <w:rFonts w:ascii="仿宋" w:hAnsi="仿宋" w:cs="仿宋" w:eastAsia="仿宋"/>
                <w:sz w:val="22"/>
                <w:shd w:fill="FFFFFF" w:val="clear"/>
              </w:rPr>
              <w:t>）机器人底盘具备</w:t>
            </w:r>
            <w:r>
              <w:rPr>
                <w:rFonts w:ascii="仿宋" w:hAnsi="仿宋" w:cs="仿宋" w:eastAsia="仿宋"/>
                <w:sz w:val="22"/>
                <w:shd w:fill="FFFFFF" w:val="clear"/>
              </w:rPr>
              <w:t>3D地图构建的能力，重复定位精度：±5cm；支持路径点导航、路径导航；支持自主停障、自主避障及支持盲区避障；支持WEB端数据可视化（支持自定义数据看板）、地图管理、地图编辑、任务管理、任务执行；绕障、停障两种方式可选；可调用 API 实现建图、定位、导航、绕障和状态读取功能，便于二次开发。</w:t>
            </w:r>
          </w:p>
          <w:p>
            <w:pPr>
              <w:pStyle w:val="null3"/>
              <w:jc w:val="both"/>
            </w:pPr>
            <w:r>
              <w:rPr>
                <w:rFonts w:ascii="仿宋" w:hAnsi="仿宋" w:cs="仿宋" w:eastAsia="仿宋"/>
                <w:sz w:val="22"/>
              </w:rPr>
              <w:t>（</w:t>
            </w:r>
            <w:r>
              <w:rPr>
                <w:rFonts w:ascii="仿宋" w:hAnsi="仿宋" w:cs="仿宋" w:eastAsia="仿宋"/>
                <w:sz w:val="22"/>
              </w:rPr>
              <w:t>4</w:t>
            </w:r>
            <w:r>
              <w:rPr>
                <w:rFonts w:ascii="仿宋" w:hAnsi="仿宋" w:cs="仿宋" w:eastAsia="仿宋"/>
                <w:sz w:val="22"/>
              </w:rPr>
              <w:t>3</w:t>
            </w:r>
            <w:r>
              <w:rPr>
                <w:rFonts w:ascii="仿宋" w:hAnsi="仿宋" w:cs="仿宋" w:eastAsia="仿宋"/>
                <w:sz w:val="22"/>
              </w:rPr>
              <w:t>）提供备用机使用承诺：在用户设备返修或无法开机正常使用期间，接到用户求助</w:t>
            </w:r>
            <w:r>
              <w:rPr>
                <w:rFonts w:ascii="仿宋" w:hAnsi="仿宋" w:cs="仿宋" w:eastAsia="仿宋"/>
                <w:sz w:val="22"/>
              </w:rPr>
              <w:t>3日内提供一台同型号设备供用户应急使用。</w:t>
            </w:r>
          </w:p>
          <w:p>
            <w:pPr>
              <w:pStyle w:val="null3"/>
              <w:jc w:val="both"/>
            </w:pPr>
            <w:r>
              <w:rPr/>
              <w:t xml:space="preserve"> </w:t>
            </w:r>
          </w:p>
          <w:p>
            <w:pPr>
              <w:pStyle w:val="null3"/>
              <w:jc w:val="both"/>
            </w:pPr>
            <w:r>
              <w:rPr/>
              <w:t xml:space="preserve"> </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 90 日内货到采购人指定地点； 安装调试时间：合同签订后90日内；</w:t>
      </w:r>
    </w:p>
    <w:p>
      <w:pPr>
        <w:pStyle w:val="null3"/>
        <w:outlineLvl w:val="3"/>
      </w:pPr>
      <w:r>
        <w:rPr>
          <w:sz w:val="24"/>
          <w:b/>
        </w:rPr>
        <w:t>3.4.2交货地点</w:t>
      </w:r>
    </w:p>
    <w:p>
      <w:pPr>
        <w:pStyle w:val="null3"/>
      </w:pPr>
      <w:r>
        <w:rPr/>
        <w:t>采购包1：</w:t>
      </w:r>
    </w:p>
    <w:p>
      <w:pPr>
        <w:pStyle w:val="null3"/>
      </w:pPr>
      <w:r>
        <w:rPr/>
        <w:t>西安工业大学指定地点（西安工业大学未央校区）</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技术协议签订后15日内，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国产设备：货到西安工业大学指定地点经验收合格后</w:t>
      </w:r>
      <w:r>
        <w:rPr/>
        <w:t xml:space="preserve"> ，达到付款条件起 </w:t>
      </w:r>
      <w:r>
        <w:rPr/>
        <w:t>15</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交付检验：所供货物到货后，甲方和乙方指定人员共同参加开箱检验，乙方负责开箱，甲乙双方及时对货物名称、厂家、数量、品种、型号、规格、参数、功能需求等（乙方协助）进行核对、检验。若货物与合同约定不符，甲方有权拒绝接收，乙方应无条件退换货直至合格，并承担逾期交货的违约责任，赔偿甲方损失。 2、初验：货物通过试运行测试后进入试运行，试运行不少于30工作日。由乙方向甲方（用户）提供详细的试运行报告，报告中至少应详细记录各种实测、运行数据。项目试运行且通过乙方自测后提交甲方（用户）进行初验。验收内容按试运行报告，现场查看货物运行情况。初验合格后，甲方（用户）填写初验验收报告。 3、整体验收即终验：该项目初验合格后，甲方根据供应商提供的初验验收报告，组织甲方相关人员或甲方专家组成验收小组对设备进行最终验收。验收依据为本合同文本、招投标文件和国内相应的标准、规范。验收合格后，甲方填写终验验收单，作为付款依据。验收不合格的，限期整改，整改过程中产生的费用和货物发生的一切损失由乙方承担；整改超过二次的，甲方有权单方解除本合同，乙方应无条件退还已收取的全部合同价款，并按合同总价20%向甲方支付违约金，违约金不足弥补甲方损失的，由乙方负责赔偿，货款尾款甲方有权不予支付。</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(1) 投标货物生产商必须在境内设有售后服务中心； (2) 投标方必须提供原厂明确的售后承诺和售后服务方案； (3) 质保期：仪器设备质保期5年，质保期自买方验收签字之日起计算；质保期内的零部件、配件和人工等均为免费；质保期内，责任工程师不少于2次回访，免费提供不小于1次维修保养服务，免费提供维修所用的全部零部件； (4) 设备质保期满前1个月，卖方免费提供一次全面的检查、维护，并写出正式报告，如发现潜在问题，应负责排除； (5) 维保服务：质保期结束以后，责任工程师每年定期回访客户不少于2次，及时为设备进行检查和问诊； (6) 以上所有售后服务承诺均需由原厂提供，原厂盖章（未提供原厂盖章的售后服务承诺者，评分办法中“售后方案及承诺”项不得分）。</w:t>
      </w:r>
    </w:p>
    <w:p>
      <w:pPr>
        <w:pStyle w:val="null3"/>
        <w:outlineLvl w:val="3"/>
      </w:pPr>
      <w:r>
        <w:rPr>
          <w:sz w:val="24"/>
          <w:b/>
        </w:rPr>
        <w:t>3.4.8违约责任与解决争议的方法</w:t>
      </w:r>
    </w:p>
    <w:p>
      <w:pPr>
        <w:pStyle w:val="null3"/>
      </w:pPr>
      <w:r>
        <w:rPr/>
        <w:t>采购包1：</w:t>
      </w:r>
    </w:p>
    <w:p>
      <w:pPr>
        <w:pStyle w:val="null3"/>
      </w:pPr>
      <w:r>
        <w:rPr/>
        <w:t>按照招标文件以及合同要求</w:t>
      </w:r>
    </w:p>
    <w:p>
      <w:pPr>
        <w:pStyle w:val="null3"/>
        <w:jc w:val="left"/>
        <w:outlineLvl w:val="2"/>
      </w:pPr>
      <w:r>
        <w:rPr>
          <w:sz w:val="28"/>
          <w:b/>
        </w:rPr>
        <w:t>3.5其他要求</w:t>
      </w:r>
    </w:p>
    <w:p>
      <w:pPr>
        <w:pStyle w:val="null3"/>
      </w:pPr>
      <w:r>
        <w:rPr/>
        <w:t>1、标的清单具体内容根据法律规定公布主要标的的名称、规格型号、数量、单价。 本项目主要标的：同核心产品 2、为顺利推进政府采购电子化交易平台应用工作，投标人需要在线提交所有通 过电子化交易平台实施的政府采购项目的投标文件，同时，线下提交投标文件正本壹份、副本贰份、电子版壹份（U盘一份标 明投标人名称，随正本密封）。若电子投标文件与纸质投标文件不一致的，以电子投标文件为准；若正本和副本不符，以正本为准。线下递交文件时间：详见本项目招标公告文件截止时间；线下递交文件地点：西安市莲湖区环城西路南段元晟合中心6层 。 3、投标保证金注意事项：（1）投标保证金须从投标人户名支付，如从个人户名或非投标人户名支付，将被拒绝，视为自动放弃投标权利（该个人是供应商的情形除外）；投标保证金缴纳时间：开标时间之前；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供应商违约，开具保函单位承担连带责任；（2）投标保证金的提交金额、时间不满足招标文件要求的，投标无效；（3）投标保证金以采购代理机构到账凭证为准，投标人无需更换交纳凭证，由采购代理机构统一提供； （4）未按指定账户提交的，我公司将退回，投标人须在文件递交截止时间前按照指定账户再次提交。 4、中标人无正当理由 拒签合同的，或在接到中标通知书规定的时间内，借故拖延、拒签合同者，采购人取消其中标资格，其投标保证金不予退还； 给采购人造成的损失超过投标保证金数额的，中标人还应对超过部分予以赔偿。同时报请政府采购监督机构通报全省，取消其进入政府采购市场的资格，并按规定予以处罚。 5、其他要求： （1）本项目允许采购进口产品。 如果因信息不对称等原因，仍有满足需求的国内产品要求参与采购竞争的，采购人及其委托的采购代理机构不对其加以限制，按照公平竞争原则实施采购。 （2）“进口产品”是指通过中国海关报关验放进入中国境内且产自关境外的产品。 供应商应当按磋商文件规定的供货及服务要求、责任范围和合同条件，以人民币进行报价。 报价包含全套货物抵达用户现场，安装验收直至投入使用期间，所需费用。报价包含但不限于人工费、辅材费、税费、安装调试费、培训费等（上述费用包含在总报价中但不得在分项价格表中单独列出）全部内容。 因采购人具有科教免税资格，进口设备可以报免税报价，报价需含外贸代理服务费（本类设备能否免税，供应商需在海关免税目录中自行查询确认）。不在教科文减免范围的设备应按含税开展报价。免税报价包含外贸代理服务费。（供应商所供设备如均为国产设备，需在中标后开具受益人为西安工业大学的预付款保函，有效期不短于全部货物抵达采购人指定地点所约定时间，具体以合同签订为准。） （3）支付条件相关要求： 国产设备： 货到西安工业大学指定地点经验收合格后，采购人15日内支付成交金额的100%； 进口设备： 采购人通过委托的外贸公司向中标供应商指定的境外厂商开具100%不可撤销即期跟单信用证。货到采购人指定地点后，信用证90%的合同货款凭外贸合同约定单据及西安工业大学出具的开箱点货报告原件解付；剩余10%合同尾款凭西安工业大学出具的设备终验验收报告原件解付。 预付款保函（采购人若要求） 预付款保函期限：半年（根据到货期需要可以适当延长时限）。 预付款保函受益人：西安工业大学。 预付款保函形式：外贸代理公司/中标供应商出具银行成交等额预付款保函原件，采购人可支付成交预付款的100%，货到采购人指定地点后，采购人退还预付款保函原件。开具预付款保函所产生的相关费用均由中标供应商承担。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4）收到中标通知书后2日内，中标供应商应携带相关资料前往西安工业大学进行合同签订准备。因供应商原因导致的未顺利签订合同或无法付款造成损失，均由供应商承担。本项目投标有效期为120日历日，中标单位投标有效期自动延长至本项目履约结束后。 在合同履行过程中，如发生合同纠纷，合同双方应按照中华人民共和国法律解释，按照《中华人民共和国民法典》规定及合同条款约定进行处理。本项目已通过进口产品论证，投标文件中接受外文资料，但主要部分仍应尽量对应翻译成中文并附在相关外文资料后面。因无对应翻译或不一致产生的问题，按不利于供应商的原则进行处理。本项目不强制要求文件第2.4.4知识产权第二条要求。</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①具有独立承担民事责任能力的法人、其他组织或自然人，提供合法有效的统一社会信用代码营业执照（事业单位法人证书/专业服务机构执业许可证/民办非企业单位登记证书，自然人提供身份证） ②税收缴纳证明：法人提供自2023年11月1日以来任意一个月的纳税证明或完税证明，纳税证明或完税证明上应有代收机构或税务机关的公章或业务专用章；其他组织和自然人提供自2023年11月1日以来任意一个月缴纳税收的凭据；依法免税的投标人应提供相关文件证明 ③社会保障资金缴纳证明：提供自2023年11月1日以来任意一个月已缴纳的社会保障资金的证明（社会保障资金缴存单据或社保机构开具的社会保险参保缴费情况证明等）；依法不需要缴纳社会保障资金的投标人应提供相关文件证明 ④提供具有履行本合同所必需的设备和专业技术能力的声明 ⑤参加本次政府采购活动前3年内在经营活动中没有重大违纪，以及未被列入失信被执行人、重大税收违法案件当事人名单、政府采购严重违法失信行为记录名单的书面声明 以上②-③项，提供“陕西省政府采购供应商信用承诺书”的，可不再提供其他证明文件</w:t>
            </w:r>
          </w:p>
        </w:tc>
        <w:tc>
          <w:tcPr>
            <w:tcW w:type="dxa" w:w="1661"/>
          </w:tcPr>
          <w:p>
            <w:pPr>
              <w:pStyle w:val="null3"/>
            </w:pPr>
            <w:r>
              <w:rPr/>
              <w:t>投标函 2.资格证明文件</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财务状况报告：法人提供会计师事务所出具的有效的2023年度审计报告（成立时间至提交投标文件截止时间不足一年的可提供成立后任意时段的资产负债表），或提交自2024年5月1日以来银行出具的资信证明，或信用担保机构出具的投标担保函（以上三种形式的资料提供任何一种即可）；其他组织和自然人提供银行出具的资信证明或财务报表；提供“陕西省政府采购供应商信用承诺书”的，可不再提供其他证明文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2.资格证明文件</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本项目的特定资格要求</w:t>
            </w:r>
          </w:p>
        </w:tc>
        <w:tc>
          <w:tcPr>
            <w:tcW w:type="dxa" w:w="3322"/>
          </w:tcPr>
          <w:p>
            <w:pPr>
              <w:pStyle w:val="null3"/>
            </w:pPr>
            <w:r>
              <w:rPr/>
              <w:t>所投产品为进口产品的，须提供所投产品厂家授权书或总代理商授权书（提供总代理商授权书的须出具有效授权权限的相关证明文件，证明文件须能显示产品制造厂家对所投产品授权链条的完整性），国产产品不需要提供。</w:t>
            </w:r>
          </w:p>
        </w:tc>
        <w:tc>
          <w:tcPr>
            <w:tcW w:type="dxa" w:w="1661"/>
          </w:tcPr>
          <w:p>
            <w:pPr>
              <w:pStyle w:val="null3"/>
            </w:pPr>
            <w:r>
              <w:rPr/>
              <w:t>2.资格证明文件</w:t>
            </w:r>
          </w:p>
        </w:tc>
      </w:tr>
      <w:tr>
        <w:tc>
          <w:tcPr>
            <w:tcW w:type="dxa" w:w="831"/>
          </w:tcPr>
          <w:p>
            <w:pPr>
              <w:pStyle w:val="null3"/>
            </w:pPr>
            <w:r>
              <w:rPr/>
              <w:t>2</w:t>
            </w:r>
          </w:p>
        </w:tc>
        <w:tc>
          <w:tcPr>
            <w:tcW w:type="dxa" w:w="2492"/>
          </w:tcPr>
          <w:p>
            <w:pPr>
              <w:pStyle w:val="null3"/>
            </w:pPr>
            <w:r>
              <w:rPr/>
              <w:t>法定代表人授权委托书</w:t>
            </w:r>
          </w:p>
        </w:tc>
        <w:tc>
          <w:tcPr>
            <w:tcW w:type="dxa" w:w="3322"/>
          </w:tcPr>
          <w:p>
            <w:pPr>
              <w:pStyle w:val="null3"/>
            </w:pPr>
            <w:r>
              <w:rPr/>
              <w:t>法定代表人参加投标的，须出示身份证；法定代表人授权本单位他人参加投标的，须提供法定代表人授权委托书及被授权人身份证复印件。</w:t>
            </w:r>
          </w:p>
        </w:tc>
        <w:tc>
          <w:tcPr>
            <w:tcW w:type="dxa" w:w="1661"/>
          </w:tcPr>
          <w:p>
            <w:pPr>
              <w:pStyle w:val="null3"/>
            </w:pPr>
            <w:r>
              <w:rPr/>
              <w:t>2.资格证明文件</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本项目不接受联合体投标，不允许分包。投标人应提供《非联合体不分包投标声明》；</w:t>
            </w:r>
          </w:p>
        </w:tc>
        <w:tc>
          <w:tcPr>
            <w:tcW w:type="dxa" w:w="1661"/>
          </w:tcPr>
          <w:p>
            <w:pPr>
              <w:pStyle w:val="null3"/>
            </w:pPr>
            <w:r>
              <w:rPr/>
              <w:t>2.资格证明文件</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1分项价格表 开标一览表 投标函 标的清单 投标文件封面 4承诺书 3商务部分偏离表</w:t>
            </w:r>
          </w:p>
        </w:tc>
      </w:tr>
      <w:tr>
        <w:tc>
          <w:tcPr>
            <w:tcW w:type="dxa" w:w="831"/>
          </w:tcPr>
          <w:p>
            <w:pPr>
              <w:pStyle w:val="null3"/>
            </w:pPr>
            <w:r>
              <w:rPr/>
              <w:t>2</w:t>
            </w:r>
          </w:p>
        </w:tc>
        <w:tc>
          <w:tcPr>
            <w:tcW w:type="dxa" w:w="2492"/>
          </w:tcPr>
          <w:p>
            <w:pPr>
              <w:pStyle w:val="null3"/>
            </w:pPr>
            <w:r>
              <w:rPr/>
              <w:t>投标文件的初步符合性审查</w:t>
            </w:r>
          </w:p>
        </w:tc>
        <w:tc>
          <w:tcPr>
            <w:tcW w:type="dxa" w:w="3322"/>
          </w:tcPr>
          <w:p>
            <w:pPr>
              <w:pStyle w:val="null3"/>
            </w:pPr>
            <w:r>
              <w:rPr/>
              <w:t>有下列情形之一的，应在符合性审查时按照无效投标处理： (1)投标文件未按照招标文件规定要求签署、盖章的； (2)不满足本招标文件中“交货时间、交货地点、采购资金的支付方式及约定、质量保修范围和保修期”的实质性条款要 求的； (3)投标有效期不足的或无有效期的（有效期前后不一致等情形可以由评标委员会发起澄清）； (4)报价超过招标文件中规定的预算金额或最高限价的；(5)法律、法规和招标文件规定的其他无效情形。</w:t>
            </w:r>
          </w:p>
        </w:tc>
        <w:tc>
          <w:tcPr>
            <w:tcW w:type="dxa" w:w="1661"/>
          </w:tcPr>
          <w:p>
            <w:pPr>
              <w:pStyle w:val="null3"/>
            </w:pPr>
            <w:r>
              <w:rPr/>
              <w:t>1分项价格表 投标函 标的清单 投标文件封面 4承诺书 3商务部分偏离表</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w:t>
            </w:r>
          </w:p>
        </w:tc>
        <w:tc>
          <w:tcPr>
            <w:tcW w:type="dxa" w:w="2492"/>
          </w:tcPr>
          <w:p>
            <w:pPr>
              <w:pStyle w:val="null3"/>
            </w:pPr>
            <w:r>
              <w:rPr/>
              <w:t>基本分30分：完全符合、响应招标文件要求，且配置内容全面、完整，没有负偏离计30分；“▲”号参数为重要技术指标，负偏离一项扣2分，非“▲”号参数每负偏离一项扣0.2分。“▲”号指标必须提供佐证材料（包括但不限于检测报告或产品彩页或带网址链接的官网截图或盖厂家公章的技术参数说明或盖厂家公章功能截图等技术支持性文件），否则视为负偏离。</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6技术参数</w:t>
            </w:r>
          </w:p>
          <w:p>
            <w:pPr>
              <w:pStyle w:val="null3"/>
            </w:pPr>
            <w:r>
              <w:rPr/>
              <w:t>5技术响应与偏离表</w:t>
            </w:r>
          </w:p>
        </w:tc>
      </w:tr>
      <w:tr>
        <w:tc>
          <w:tcPr>
            <w:tcW w:type="dxa" w:w="831"/>
            <w:vMerge/>
          </w:tcPr>
          <w:p/>
        </w:tc>
        <w:tc>
          <w:tcPr>
            <w:tcW w:type="dxa" w:w="1661"/>
          </w:tcPr>
          <w:p>
            <w:pPr>
              <w:pStyle w:val="null3"/>
            </w:pPr>
            <w:r>
              <w:rPr/>
              <w:t>需求理解</w:t>
            </w:r>
          </w:p>
        </w:tc>
        <w:tc>
          <w:tcPr>
            <w:tcW w:type="dxa" w:w="2492"/>
          </w:tcPr>
          <w:p>
            <w:pPr>
              <w:pStyle w:val="null3"/>
            </w:pPr>
            <w:r>
              <w:rPr/>
              <w:t>针对本项目采购人要求的服务内容有完整、明确的需求理解，解读全面，掌握相关项目情况，贴近项目，贴合需求满足招标文件要求，无瑕疵：6分；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7需求理解</w:t>
            </w:r>
          </w:p>
        </w:tc>
      </w:tr>
      <w:tr>
        <w:tc>
          <w:tcPr>
            <w:tcW w:type="dxa" w:w="831"/>
            <w:vMerge/>
          </w:tcPr>
          <w:p/>
        </w:tc>
        <w:tc>
          <w:tcPr>
            <w:tcW w:type="dxa" w:w="1661"/>
          </w:tcPr>
          <w:p>
            <w:pPr>
              <w:pStyle w:val="null3"/>
            </w:pPr>
            <w:r>
              <w:rPr/>
              <w:t>整体实施方案</w:t>
            </w:r>
          </w:p>
        </w:tc>
        <w:tc>
          <w:tcPr>
            <w:tcW w:type="dxa" w:w="2492"/>
          </w:tcPr>
          <w:p>
            <w:pPr>
              <w:pStyle w:val="null3"/>
            </w:pPr>
            <w:r>
              <w:rPr/>
              <w:t>针对本项目提供完整、具体可行的 整体实施方案。 满足招标文件要求，无瑕疵：8分； 内容存在1处瑕疵：6分； 内容存在2处瑕疵：4分； 内容存在3处瑕疵：2分； 未提供方案或不满足招标文件要求或内容存在4处及以上瑕疵：0分；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8.0000</w:t>
            </w:r>
          </w:p>
        </w:tc>
        <w:tc>
          <w:tcPr>
            <w:tcW w:type="dxa" w:w="831"/>
          </w:tcPr>
          <w:p>
            <w:pPr>
              <w:pStyle w:val="null3"/>
            </w:pPr>
            <w:r>
              <w:rPr/>
              <w:t>主观</w:t>
            </w:r>
          </w:p>
        </w:tc>
        <w:tc>
          <w:tcPr>
            <w:tcW w:type="dxa" w:w="1661"/>
          </w:tcPr>
          <w:p>
            <w:pPr>
              <w:pStyle w:val="null3"/>
            </w:pPr>
            <w:r>
              <w:rPr/>
              <w:t>8整体实施方案</w:t>
            </w:r>
          </w:p>
        </w:tc>
      </w:tr>
      <w:tr>
        <w:tc>
          <w:tcPr>
            <w:tcW w:type="dxa" w:w="831"/>
            <w:vMerge/>
          </w:tcPr>
          <w:p/>
        </w:tc>
        <w:tc>
          <w:tcPr>
            <w:tcW w:type="dxa" w:w="1661"/>
          </w:tcPr>
          <w:p>
            <w:pPr>
              <w:pStyle w:val="null3"/>
            </w:pPr>
            <w:r>
              <w:rPr/>
              <w:t>质量保障措施</w:t>
            </w:r>
          </w:p>
        </w:tc>
        <w:tc>
          <w:tcPr>
            <w:tcW w:type="dxa" w:w="2492"/>
          </w:tcPr>
          <w:p>
            <w:pPr>
              <w:pStyle w:val="null3"/>
            </w:pPr>
            <w:r>
              <w:rPr/>
              <w:t>供应商针对本项目提供完整、具体可行的质量保障措施。 满足招标文件要求，无瑕疵：6分； 内容存在1处瑕疵：4分； 内容存在2处瑕疵：2分； 未提供方案或不满足招标文件要求或内容存在3处及以上瑕疵：0分； 备注：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9质量保障措施</w:t>
            </w:r>
          </w:p>
        </w:tc>
      </w:tr>
      <w:tr>
        <w:tc>
          <w:tcPr>
            <w:tcW w:type="dxa" w:w="831"/>
            <w:vMerge/>
          </w:tcPr>
          <w:p/>
        </w:tc>
        <w:tc>
          <w:tcPr>
            <w:tcW w:type="dxa" w:w="1661"/>
          </w:tcPr>
          <w:p>
            <w:pPr>
              <w:pStyle w:val="null3"/>
            </w:pPr>
            <w:r>
              <w:rPr/>
              <w:t>供货组织方案</w:t>
            </w:r>
          </w:p>
        </w:tc>
        <w:tc>
          <w:tcPr>
            <w:tcW w:type="dxa" w:w="2492"/>
          </w:tcPr>
          <w:p>
            <w:pPr>
              <w:pStyle w:val="null3"/>
            </w:pPr>
            <w:r>
              <w:rPr/>
              <w:t>投标人针对本项目有具体的供货组织方案，方案应至少包括但不限于详细的人员、财力调配、运输、派送措施及设备验收方案，以及确保按时发货、运货、安装的时效保障措施等，就其方案是否合理科学，措施得当，是否针对本项目供货组织方案实施提出重点、难点及其解决方案等进行综合评审赋分。 满足招标文件要求，无瑕疵：6分； 方案内容存在1处瑕疵4分； 方案内容存在2处瑕疵2分；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10供货组织方案</w:t>
            </w:r>
          </w:p>
        </w:tc>
      </w:tr>
      <w:tr>
        <w:tc>
          <w:tcPr>
            <w:tcW w:type="dxa" w:w="831"/>
            <w:vMerge/>
          </w:tcPr>
          <w:p/>
        </w:tc>
        <w:tc>
          <w:tcPr>
            <w:tcW w:type="dxa" w:w="1661"/>
          </w:tcPr>
          <w:p>
            <w:pPr>
              <w:pStyle w:val="null3"/>
            </w:pPr>
            <w:r>
              <w:rPr/>
              <w:t>业绩</w:t>
            </w:r>
          </w:p>
        </w:tc>
        <w:tc>
          <w:tcPr>
            <w:tcW w:type="dxa" w:w="2492"/>
          </w:tcPr>
          <w:p>
            <w:pPr>
              <w:pStyle w:val="null3"/>
            </w:pPr>
            <w:r>
              <w:rPr/>
              <w:t>提供投标人2021年1月1日至今同类项目合同(以合同签订日期为准)，每提供1个得1分，最高得4分。 备注：投标文件中提供合同复印件加盖公章。</w:t>
            </w:r>
          </w:p>
        </w:tc>
        <w:tc>
          <w:tcPr>
            <w:tcW w:type="dxa" w:w="831"/>
          </w:tcPr>
          <w:p>
            <w:pPr>
              <w:pStyle w:val="null3"/>
              <w:jc w:val="right"/>
            </w:pPr>
            <w:r>
              <w:rPr/>
              <w:t>4.0000</w:t>
            </w:r>
          </w:p>
        </w:tc>
        <w:tc>
          <w:tcPr>
            <w:tcW w:type="dxa" w:w="831"/>
          </w:tcPr>
          <w:p>
            <w:pPr>
              <w:pStyle w:val="null3"/>
            </w:pPr>
            <w:r>
              <w:rPr/>
              <w:t>客观</w:t>
            </w:r>
          </w:p>
        </w:tc>
        <w:tc>
          <w:tcPr>
            <w:tcW w:type="dxa" w:w="1661"/>
          </w:tcPr>
          <w:p>
            <w:pPr>
              <w:pStyle w:val="null3"/>
            </w:pPr>
            <w:r>
              <w:rPr/>
              <w:t>11业绩</w:t>
            </w:r>
          </w:p>
        </w:tc>
      </w:tr>
      <w:tr>
        <w:tc>
          <w:tcPr>
            <w:tcW w:type="dxa" w:w="831"/>
            <w:vMerge/>
          </w:tcPr>
          <w:p/>
        </w:tc>
        <w:tc>
          <w:tcPr>
            <w:tcW w:type="dxa" w:w="1661"/>
          </w:tcPr>
          <w:p>
            <w:pPr>
              <w:pStyle w:val="null3"/>
            </w:pPr>
            <w:r>
              <w:rPr/>
              <w:t>售后服务方案</w:t>
            </w:r>
          </w:p>
        </w:tc>
        <w:tc>
          <w:tcPr>
            <w:tcW w:type="dxa" w:w="2492"/>
          </w:tcPr>
          <w:p>
            <w:pPr>
              <w:pStyle w:val="null3"/>
            </w:pPr>
            <w:r>
              <w:rPr/>
              <w:t>投标人针对本项目有具体的售后服务方案，方案应至少包括但不限于售后服务计划，相应的物力、人力、场所保障（保障及时有效的完成售后服务），定期的维保维护计划，针对高校特点提供的针对性培训计划及方案，售后考核方案及承诺，安全应急预案等，就其方案是否合理科学，措施得当赋分。 满足招标文件要求，无瑕疵：5分； 方案内容存在1处瑕疵3分； 方案内容存在2处瑕疵1分； 未提供方案或内容存在3处及以上瑕疵：0分；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5.0000</w:t>
            </w:r>
          </w:p>
        </w:tc>
        <w:tc>
          <w:tcPr>
            <w:tcW w:type="dxa" w:w="831"/>
          </w:tcPr>
          <w:p>
            <w:pPr>
              <w:pStyle w:val="null3"/>
            </w:pPr>
            <w:r>
              <w:rPr/>
              <w:t>客观</w:t>
            </w:r>
          </w:p>
        </w:tc>
        <w:tc>
          <w:tcPr>
            <w:tcW w:type="dxa" w:w="1661"/>
          </w:tcPr>
          <w:p>
            <w:pPr>
              <w:pStyle w:val="null3"/>
            </w:pPr>
            <w:r>
              <w:rPr/>
              <w:t>12售后服务</w:t>
            </w:r>
          </w:p>
        </w:tc>
      </w:tr>
      <w:tr>
        <w:tc>
          <w:tcPr>
            <w:tcW w:type="dxa" w:w="831"/>
            <w:vMerge/>
          </w:tcPr>
          <w:p/>
        </w:tc>
        <w:tc>
          <w:tcPr>
            <w:tcW w:type="dxa" w:w="1661"/>
          </w:tcPr>
          <w:p>
            <w:pPr>
              <w:pStyle w:val="null3"/>
            </w:pPr>
            <w:r>
              <w:rPr/>
              <w:t>培训方案</w:t>
            </w:r>
          </w:p>
        </w:tc>
        <w:tc>
          <w:tcPr>
            <w:tcW w:type="dxa" w:w="2492"/>
          </w:tcPr>
          <w:p>
            <w:pPr>
              <w:pStyle w:val="null3"/>
            </w:pPr>
            <w:r>
              <w:rPr/>
              <w:t>投标人针对本项目有具体的培训方案，方案应至少包括但不限于培训服务计划，硬件保障、场所保障，针对高校特点提供的针对性培训计划及方案。就其方案是否合理科学，措施得当进行综合评审赋分。 满足招标文件要求，无瑕疵：4分； 方案内容存在1处瑕疵2分； 未提供方案或内容存在2处及以上瑕疵：0分； 本文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t>4.0000</w:t>
            </w:r>
          </w:p>
        </w:tc>
        <w:tc>
          <w:tcPr>
            <w:tcW w:type="dxa" w:w="831"/>
          </w:tcPr>
          <w:p>
            <w:pPr>
              <w:pStyle w:val="null3"/>
            </w:pPr>
            <w:r>
              <w:rPr/>
              <w:t>主观</w:t>
            </w:r>
          </w:p>
        </w:tc>
        <w:tc>
          <w:tcPr>
            <w:tcW w:type="dxa" w:w="1661"/>
          </w:tcPr>
          <w:p>
            <w:pPr>
              <w:pStyle w:val="null3"/>
            </w:pPr>
            <w:r>
              <w:rPr/>
              <w:t>13培训方案</w:t>
            </w:r>
          </w:p>
        </w:tc>
      </w:tr>
      <w:tr>
        <w:tc>
          <w:tcPr>
            <w:tcW w:type="dxa" w:w="831"/>
            <w:vMerge/>
          </w:tcPr>
          <w:p/>
        </w:tc>
        <w:tc>
          <w:tcPr>
            <w:tcW w:type="dxa" w:w="1661"/>
          </w:tcPr>
          <w:p>
            <w:pPr>
              <w:pStyle w:val="null3"/>
            </w:pPr>
            <w:r>
              <w:rPr/>
              <w:t>节能环保</w:t>
            </w:r>
          </w:p>
        </w:tc>
        <w:tc>
          <w:tcPr>
            <w:tcW w:type="dxa" w:w="2492"/>
          </w:tcPr>
          <w:p>
            <w:pPr>
              <w:pStyle w:val="null3"/>
            </w:pPr>
            <w:r>
              <w:rPr/>
              <w:t>投标人投标产品中每有一项为节能产品经国家认证的得0.5分，每有一项为环境标志产品经国家认证的得0.5分，最多得1分。（以经国家确定的认证机构出具的、处于有效期内的节能产品、环境标志产品认证证书为准。）</w:t>
            </w:r>
          </w:p>
        </w:tc>
        <w:tc>
          <w:tcPr>
            <w:tcW w:type="dxa" w:w="831"/>
          </w:tcPr>
          <w:p>
            <w:pPr>
              <w:pStyle w:val="null3"/>
              <w:jc w:val="right"/>
            </w:pPr>
            <w:r>
              <w:rPr/>
              <w:t>1.0000</w:t>
            </w:r>
          </w:p>
        </w:tc>
        <w:tc>
          <w:tcPr>
            <w:tcW w:type="dxa" w:w="831"/>
          </w:tcPr>
          <w:p>
            <w:pPr>
              <w:pStyle w:val="null3"/>
            </w:pPr>
            <w:r>
              <w:rPr/>
              <w:t>客观</w:t>
            </w:r>
          </w:p>
        </w:tc>
        <w:tc>
          <w:tcPr>
            <w:tcW w:type="dxa" w:w="1661"/>
          </w:tcPr>
          <w:p>
            <w:pPr>
              <w:pStyle w:val="null3"/>
            </w:pPr>
            <w:r>
              <w:rPr/>
              <w:t>14节能环保</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格分统一采用低价优先法计算， 即满足招标文件要求且投标价格最 低的投标报价为评标基准价，其价格分为满分。其他投标人的价格分统一按照下列公式计算：价格分= (评标基准价／投标报价)×报价分值 注：计算分数时四舍五入取小数点后两位</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详见附件：1分项价格表</w:t>
      </w:r>
    </w:p>
    <w:p>
      <w:pPr>
        <w:pStyle w:val="null3"/>
        <w:ind w:firstLine="960"/>
      </w:pPr>
      <w:r>
        <w:rPr/>
        <w:t>详见附件：2.资格证明文件</w:t>
      </w:r>
    </w:p>
    <w:p>
      <w:pPr>
        <w:pStyle w:val="null3"/>
        <w:ind w:firstLine="960"/>
      </w:pPr>
      <w:r>
        <w:rPr/>
        <w:t>详见附件：3商务部分偏离表</w:t>
      </w:r>
    </w:p>
    <w:p>
      <w:pPr>
        <w:pStyle w:val="null3"/>
        <w:ind w:firstLine="960"/>
      </w:pPr>
      <w:r>
        <w:rPr/>
        <w:t>详见附件：4承诺书</w:t>
      </w:r>
    </w:p>
    <w:p>
      <w:pPr>
        <w:pStyle w:val="null3"/>
        <w:ind w:firstLine="960"/>
      </w:pPr>
      <w:r>
        <w:rPr/>
        <w:t>详见附件：5技术响应与偏离表</w:t>
      </w:r>
    </w:p>
    <w:p>
      <w:pPr>
        <w:pStyle w:val="null3"/>
        <w:ind w:firstLine="960"/>
      </w:pPr>
      <w:r>
        <w:rPr/>
        <w:t>详见附件：6技术参数</w:t>
      </w:r>
    </w:p>
    <w:p>
      <w:pPr>
        <w:pStyle w:val="null3"/>
        <w:ind w:firstLine="960"/>
      </w:pPr>
      <w:r>
        <w:rPr/>
        <w:t>详见附件：7需求理解</w:t>
      </w:r>
    </w:p>
    <w:p>
      <w:pPr>
        <w:pStyle w:val="null3"/>
        <w:ind w:firstLine="960"/>
      </w:pPr>
      <w:r>
        <w:rPr/>
        <w:t>详见附件：8整体实施方案</w:t>
      </w:r>
    </w:p>
    <w:p>
      <w:pPr>
        <w:pStyle w:val="null3"/>
        <w:ind w:firstLine="960"/>
      </w:pPr>
      <w:r>
        <w:rPr/>
        <w:t>详见附件：9质量保障措施</w:t>
      </w:r>
    </w:p>
    <w:p>
      <w:pPr>
        <w:pStyle w:val="null3"/>
        <w:ind w:firstLine="960"/>
      </w:pPr>
      <w:r>
        <w:rPr/>
        <w:t>详见附件：10供货组织方案</w:t>
      </w:r>
    </w:p>
    <w:p>
      <w:pPr>
        <w:pStyle w:val="null3"/>
        <w:ind w:firstLine="960"/>
      </w:pPr>
      <w:r>
        <w:rPr/>
        <w:t>详见附件：11业绩</w:t>
      </w:r>
    </w:p>
    <w:p>
      <w:pPr>
        <w:pStyle w:val="null3"/>
        <w:ind w:firstLine="960"/>
      </w:pPr>
      <w:r>
        <w:rPr/>
        <w:t>详见附件：12售后服务</w:t>
      </w:r>
    </w:p>
    <w:p>
      <w:pPr>
        <w:pStyle w:val="null3"/>
        <w:ind w:firstLine="960"/>
      </w:pPr>
      <w:r>
        <w:rPr/>
        <w:t>详见附件：13培训方案</w:t>
      </w:r>
    </w:p>
    <w:p>
      <w:pPr>
        <w:pStyle w:val="null3"/>
        <w:ind w:firstLine="960"/>
      </w:pPr>
      <w:r>
        <w:rPr/>
        <w:t>详见附件：14节能环保</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