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B48CF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采购需求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8185"/>
      </w:tblGrid>
      <w:tr w14:paraId="031732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3016F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81626F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薄膜沉积能力：</w:t>
            </w:r>
          </w:p>
          <w:p w14:paraId="0433317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具有IGZO、IZO、In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、InON、NiO等n、p型半导体薄膜以及HfO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、Al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、ZrO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等高k绝缘介质薄膜的制备能力；</w:t>
            </w:r>
          </w:p>
        </w:tc>
      </w:tr>
      <w:tr w14:paraId="6DA69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B3399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0DC33B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薄膜性能参数指标：</w:t>
            </w:r>
          </w:p>
          <w:p w14:paraId="0F1F7D3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（1）验收测试数据：</w:t>
            </w:r>
          </w:p>
          <w:p w14:paraId="407F7E9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▲①4英寸硅片上沉积10-50nmAl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薄膜的非均匀性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≤1%@4inch（热生长/等离子生长至少有一种生长方式满足指标）；</w:t>
            </w:r>
          </w:p>
          <w:p w14:paraId="232C6C8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▲②4英寸硅片上沉积10纳米ZnO薄膜的非均匀性≤1.5%@4inch（热生长/等离子生长至少有一种生长方式满足指标）；</w:t>
            </w:r>
          </w:p>
          <w:p w14:paraId="5DCD9C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▲③4英寸热氧化硅片上沉积InON、In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、Ga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薄膜，验证机台对上述三种薄膜的制备能力；</w:t>
            </w:r>
          </w:p>
          <w:p w14:paraId="1163405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④重复性：同一条件下、至少循环制备三个样品，样品间厚度偏差≤2%。⑤设备包含验收测试所需的源（前驱体、载气等）;</w:t>
            </w:r>
          </w:p>
          <w:p w14:paraId="4776CE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（2）文献佐证数据（以下数据为器件级数据，现场验收较难直观性体现，如有实验室数据，请提供实验室数据，如无实验室数据，请提供使用本机台发表的文献数据）：</w:t>
            </w:r>
          </w:p>
          <w:p w14:paraId="0907A1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▲①Al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薄膜漏电流密度≤10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-5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 A/cm @ 3M V/cm；</w:t>
            </w:r>
          </w:p>
          <w:p w14:paraId="41207D0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②IGZO或IZO或In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薄膜的非均匀性≤1.5%，等效迁移率≥50 cm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/Vs</w:t>
            </w:r>
          </w:p>
        </w:tc>
      </w:tr>
      <w:tr w14:paraId="649B95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9393C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21A2FD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真空反应腔：</w:t>
            </w:r>
          </w:p>
          <w:p w14:paraId="6375E5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（1）采用双腔结构设计，分为真空腔和反应腔，所有的工艺过程全部在反应腔内进行，反应腔易于喷砂清洗；</w:t>
            </w:r>
          </w:p>
          <w:p w14:paraId="35AC715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（2）反应腔最高加热温度≥500℃，配置温度传感器，高温段（150-500℃）精度±3℃，低温段（室温-150℃）精度±5℃；</w:t>
            </w:r>
          </w:p>
          <w:p w14:paraId="74D0F2A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（3）真空腔外壁温度≤50℃；</w:t>
            </w:r>
          </w:p>
          <w:p w14:paraId="1186490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（4）预真空室本底真空≤ 1E-1 mbar；</w:t>
            </w:r>
          </w:p>
          <w:p w14:paraId="62AE2B2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（5）反应腔的本底真空≤ 1E-4 mbar；真空漏率≤ 1E-5 mbar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L/s；</w:t>
            </w:r>
          </w:p>
          <w:p w14:paraId="72BD66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（6）配置不少于6路独立的前驱体源入口，预留升级改造入口。</w:t>
            </w:r>
          </w:p>
        </w:tc>
      </w:tr>
      <w:tr w14:paraId="68CD7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4075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EA1D6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真空系统：</w:t>
            </w:r>
          </w:p>
          <w:p w14:paraId="4CE9975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（1）预真空室配置单独的干泵、配备真空计、过压保护阀、惰性气体管路等；</w:t>
            </w:r>
          </w:p>
          <w:p w14:paraId="6E6C79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（2）真空系统配置防腐蚀设计干泵，防腐蚀设计涡轮分子泵作为可扩展项（后期可改造升级即可）；</w:t>
            </w:r>
          </w:p>
          <w:p w14:paraId="543A410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（3）配备干泵吹扫惰性气体生成系统。</w:t>
            </w:r>
          </w:p>
        </w:tc>
      </w:tr>
      <w:tr w14:paraId="32293D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0FE93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61965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前驱体源系统：</w:t>
            </w:r>
          </w:p>
          <w:p w14:paraId="25C5F91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（1）配置≥6路独立的液体/固体前驱体源管路，每路前驱体源管路配置独立的阀门；</w:t>
            </w:r>
          </w:p>
          <w:p w14:paraId="66030D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（2）≥6路6路前驱体源管路应涵盖：1路臭氧管路（含臭氧发生器），≥2路加热前驱体管路系统，最高加热温度≥300℃；</w:t>
            </w:r>
          </w:p>
          <w:p w14:paraId="126F32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（3）可使用的前驱体源种类至少包括：H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O, TMA, TDMAHf，TEZ以及铟源、镓源、锌源、镍源等；</w:t>
            </w:r>
          </w:p>
          <w:p w14:paraId="387B17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（4）配置≥1路惰性气体的载气管路，≥配置≥2路独立的气体源（例如：O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、N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）管路，每路气体源管路需配有质量流量计、颗粒过滤器和气体截止阀；</w:t>
            </w:r>
          </w:p>
          <w:p w14:paraId="781F82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（5）对有毒/腐蚀气体管路（例如NH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）需配有旁路；</w:t>
            </w:r>
          </w:p>
          <w:p w14:paraId="0F532A4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（6）设备配备足量验收所生长薄膜所需的所有前驱体源。</w:t>
            </w:r>
          </w:p>
        </w:tc>
      </w:tr>
      <w:tr w14:paraId="412E44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BB92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6C0D4D5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等离子体辅助系统：</w:t>
            </w:r>
          </w:p>
          <w:p w14:paraId="7708AF2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1）采用电容耦合等离子体设计，支持远程等离子体方式和直接等离子方式；远程等离子体方式在电极和样品之间配置栅网，等离子体不直接照射于样品、防止对样品表面的损伤；直接等离子方式可以作为表面改性等离子源，直接对样品表面进行等离子改性；</w:t>
            </w:r>
          </w:p>
          <w:p w14:paraId="3F5C673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（2）等离子体源的射频功率≥ 300W，频率13.56 MHz；</w:t>
            </w:r>
          </w:p>
          <w:p w14:paraId="3D0437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（3）配有自动匹配盒，可通过固定匹配模式或自动匹配模式稳定地起辉；</w:t>
            </w:r>
          </w:p>
          <w:p w14:paraId="2B289BA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（4）与计算机控制系统集成，通过软件控制等离子体功率和放电。</w:t>
            </w:r>
          </w:p>
        </w:tc>
      </w:tr>
      <w:tr w14:paraId="1752C0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4F720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33EE874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尾气处理系统：</w:t>
            </w:r>
          </w:p>
          <w:p w14:paraId="54C2AD2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设备应配备燃烧、喷淋、等离子处理等其中一种尾气处理系统或者多种尾气处理系统的组合。</w:t>
            </w:r>
          </w:p>
        </w:tc>
      </w:tr>
      <w:tr w14:paraId="1F057C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5CD7D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14:paraId="1DBE092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安装调试：</w:t>
            </w:r>
          </w:p>
          <w:p w14:paraId="3523D5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配备设备安装调试必要附件。</w:t>
            </w:r>
          </w:p>
        </w:tc>
      </w:tr>
    </w:tbl>
    <w:p w14:paraId="6A48056D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E2DAD"/>
    <w:rsid w:val="0A4D4223"/>
    <w:rsid w:val="147E7E7E"/>
    <w:rsid w:val="2076735D"/>
    <w:rsid w:val="27921E11"/>
    <w:rsid w:val="2BD04AE6"/>
    <w:rsid w:val="2C574FA9"/>
    <w:rsid w:val="329B4240"/>
    <w:rsid w:val="377A101B"/>
    <w:rsid w:val="40B46715"/>
    <w:rsid w:val="55A1027C"/>
    <w:rsid w:val="5C1E2DAD"/>
    <w:rsid w:val="63E4785C"/>
    <w:rsid w:val="64C34F37"/>
    <w:rsid w:val="745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eastAsia="宋体" w:cs="宋体"/>
      <w:b/>
      <w:bCs/>
      <w:color w:val="000000" w:themeColor="text1"/>
      <w:kern w:val="36"/>
      <w:sz w:val="44"/>
      <w:szCs w:val="60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仿宋" w:cs="Times New Roman"/>
      <w:b/>
      <w:sz w:val="30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ascii="Times New Roman" w:hAnsi="Times New Roman" w:eastAsia="仿宋" w:cs="Times New Roman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afterLines="0" w:line="288" w:lineRule="auto"/>
      <w:outlineLvl w:val="3"/>
    </w:pPr>
    <w:rPr>
      <w:rFonts w:ascii="Arial" w:hAnsi="Arial" w:eastAsia="仿宋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3"/>
    <w:qFormat/>
    <w:locked/>
    <w:uiPriority w:val="0"/>
    <w:rPr>
      <w:rFonts w:ascii="Arial" w:hAnsi="Arial" w:eastAsia="仿宋" w:cs="Times New Roman"/>
      <w:b/>
      <w:sz w:val="30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仿宋" w:cs="Times New Roman"/>
      <w:b/>
      <w:sz w:val="28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1835</Words>
  <Characters>2188</Characters>
  <Lines>0</Lines>
  <Paragraphs>0</Paragraphs>
  <TotalTime>2</TotalTime>
  <ScaleCrop>false</ScaleCrop>
  <LinksUpToDate>false</LinksUpToDate>
  <CharactersWithSpaces>2229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2024-12-25T10:52:00Z</dcterms:created>
  <dc:creator>王琦</dc:creator>
  <cp:lastModifiedBy>王琦</cp:lastModifiedBy>
  <dcterms:modified xsi:type="dcterms:W3CDTF">2024-12-26T09:05:46Z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4D8C4252042648C196F9FA90EB2B1A64_11</vt:lpwstr>
  </property>
  <property fmtid="{D5CDD505-2E9C-101B-9397-08002B2CF9AE}" pid="4" name="KSOTemplateDocerSaveRecord">
    <vt:lpwstr>eyJoZGlkIjoiMjJjZWMyNDRhNWE4ODU3MjZkYjc2ZjcwZDAyYTY1ZTMiLCJ1c2VySWQiOiIzMzkyNTMxMTAifQ==</vt:lpwstr>
  </property>
</Properties>
</file>