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磁控溅射镀膜机采购项目</w:t>
      </w:r>
    </w:p>
    <w:p>
      <w:pPr>
        <w:pStyle w:val="null3"/>
        <w:jc w:val="center"/>
        <w:outlineLvl w:val="2"/>
      </w:pPr>
      <w:r>
        <w:rPr>
          <w:sz w:val="28"/>
          <w:b/>
        </w:rPr>
        <w:t>采购项目编号：</w:t>
      </w:r>
      <w:r>
        <w:rPr>
          <w:sz w:val="28"/>
          <w:b/>
        </w:rPr>
        <w:t>ZMZB2024GYDX-428</w:t>
      </w:r>
      <w:r>
        <w:br/>
      </w:r>
      <w:r>
        <w:br/>
      </w:r>
      <w:r>
        <w:br/>
      </w:r>
    </w:p>
    <w:p>
      <w:pPr>
        <w:pStyle w:val="null3"/>
        <w:jc w:val="center"/>
        <w:outlineLvl w:val="2"/>
      </w:pPr>
      <w:r>
        <w:rPr>
          <w:sz w:val="28"/>
          <w:b/>
        </w:rPr>
        <w:t>西安工业大学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2024年12月24日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西安工业大学</w:t>
      </w:r>
      <w:r>
        <w:rPr/>
        <w:t>委托，拟对</w:t>
      </w:r>
      <w:r>
        <w:rPr/>
        <w:t>磁控溅射镀膜机采购项目</w:t>
      </w:r>
      <w:r>
        <w:rPr/>
        <w:t>进行国内公开招标，兹邀请符合本次招标要求的供应商参加投标。</w:t>
      </w:r>
    </w:p>
    <w:p>
      <w:pPr>
        <w:pStyle w:val="null3"/>
        <w:outlineLvl w:val="2"/>
      </w:pPr>
      <w:r>
        <w:rPr>
          <w:sz w:val="28"/>
          <w:b/>
        </w:rPr>
        <w:t>一、采购项目编号：</w:t>
      </w:r>
      <w:r>
        <w:rPr>
          <w:sz w:val="28"/>
          <w:b/>
        </w:rPr>
        <w:t>ZMZB2024GYDX-428</w:t>
      </w:r>
    </w:p>
    <w:p>
      <w:pPr>
        <w:pStyle w:val="null3"/>
        <w:outlineLvl w:val="2"/>
      </w:pPr>
      <w:r>
        <w:rPr>
          <w:sz w:val="28"/>
          <w:b/>
        </w:rPr>
        <w:t>二、采购项目名称：</w:t>
      </w:r>
      <w:r>
        <w:rPr>
          <w:sz w:val="28"/>
          <w:b/>
        </w:rPr>
        <w:t>磁控溅射镀膜机采购项目</w:t>
      </w:r>
    </w:p>
    <w:p>
      <w:pPr>
        <w:pStyle w:val="null3"/>
        <w:outlineLvl w:val="2"/>
      </w:pPr>
      <w:r>
        <w:rPr>
          <w:sz w:val="28"/>
          <w:b/>
        </w:rPr>
        <w:t>三、招标项目简介</w:t>
      </w:r>
    </w:p>
    <w:p>
      <w:pPr>
        <w:pStyle w:val="null3"/>
        <w:ind w:firstLine="480"/>
      </w:pPr>
      <w:r>
        <w:rPr/>
        <w:t>本项目拟采购磁控溅射镀膜机1台，用以提升实验室在薄膜与等离子体技术方向的研究条件。设备主要用于制备光学元件表面所需要的各种金属和介质薄膜，采用磁控溅射沉积的工艺技术方法，实现在基底上沉积单层或多层光学减反射、高反射等薄膜的功能。</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8、本项目不接受联合体投标：非接受联合体投标声明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710000</w:t>
      </w:r>
    </w:p>
    <w:p>
      <w:pPr>
        <w:pStyle w:val="null3"/>
      </w:pPr>
      <w:r>
        <w:rPr/>
        <w:t xml:space="preserve"> 联系人： </w:t>
      </w:r>
      <w:r>
        <w:rPr/>
        <w:t>余老师 梁老师</w:t>
      </w:r>
    </w:p>
    <w:p>
      <w:pPr>
        <w:pStyle w:val="null3"/>
      </w:pPr>
      <w:r>
        <w:rPr/>
        <w:t xml:space="preserve"> 联系电话： </w:t>
      </w:r>
      <w:r>
        <w:rPr/>
        <w:t>029-86173142</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 30号合力紫郡B座21层</w:t>
      </w:r>
    </w:p>
    <w:p>
      <w:pPr>
        <w:pStyle w:val="null3"/>
      </w:pPr>
      <w:r>
        <w:rPr/>
        <w:t xml:space="preserve"> 邮编： </w:t>
      </w:r>
      <w:r>
        <w:rPr/>
        <w:t>710065</w:t>
      </w:r>
    </w:p>
    <w:p>
      <w:pPr>
        <w:pStyle w:val="null3"/>
      </w:pPr>
      <w:r>
        <w:rPr/>
        <w:t xml:space="preserve"> 联系人： </w:t>
      </w:r>
      <w:r>
        <w:rPr/>
        <w:t>董菊莉 黄乐 窦元隆</w:t>
      </w:r>
    </w:p>
    <w:p>
      <w:pPr>
        <w:pStyle w:val="null3"/>
      </w:pPr>
      <w:r>
        <w:rPr/>
        <w:t xml:space="preserve"> 联系电话： </w:t>
      </w:r>
      <w:r>
        <w:rPr/>
        <w:t xml:space="preserve"> 177 7896 6062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采购包1：810,000.00元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采购包1保证金金额：16,000.00元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的收取（含税），按照中标金额*0.6%计算，由中标/成交单位一次性支付给代理机构</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陕西卓佲项目管理有限公司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联系人：董菊莉</w:t>
      </w:r>
    </w:p>
    <w:p>
      <w:pPr>
        <w:pStyle w:val="null3"/>
      </w:pPr>
      <w:r>
        <w:rPr/>
        <w:t>联系电话：029-81875979</w:t>
      </w:r>
    </w:p>
    <w:p>
      <w:pPr>
        <w:pStyle w:val="null3"/>
      </w:pPr>
      <w:r>
        <w:rPr/>
        <w:t>地址：西安市雁塔区科技路 30号合力紫郡B座21层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磁控溅射镀膜机采购项目</w:t>
      </w:r>
    </w:p>
    <w:p>
      <w:pPr>
        <w:pStyle w:val="null3"/>
        <w:outlineLvl w:val="2"/>
      </w:pPr>
      <w:r>
        <w:rPr>
          <w:sz w:val="28"/>
          <w:b/>
        </w:rPr>
        <w:t>3.2采购内容</w:t>
      </w:r>
    </w:p>
    <w:p>
      <w:pPr>
        <w:pStyle w:val="null3"/>
      </w:pPr>
      <w:r>
        <w:rPr/>
        <w:t>采购包1：</w:t>
      </w:r>
    </w:p>
    <w:p>
      <w:pPr>
        <w:pStyle w:val="null3"/>
      </w:pPr>
      <w:r>
        <w:rPr/>
        <w:t>采购包预算金额（元）: 810,000.00</w:t>
      </w:r>
    </w:p>
    <w:p>
      <w:pPr>
        <w:pStyle w:val="null3"/>
      </w:pPr>
      <w:r>
        <w:rPr/>
        <w:t>采购包最高限价（元）: 810,000.00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磁控溅射镀膜机</w:t>
            </w:r>
          </w:p>
        </w:tc>
        <w:tc>
          <w:tcPr>
            <w:tcW w:type="dxa" w:w="831"/>
          </w:tcPr>
          <w:p>
            <w:pPr>
              <w:pStyle w:val="null3"/>
              <w:jc w:val="right"/>
            </w:pPr>
            <w:r>
              <w:rPr/>
              <w:t>1.00</w:t>
            </w:r>
          </w:p>
        </w:tc>
        <w:tc>
          <w:tcPr>
            <w:tcW w:type="dxa" w:w="831"/>
          </w:tcPr>
          <w:p>
            <w:pPr>
              <w:pStyle w:val="null3"/>
              <w:jc w:val="right"/>
            </w:pPr>
            <w:r>
              <w:rPr/>
              <w:t>810,000.00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标的名称：磁控溅射镀膜机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1、箱式结构，前开门，抽气室与溅射室整体连接。材料：不锈钢SUS304，有水冷系统。真空系统配置无油干泵。</w:t>
            </w:r>
            <w:r>
              <w:br/>
            </w:r>
            <w:r>
              <w:rPr/>
              <w:t xml:space="preserve"> 2、溅射室内腔尺寸：Φ550×500mm(H)~Φ600×550mm(H)。</w:t>
            </w:r>
            <w:r>
              <w:br/>
            </w:r>
            <w:r>
              <w:rPr/>
              <w:t xml:space="preserve"> 3、溅射室门中央配观察窗≥1个。</w:t>
            </w:r>
            <w:r>
              <w:br/>
            </w:r>
            <w:r>
              <w:rPr/>
              <w:t xml:space="preserve"> 4、溅射室底板预留φ40-60接口≥4个。</w:t>
            </w:r>
            <w:r>
              <w:br/>
            </w:r>
            <w:r>
              <w:rPr/>
              <w:t xml:space="preserve"> ▲5、极限真空度：≤8×10</w:t>
            </w:r>
            <w:r>
              <w:rPr>
                <w:vertAlign w:val="superscript"/>
              </w:rPr>
              <w:t xml:space="preserve">-5 </w:t>
            </w:r>
            <w:r>
              <w:rPr/>
              <w:t>Pa（溅射室空载）</w:t>
            </w:r>
            <w:r>
              <w:br/>
            </w:r>
            <w:r>
              <w:rPr/>
              <w:t xml:space="preserve"> ▲6、恢复真空度：3×10</w:t>
            </w:r>
            <w:r>
              <w:rPr>
                <w:vertAlign w:val="superscript"/>
              </w:rPr>
              <w:t>-3</w:t>
            </w:r>
            <w:r>
              <w:rPr/>
              <w:t>Pa≤15min</w:t>
            </w:r>
            <w:r>
              <w:br/>
            </w:r>
            <w:r>
              <w:rPr/>
              <w:t xml:space="preserve"> 7、真空系统漏率：≤9×10</w:t>
            </w:r>
            <w:r>
              <w:rPr>
                <w:vertAlign w:val="superscript"/>
              </w:rPr>
              <w:t>-5</w:t>
            </w:r>
            <w:r>
              <w:rPr/>
              <w:t xml:space="preserve"> Pa.m</w:t>
            </w:r>
            <w:r>
              <w:rPr>
                <w:vertAlign w:val="superscript"/>
              </w:rPr>
              <w:t>3</w:t>
            </w:r>
            <w:r>
              <w:rPr/>
              <w:t>/s；或者停泵12小时后，设备真空度≤10Pa。</w:t>
            </w:r>
            <w:r>
              <w:br/>
            </w:r>
            <w:r>
              <w:rPr/>
              <w:t xml:space="preserve"> 8、真空测量≥3路真空计，测量范围包含：大气~8×10</w:t>
            </w:r>
            <w:r>
              <w:rPr>
                <w:vertAlign w:val="superscript"/>
              </w:rPr>
              <w:t>-5</w:t>
            </w:r>
            <w:r>
              <w:rPr/>
              <w:t xml:space="preserve"> Pa。</w:t>
            </w:r>
            <w:r>
              <w:br/>
            </w:r>
            <w:r>
              <w:rPr/>
              <w:t xml:space="preserve"> 9、真空系统抽气速率可调节，从而使溅射真空度控制在5×10</w:t>
            </w:r>
            <w:r>
              <w:rPr>
                <w:vertAlign w:val="superscript"/>
              </w:rPr>
              <w:t>-2</w:t>
            </w:r>
            <w:r>
              <w:rPr/>
              <w:t xml:space="preserve"> Pa～10×10</w:t>
            </w:r>
            <w:r>
              <w:rPr>
                <w:vertAlign w:val="superscript"/>
              </w:rPr>
              <w:t>-1</w:t>
            </w:r>
            <w:r>
              <w:rPr/>
              <w:t xml:space="preserve"> Pa。</w:t>
            </w:r>
            <w:r>
              <w:br/>
            </w:r>
            <w:r>
              <w:rPr/>
              <w:t xml:space="preserve"> 10、旋转样品盘直径≥150mm，配水冷装置。</w:t>
            </w:r>
            <w:r>
              <w:br/>
            </w:r>
            <w:r>
              <w:rPr/>
              <w:t xml:space="preserve"> 11、样品烘烤25℃～500℃可控可调，控温精度±1°C。</w:t>
            </w:r>
            <w:r>
              <w:br/>
            </w:r>
            <w:r>
              <w:rPr/>
              <w:t xml:space="preserve"> ▲12、直径4英寸圆形水冷磁控阴极（其中直流溅射2套，射频溅射1套）。</w:t>
            </w:r>
            <w:r>
              <w:br/>
            </w:r>
            <w:r>
              <w:rPr/>
              <w:t xml:space="preserve"> 13、溅射靶材包括：铜（Cu）、铝（Al）、钛（Ti）和氧化硅（SiO</w:t>
            </w:r>
            <w:r>
              <w:rPr>
                <w:vertAlign w:val="subscript"/>
              </w:rPr>
              <w:t>2</w:t>
            </w:r>
            <w:r>
              <w:rPr/>
              <w:t>）靶材各2只。铪（Hf）靶材1只。</w:t>
            </w:r>
            <w:r>
              <w:br/>
            </w:r>
            <w:r>
              <w:rPr/>
              <w:t xml:space="preserve"> 14、直流溅射电源分别给阴极靶供电。</w:t>
            </w:r>
            <w:r>
              <w:br/>
            </w:r>
            <w:r>
              <w:rPr/>
              <w:t xml:space="preserve"> ▲15、单路射频溅射电源及自动匹配器，工作频率5～30MHz。</w:t>
            </w:r>
            <w:r>
              <w:br/>
            </w:r>
            <w:r>
              <w:rPr/>
              <w:t xml:space="preserve"> 16、真空腔内配清洗离子源，离子束口径Φ6～10cm；</w:t>
            </w:r>
            <w:r>
              <w:br/>
            </w:r>
            <w:r>
              <w:rPr/>
              <w:t xml:space="preserve"> 17、离子束流：40～60mA；离子能量：200eV～1000eV；</w:t>
            </w:r>
            <w:r>
              <w:br/>
            </w:r>
            <w:r>
              <w:rPr/>
              <w:t xml:space="preserve"> 18、离子源可连续不间断工作10小时以上。</w:t>
            </w:r>
            <w:r>
              <w:br/>
            </w:r>
            <w:r>
              <w:rPr/>
              <w:t xml:space="preserve"> 19、清洗离子源离子束出射方向可以调节，调节角度≥15°。</w:t>
            </w:r>
            <w:r>
              <w:br/>
            </w:r>
            <w:r>
              <w:rPr/>
              <w:t xml:space="preserve"> 20、溅射阴极和离子源配备挡板。</w:t>
            </w:r>
            <w:r>
              <w:br/>
            </w:r>
            <w:r>
              <w:rPr/>
              <w:t xml:space="preserve"> 21、数字式Ar气体质量流量计（含截止阀），分别用于溅射靶和1个离子源，流量计控制精度±1sccm。</w:t>
            </w:r>
            <w:r>
              <w:br/>
            </w:r>
            <w:r>
              <w:rPr/>
              <w:t xml:space="preserve"> 22、（氮气、氧气、甲烷）质量流量计（含截止阀），流量计控制精度±1sccm。</w:t>
            </w:r>
            <w:r>
              <w:br/>
            </w:r>
            <w:r>
              <w:rPr/>
              <w:t xml:space="preserve"> 23、石英晶体膜厚仪（含石英晶振探头）。</w:t>
            </w:r>
            <w:r>
              <w:br/>
            </w:r>
            <w:r>
              <w:rPr/>
              <w:t xml:space="preserve"> ▲24、膜厚误差≤0.5%。</w:t>
            </w:r>
            <w:r>
              <w:br/>
            </w:r>
            <w:r>
              <w:rPr/>
              <w:t xml:space="preserve"> ▲25、膜厚显示分辨率≤0.01nm。</w:t>
            </w:r>
            <w:r>
              <w:br/>
            </w:r>
            <w:r>
              <w:rPr/>
              <w:t xml:space="preserve"> 26、频率分辨率≤0.01Hz。</w:t>
            </w:r>
            <w:r>
              <w:br/>
            </w:r>
            <w:r>
              <w:rPr/>
              <w:t xml:space="preserve"> 27、有3种控制方式（自动模式、手动模式和维护模式）。</w:t>
            </w:r>
            <w:r>
              <w:br/>
            </w:r>
            <w:r>
              <w:rPr/>
              <w:t xml:space="preserve"> 28、冷却水系统：冷水温度15～25℃可调，有水压表和过滤装置，各水路安装有水流传感器。</w:t>
            </w:r>
            <w:r>
              <w:br/>
            </w:r>
            <w:r>
              <w:rPr/>
              <w:t xml:space="preserve"> 29、空压系统：排气量≥240L/min，排气压力0.6-1.0MPa，储气罐大小55-100L，噪音≤60dB。</w:t>
            </w:r>
            <w:r>
              <w:br/>
            </w:r>
            <w:r>
              <w:rPr/>
              <w:t xml:space="preserve"> 30、有工作气体（氩气，氮气，氧气），及相应附件（减压阀、压力表、气瓶柜和连接管路等）。</w:t>
            </w:r>
            <w:r>
              <w:br/>
            </w:r>
            <w:r>
              <w:rPr/>
              <w:t xml:space="preserve"> 配置要求：</w:t>
            </w:r>
            <w:r>
              <w:br/>
            </w:r>
            <w:r>
              <w:rPr/>
              <w:t xml:space="preserve"> 1）主机1台</w:t>
            </w:r>
            <w:r>
              <w:br/>
            </w:r>
            <w:r>
              <w:rPr/>
              <w:t xml:space="preserve"> 2）圆形水冷磁控阴极3套</w:t>
            </w:r>
            <w:r>
              <w:br/>
            </w:r>
            <w:r>
              <w:rPr/>
              <w:t xml:space="preserve"> 3）溅射靶材Cu、Al、Ti和SiO</w:t>
            </w:r>
            <w:r>
              <w:rPr>
                <w:vertAlign w:val="subscript"/>
              </w:rPr>
              <w:t>2</w:t>
            </w:r>
            <w:r>
              <w:rPr/>
              <w:t>各2只，Hf靶材1只</w:t>
            </w:r>
            <w:r>
              <w:br/>
            </w:r>
            <w:r>
              <w:rPr/>
              <w:t xml:space="preserve"> 4）直流溅射电源2台</w:t>
            </w:r>
            <w:r>
              <w:br/>
            </w:r>
            <w:r>
              <w:rPr/>
              <w:t xml:space="preserve"> 5）射频溅射电源及自动匹配器1套</w:t>
            </w:r>
            <w:r>
              <w:br/>
            </w:r>
            <w:r>
              <w:rPr/>
              <w:t xml:space="preserve"> 6）清洗离子源1台</w:t>
            </w:r>
            <w:r>
              <w:br/>
            </w:r>
            <w:r>
              <w:rPr/>
              <w:t xml:space="preserve"> 7）Ar气体质量流量计≥2套</w:t>
            </w:r>
            <w:r>
              <w:br/>
            </w:r>
            <w:r>
              <w:rPr/>
              <w:t xml:space="preserve"> 8）氮气、氧气、甲烷等质量流量计3套</w:t>
            </w:r>
            <w:r>
              <w:br/>
            </w:r>
            <w:r>
              <w:rPr/>
              <w:t xml:space="preserve"> 9）石英晶体膜厚仪1套</w:t>
            </w:r>
            <w:r>
              <w:br/>
            </w:r>
            <w:r>
              <w:rPr/>
              <w:t xml:space="preserve"> 10）石英晶振探头≥1套</w:t>
            </w:r>
            <w:r>
              <w:br/>
            </w:r>
            <w:r>
              <w:rPr/>
              <w:t xml:space="preserve"> 11）冷却水系统1套</w:t>
            </w:r>
            <w:r>
              <w:br/>
            </w:r>
            <w:r>
              <w:rPr/>
              <w:t xml:space="preserve"> 12）空压系统1套</w:t>
            </w:r>
            <w:r>
              <w:br/>
            </w:r>
            <w:r>
              <w:rPr/>
              <w:t xml:space="preserve"> 13）工作气体（氩气，氮气，氧气），及相应附件3套</w:t>
            </w:r>
            <w:r>
              <w:br/>
            </w:r>
            <w:r>
              <w:rPr/>
              <w:t xml:space="preserve"> 备注：▲参数必须提供佐证材料（包括但不限于产品彩页、检测报告、功能截图、盖章的说明书等），未提供佐证材料或提供的佐证材料低于招标要求时按负偏离处理</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交货时间：合同签订之日起240日历日完成交付安装验收</w:t>
      </w:r>
    </w:p>
    <w:p>
      <w:pPr>
        <w:pStyle w:val="null3"/>
        <w:outlineLvl w:val="3"/>
      </w:pPr>
      <w:r>
        <w:rPr>
          <w:sz w:val="24"/>
          <w:b/>
        </w:rPr>
        <w:t>3.4.2交货地点</w:t>
      </w:r>
    </w:p>
    <w:p>
      <w:pPr>
        <w:pStyle w:val="null3"/>
      </w:pPr>
      <w:r>
        <w:rPr/>
        <w:t>采购包1：</w:t>
      </w:r>
    </w:p>
    <w:p>
      <w:pPr>
        <w:pStyle w:val="null3"/>
      </w:pPr>
      <w:r>
        <w:rPr/>
        <w:t>西安工业大学指定地点（未央校区工科6号楼指定实验室内）</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设备安装调试经采购人验收合格后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开箱验收：所供货物到货后，采购人和供应商指定人员共同参加开箱检验，供应商负责开箱，采购人和供应商双方及时对货物名称、厂家、数量、品种、型号、规格等外观进行核对、检验。开箱验收如果核对无误，采购人在到货签收单上签字，到货签收单只作为外观检查的依据，不代表采购人对产品质量的最终验收及付款依据。如果在开箱检验中发现货物有任何短少、缺损、缺陷或与合同约定不符，采购人有权拒绝接收，供应商应无条件退换货直至合格，且需符合采购人要求，交货日期不予顺延。若双方代表就货物存在问题签署书面文件的，该文件将作为采购人要求供应商进行更换、维修、补充发货、退货的有效证据。 2、初验：货物通过试运行测试后进入试运行，试运行不少于30工作日。由供应商向采购人（用户）提供详细的试运行报告，报告中至少应详细记录各种实测、运行数据。项目试运行且通过供应商自测后提交采购人（用户）进行初验。验收内容按试运行报告，现场查看货物运行情况。初验合格后，采购人（用户）填写初验验收报告。 3、整体验收即终验：该项目初验合格后，采购人根据供应商提供的初验验收报告，组织采购人相关人员或采购人专家组成验收小组对设备进行最终验收。验收依据为本合同文本、招投标文件和国内相应的标准、规范。验收合格后，采购人填写终验验收单，作为付款依据。验收不合格的，限期整改，整改过程中产生的费用和货物发生的一切损失由供应商承担；整改超过二次的，采购人有权单方解除本合同，供应商应无条件退还已收取的全部合同价款，并按合同总价20%向采购人支付违约金，违约金不足弥补采购人损失的，由供应商负责赔偿，货款尾款采购人有权不予支付。</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本项目整体质保期：验收合格后2年；质保期满后，中标（成交）供应商仍需提供专业维修服务。 质保期内免费提供正常使用的易损件和备件（耗材除外）；软件系统提供终身免费升级服务。 设备经过双方检验认可后，签署验收报告，产品保修期自验收合格之日起计算，由中标（成交）供应商提供产品保修文件。 质保期内所有维修服务均由中标（成交）供应商免费上门取、送、修。安装调试1个月内，如有质量问题，设备整机无条件退换货并提供备件以保证教学正常开展。在保修期内，任何质量问题，中标（成交）供应商负责免费维修。 质保期过后需换件时，原则上应提供原装器件，并按成本价收费。 服务响应时间：中标（成交）供应商接到维修电话后4小时内给予明确答复，必要时48小时内到达现场维修。维修人员到现场后若问题特殊无法现场修复的，中标（成交）供应商需在72小时内给出合理解决方案。</w:t>
      </w:r>
    </w:p>
    <w:p>
      <w:pPr>
        <w:pStyle w:val="null3"/>
        <w:outlineLvl w:val="3"/>
      </w:pPr>
      <w:r>
        <w:rPr>
          <w:sz w:val="24"/>
          <w:b/>
        </w:rPr>
        <w:t>3.4.8违约责任与解决争议的方法</w:t>
      </w:r>
    </w:p>
    <w:p>
      <w:pPr>
        <w:pStyle w:val="null3"/>
      </w:pPr>
      <w:r>
        <w:rPr/>
        <w:t>采购包1：</w:t>
      </w:r>
    </w:p>
    <w:p>
      <w:pPr>
        <w:pStyle w:val="null3"/>
      </w:pPr>
      <w:r>
        <w:rPr/>
        <w:t>在履行本合同过程中，如采购人、供应商双方发生争议，协商解决:如双方达不成协议，向采购人所在地的人民法院提起诉讼。</w:t>
      </w:r>
    </w:p>
    <w:p>
      <w:pPr>
        <w:pStyle w:val="null3"/>
        <w:jc w:val="left"/>
        <w:outlineLvl w:val="2"/>
      </w:pPr>
      <w:r>
        <w:rPr>
          <w:sz w:val="28"/>
          <w:b/>
        </w:rPr>
        <w:t>3.5其他要求</w:t>
      </w:r>
    </w:p>
    <w:p>
      <w:pPr>
        <w:pStyle w:val="null3"/>
      </w:pPr>
      <w:r>
        <w:rPr/>
        <w:t>1、培训要求：提供现场免费培训（安全规范使用、日常维护培训、前沿探索型扩展应用介绍），直到使用人熟练操作为止；培训技术人员3-5名；提供产品使用说明和维护手册纸质版。 2、 为顺利推进政府采购电子化交易平台应用工作，供应商需要在线提交所有通过电子化交易平台实施的政府采购项目的投标文件，同时，线下密封提交纸质版投标文件，正本壹份、副本贰份。若线上电子投标文件与纸质投标文件不一致的，以线上电子投标文件为准；若正本和副本不符，以正本为准。线下递交文件截止时间:详见本项目招标公告文件递交截止时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本项目不接受联合体投标</w:t>
            </w:r>
          </w:p>
        </w:tc>
        <w:tc>
          <w:tcPr>
            <w:tcW w:type="dxa" w:w="3322"/>
          </w:tcPr>
          <w:p>
            <w:pPr>
              <w:pStyle w:val="null3"/>
            </w:pPr>
            <w:r>
              <w:rPr/>
              <w:t>非接受联合体投标声明</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 (合格) ，投标报价超过采购预算或最高限价(不合格 )</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交货时间(期)满足招标文件要求 (合格)，交货时间(期)不满足招标文件要求(不合格)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质保期满足招标文件要求(合格)， 质保期不满足招标文件要求(不合格)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 要求(合格)，投标文件的签署、盖 章不满足招标文件要求(不合格)</w:t>
            </w:r>
          </w:p>
        </w:tc>
        <w:tc>
          <w:tcPr>
            <w:tcW w:type="dxa" w:w="1661"/>
          </w:tcPr>
          <w:p>
            <w:pPr>
              <w:pStyle w:val="null3"/>
            </w:pPr>
            <w:r>
              <w:rPr/>
              <w:t>开标一览表 投标函 中小企业声明函 残疾人福利性单位声明函 供应商资格要求 标的清单 投标文件封面 监狱企业的证明文件 投标人应提交的相关资格证明材料</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 格)，投标文件无投标有效期或有效期不满足招标文件要 求(不合格)</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标的数量满足招标文件要求(合 格)，标的数量出现漏项或与招标文件要求不符(不合格)</w:t>
            </w:r>
          </w:p>
        </w:tc>
        <w:tc>
          <w:tcPr>
            <w:tcW w:type="dxa" w:w="1661"/>
          </w:tcPr>
          <w:p>
            <w:pPr>
              <w:pStyle w:val="null3"/>
            </w:pPr>
            <w:r>
              <w:rPr/>
              <w:t>开标一览表 标的清单</w:t>
            </w:r>
          </w:p>
        </w:tc>
      </w:tr>
      <w:tr>
        <w:tc>
          <w:tcPr>
            <w:tcW w:type="dxa" w:w="831"/>
          </w:tcPr>
          <w:p>
            <w:pPr>
              <w:pStyle w:val="null3"/>
            </w:pPr>
            <w:r>
              <w:rPr/>
              <w:t>8</w:t>
            </w:r>
          </w:p>
        </w:tc>
        <w:tc>
          <w:tcPr>
            <w:tcW w:type="dxa" w:w="2492"/>
          </w:tcPr>
          <w:p>
            <w:pPr>
              <w:pStyle w:val="null3"/>
            </w:pPr>
            <w:r>
              <w:rPr/>
              <w:t>是否有采购人不能接受的附加条件</w:t>
            </w:r>
          </w:p>
        </w:tc>
        <w:tc>
          <w:tcPr>
            <w:tcW w:type="dxa" w:w="3322"/>
          </w:tcPr>
          <w:p>
            <w:pPr>
              <w:pStyle w:val="null3"/>
            </w:pPr>
            <w:r>
              <w:rPr/>
              <w:t>没有采购人不能接受的附加条件(合 格)，有采购人不能接受的附加条件 (不合格)</w:t>
            </w:r>
          </w:p>
        </w:tc>
        <w:tc>
          <w:tcPr>
            <w:tcW w:type="dxa" w:w="1661"/>
          </w:tcPr>
          <w:p>
            <w:pPr>
              <w:pStyle w:val="null3"/>
            </w:pPr>
            <w:r>
              <w:rPr/>
              <w:t>供应商认为有必要说明的其他问题</w:t>
            </w:r>
          </w:p>
        </w:tc>
      </w:tr>
      <w:tr>
        <w:tc>
          <w:tcPr>
            <w:tcW w:type="dxa" w:w="831"/>
          </w:tcPr>
          <w:p>
            <w:pPr>
              <w:pStyle w:val="null3"/>
            </w:pPr>
            <w:r>
              <w:rPr/>
              <w:t>9</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 情形(合格)，存在法律、法规和招标文件规定的其他无 效情形(不合格)</w:t>
            </w:r>
          </w:p>
        </w:tc>
        <w:tc>
          <w:tcPr>
            <w:tcW w:type="dxa" w:w="1661"/>
          </w:tcPr>
          <w:p>
            <w:pPr>
              <w:pStyle w:val="null3"/>
            </w:pPr>
            <w:r>
              <w:rPr/>
              <w:t>投标函 商务应答表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根据供应商提供所投产品的技术偏离表及相应的证明材料，经评审专家审定得分。 基本分（30分）：完全符合、响应招标文件要求，没有负偏离计30分，“▲”参数每负偏离一项扣2分，未带标识参数每负偏离一项扣0.8分，扣完为止。 备注：▲参数必须提供佐证材料，佐证材料包括但不限于产品彩页、检测报告、厂家盖章的说明书等。未提供佐证材料或佐证材料低于招标文件规定的相应技术指标、参数时视为负偏离。</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质量保证</w:t>
            </w:r>
          </w:p>
        </w:tc>
        <w:tc>
          <w:tcPr>
            <w:tcW w:type="dxa" w:w="2492"/>
          </w:tcPr>
          <w:p>
            <w:pPr>
              <w:pStyle w:val="null3"/>
            </w:pPr>
            <w:r>
              <w:rPr/>
              <w:t>提供质量保证方案。内容包含①整体配置具有合理性、一致性、兼容性②产品品牌、型号、产地明确，备品配件供应有保障③产品性能、使用寿命及效果④质量保证措施⑤提供工作气体（氩气，氮气，氧气）及相应附件的合法来源渠道证明文件并送货到校时按学校要求履行相关手续。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①总体实施方案；②计划进度安排；③项目团队配备；④项目实施过程中质量保证；⑤安装调试方案；⑥项目验收方案。完整提供上述6项内容的得12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提供供应商2021年1月1日至今类似项目合同（以合同签订日期为准），每提供1个得1分，最高得5分。备注：响应文件中提供合同复印件。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该方案包含：①培训内容；②培训计划安排。完整提供上述2项内容的得3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详见附件：产品技术参数表</w:t>
      </w:r>
    </w:p>
    <w:p>
      <w:pPr>
        <w:pStyle w:val="null3"/>
        <w:ind w:firstLine="960"/>
      </w:pPr>
      <w:r>
        <w:rPr/>
        <w:t>详见附件：供应商资格要求</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详见附件：业绩一览表</w:t>
      </w:r>
    </w:p>
    <w:p>
      <w:pPr>
        <w:pStyle w:val="null3"/>
        <w:ind w:firstLine="960"/>
      </w:pPr>
      <w:r>
        <w:rPr/>
        <w:t>详见附件：供应商认为有必要说明的其他问题</w:t>
      </w:r>
    </w:p>
    <w:p>
      <w:pPr>
        <w:pStyle w:val="null3"/>
        <w:ind w:firstLine="960"/>
      </w:pPr>
      <w:r>
        <w:rPr/>
        <w:t>详见附件：质量保证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