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版本号：241225001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陕西省医疗保障信息平台省内跨统筹区个人账户家庭共济采购服务项目</w:t>
      </w:r>
    </w:p>
    <w:p>
      <w:pPr>
        <w:pStyle w:val="null3"/>
        <w:jc w:val="center"/>
        <w:outlineLvl w:val="2"/>
      </w:pPr>
      <w:r>
        <w:rPr>
          <w:sz w:val="28"/>
          <w:b/>
        </w:rPr>
        <w:t>采购项目编号：</w:t>
      </w:r>
      <w:r>
        <w:rPr>
          <w:sz w:val="28"/>
          <w:b/>
        </w:rPr>
        <w:t>XAZJ-2024-074</w:t>
      </w:r>
      <w:r>
        <w:br/>
      </w:r>
      <w:r>
        <w:br/>
      </w:r>
      <w:r>
        <w:br/>
      </w:r>
    </w:p>
    <w:p>
      <w:pPr>
        <w:pStyle w:val="null3"/>
        <w:jc w:val="center"/>
        <w:outlineLvl w:val="2"/>
      </w:pPr>
      <w:r>
        <w:rPr>
          <w:sz w:val="28"/>
          <w:b/>
        </w:rPr>
        <w:t>陕西省医疗保障局</w:t>
      </w:r>
    </w:p>
    <w:p>
      <w:pPr>
        <w:pStyle w:val="null3"/>
        <w:jc w:val="center"/>
        <w:outlineLvl w:val="2"/>
      </w:pPr>
      <w:r>
        <w:rPr>
          <w:sz w:val="28"/>
          <w:b/>
        </w:rPr>
        <w:t>西安正建工程咨询有限公司</w:t>
      </w:r>
      <w:r>
        <w:rPr>
          <w:sz w:val="28"/>
          <w:b/>
        </w:rPr>
        <w:t>共同编制</w:t>
      </w:r>
    </w:p>
    <w:p>
      <w:pPr>
        <w:pStyle w:val="null3"/>
        <w:jc w:val="center"/>
        <w:outlineLvl w:val="2"/>
      </w:pPr>
      <w:r>
        <w:rPr>
          <w:sz w:val="28"/>
          <w:b/>
        </w:rPr>
        <w:t>2024年12月26日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西安正建工程咨询有限公司</w:t>
      </w:r>
      <w:r>
        <w:rPr/>
        <w:t>（以下简称“代理机构”）受</w:t>
      </w:r>
      <w:r>
        <w:rPr/>
        <w:t>陕西省医疗保障局</w:t>
      </w:r>
      <w:r>
        <w:rPr/>
        <w:t>委托，拟对</w:t>
      </w:r>
      <w:r>
        <w:rPr/>
        <w:t>陕西省医疗保障信息平台省内跨统筹区个人账户家庭共济采购服务项目</w:t>
      </w:r>
      <w:r>
        <w:rPr/>
        <w:t>采用竞争性磋商采购方式进行采购，兹邀请供应商参加本项目的竞争性磋商。</w:t>
      </w:r>
    </w:p>
    <w:p>
      <w:pPr>
        <w:pStyle w:val="null3"/>
        <w:outlineLvl w:val="2"/>
      </w:pPr>
      <w:r>
        <w:rPr>
          <w:sz w:val="28"/>
          <w:b/>
        </w:rPr>
        <w:t>一、项目编号：</w:t>
      </w:r>
      <w:r>
        <w:rPr>
          <w:sz w:val="28"/>
          <w:b/>
        </w:rPr>
        <w:t>XAZJ-2024-074</w:t>
      </w:r>
    </w:p>
    <w:p>
      <w:pPr>
        <w:pStyle w:val="null3"/>
        <w:outlineLvl w:val="2"/>
      </w:pPr>
      <w:r>
        <w:rPr>
          <w:sz w:val="28"/>
          <w:b/>
        </w:rPr>
        <w:t>二、项目名称：</w:t>
      </w:r>
      <w:r>
        <w:rPr>
          <w:sz w:val="28"/>
          <w:b/>
        </w:rPr>
        <w:t>陕西省医疗保障信息平台省内跨统筹区个人账户家庭共济采购服务项目</w:t>
      </w:r>
    </w:p>
    <w:p>
      <w:pPr>
        <w:pStyle w:val="null3"/>
        <w:outlineLvl w:val="2"/>
      </w:pPr>
      <w:r>
        <w:rPr>
          <w:sz w:val="28"/>
          <w:b/>
        </w:rPr>
        <w:t>三、磋商项目简介</w:t>
      </w:r>
    </w:p>
    <w:p>
      <w:pPr>
        <w:pStyle w:val="null3"/>
        <w:ind w:firstLine="480"/>
      </w:pPr>
      <w:r>
        <w:rPr/>
        <w:t>为进一步拓宽职工基本医疗保险个人账户使用范围，提高医保基金使用效率，减轻我省参保群众家庭医疗费用负担，不断增强参保群众获得感、幸福感、安全感，亟需采购省内跨统筹区个人账户家庭共济采购服务项目；需满足的要求:满足实现家庭成员之间共享医保账户资金。支持省内异地家庭共济模块，实现账户管理、资金划拨、使用记录等功能，确保家庭共济账户资金的跨地区使用；建立家庭共济账户的网上办理通道，包括账户设立、使用记录查询等功能。开发线上服务平台，提供家庭共济账户的查询、管理和使用等服务。根据国家医保局及省委省政府统一安排部署，提供职工个人账户家庭共济等其他服务。</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t>2、财务状况报告：提供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t>3、税收缴纳证明：提供响应文件递交截止日前一年内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p>
      <w:pPr>
        <w:pStyle w:val="null3"/>
      </w:pPr>
      <w:r>
        <w:rPr/>
        <w:t>4、社会保障资金缴存证明：提供响应文件递交截止日前一年内已缴存的至少一个月的社会保障资金缴存单据或社保机构开具的社会保险参保缴费情况证明，依法不需要缴存社会保障资金的单位应提供相关证明材料。</w:t>
      </w:r>
    </w:p>
    <w:p>
      <w:pPr>
        <w:pStyle w:val="null3"/>
      </w:pPr>
      <w:r>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t>6、具有履行合同所必需的设备和专业技术能力的承诺函：提供具有履行合同所必需的设备和专业技术能力的承诺函。</w:t>
      </w:r>
    </w:p>
    <w:p>
      <w:pPr>
        <w:pStyle w:val="null3"/>
      </w:pPr>
      <w:r>
        <w:rPr/>
        <w:t>7、法定代表人授权书：法定代表人授权书及被授权人身份证明。（法定代表人直接投标只须提交其身份证明）</w:t>
      </w:r>
    </w:p>
    <w:p>
      <w:pPr>
        <w:pStyle w:val="null3"/>
      </w:pPr>
      <w:r>
        <w:rPr/>
        <w:t>8、联合体投标：本项目不接受联合体投标。</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陕西省医疗保障局</w:t>
      </w:r>
    </w:p>
    <w:p>
      <w:pPr>
        <w:pStyle w:val="null3"/>
      </w:pPr>
      <w:r>
        <w:rPr/>
        <w:t xml:space="preserve"> 地址： </w:t>
      </w:r>
      <w:r>
        <w:rPr/>
        <w:t>雁塔区锦业一路60号</w:t>
      </w:r>
    </w:p>
    <w:p>
      <w:pPr>
        <w:pStyle w:val="null3"/>
      </w:pPr>
      <w:r>
        <w:rPr/>
        <w:t xml:space="preserve"> 邮编： </w:t>
      </w:r>
      <w:r>
        <w:rPr/>
        <w:t>710000</w:t>
      </w:r>
    </w:p>
    <w:p>
      <w:pPr>
        <w:pStyle w:val="null3"/>
      </w:pPr>
      <w:r>
        <w:rPr/>
        <w:t xml:space="preserve"> 联系人： </w:t>
      </w:r>
      <w:r>
        <w:rPr/>
        <w:t>李响</w:t>
      </w:r>
    </w:p>
    <w:p>
      <w:pPr>
        <w:pStyle w:val="null3"/>
      </w:pPr>
      <w:r>
        <w:rPr/>
        <w:t xml:space="preserve"> 联系电话： </w:t>
      </w:r>
      <w:r>
        <w:rPr/>
        <w:t>029-61320021</w:t>
      </w:r>
    </w:p>
    <w:p>
      <w:pPr>
        <w:pStyle w:val="null3"/>
        <w:outlineLvl w:val="3"/>
      </w:pPr>
      <w:r>
        <w:rPr>
          <w:sz w:val="24"/>
          <w:b/>
        </w:rPr>
        <w:t>代理机构：</w:t>
      </w:r>
      <w:r>
        <w:rPr>
          <w:sz w:val="24"/>
          <w:b/>
        </w:rPr>
        <w:t>西安正建工程咨询有限公司</w:t>
      </w:r>
    </w:p>
    <w:p>
      <w:pPr>
        <w:pStyle w:val="null3"/>
      </w:pPr>
      <w:r>
        <w:rPr/>
        <w:t xml:space="preserve"> 地址： </w:t>
      </w:r>
      <w:r>
        <w:rPr/>
        <w:t>陕西省西安市未央区陕西省西安市未央区龙首北路西段53号颐馨花园4幢1单元2层10201-10202室</w:t>
      </w:r>
    </w:p>
    <w:p>
      <w:pPr>
        <w:pStyle w:val="null3"/>
      </w:pPr>
      <w:r>
        <w:rPr/>
        <w:t xml:space="preserve"> 邮编： </w:t>
      </w:r>
      <w:r>
        <w:rPr/>
        <w:t>710000</w:t>
      </w:r>
    </w:p>
    <w:p>
      <w:pPr>
        <w:pStyle w:val="null3"/>
      </w:pPr>
      <w:r>
        <w:rPr/>
        <w:t xml:space="preserve"> 联系人： </w:t>
      </w:r>
      <w:r>
        <w:rPr/>
        <w:t>周曼</w:t>
      </w:r>
    </w:p>
    <w:p>
      <w:pPr>
        <w:pStyle w:val="null3"/>
      </w:pPr>
      <w:r>
        <w:rPr/>
        <w:t xml:space="preserve"> 联系电话： </w:t>
      </w:r>
      <w:r>
        <w:rPr/>
        <w:t>029-85563167转6025</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采购包1：678,340.00元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采购包1保证金金额：10,000.00元</w:t>
            </w:r>
          </w:p>
          <w:p>
            <w:pPr>
              <w:pStyle w:val="null3"/>
            </w:pPr>
            <w:r>
              <w:rPr/>
              <w:t>缴交渠道：电子保函,转账、支票、汇票等（需通过实体账户、户名及开户行信息）</w:t>
            </w:r>
          </w:p>
          <w:p>
            <w:pPr>
              <w:pStyle w:val="null3"/>
            </w:pPr>
            <w:r>
              <w:rPr/>
              <w:t>开户名称：西安正建工程咨询有限公司</w:t>
            </w:r>
          </w:p>
          <w:p>
            <w:pPr>
              <w:pStyle w:val="null3"/>
            </w:pPr>
            <w:r>
              <w:rPr/>
              <w:t>开户银行：招商银行西安未央路支行</w:t>
            </w:r>
          </w:p>
          <w:p>
            <w:pPr>
              <w:pStyle w:val="null3"/>
            </w:pPr>
            <w:r>
              <w:rPr/>
              <w:t>银行账号：129907632710908</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代理服务费收费标准：以中标金额为基数，按照国家发展计划委员会计价格[2002]1980号文件规定按标准下浮10%计取。由中标单位在领取中标通知书前一次性支付给代理机构。</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陕西省医疗保障局</w:t>
      </w:r>
      <w:r>
        <w:rPr/>
        <w:t>和</w:t>
      </w:r>
      <w:r>
        <w:rPr/>
        <w:t>西安正建工程咨询有限公司</w:t>
      </w:r>
      <w:r>
        <w:rPr/>
        <w:t>享有。对磋商文件中供应商参加本次政府采购活动应当具备的条件，磋商项目技术、服务、商务及其他要求，评审细则及标准由</w:t>
      </w:r>
      <w:r>
        <w:rPr/>
        <w:t>陕西省医疗保障局</w:t>
      </w:r>
      <w:r>
        <w:rPr/>
        <w:t>负责解释。除上述磋商文件内容，其他内容由</w:t>
      </w:r>
      <w:r>
        <w:rPr/>
        <w:t>西安正建工程咨询有限公司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陕西省医疗保障局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西安正建工程咨询有限公司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西安正建工程咨询有限公司</w:t>
      </w:r>
      <w:r>
        <w:rPr/>
        <w:t xml:space="preserve"> 负责答复；供应商对除采购需求外的采购文件的询问、质疑由</w:t>
      </w:r>
      <w:r>
        <w:rPr/>
        <w:t>西安正建工程咨询有限公司</w:t>
      </w:r>
      <w:r>
        <w:rPr/>
        <w:t xml:space="preserve"> 负责答复；供应商对采购过程、采购结果的询问、质疑由 </w:t>
      </w:r>
      <w:r>
        <w:rPr/>
        <w:t>西安正建工程咨询有限公司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联系人：林思曼</w:t>
      </w:r>
    </w:p>
    <w:p>
      <w:pPr>
        <w:pStyle w:val="null3"/>
      </w:pPr>
      <w:r>
        <w:rPr/>
        <w:t>联系电话：029-85563167转6025</w:t>
      </w:r>
    </w:p>
    <w:p>
      <w:pPr>
        <w:pStyle w:val="null3"/>
      </w:pPr>
      <w:r>
        <w:rPr/>
        <w:t>地址：西安市未央区龙首北路西段53号颐馨花园4号楼2层</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为进一步拓宽职工基本医疗保险个人账户使用范围，提高医保基金使用效率，减轻我省参保群众家庭医疗费用负担，不断增强参保群众获得感、幸福感、安全感，亟需采购省内跨统筹区个人账户家庭共济采购服务项目；需满足的要求:满足实现家庭成员之间共享医保账户资金。支持省内异地家庭共济模块，实现账户管理、资金划拨、使用记录等功能，确保家庭共济账户资金的跨地区使用；建立家庭共济账户的网上办理通道，包括账户设立、使用记录查询等功能。开发线上服务平台，提供家庭共济账户的查询、管理和使用等服务。根据国家医保局及省委省政府统一安排部署，提供职工个人账户家庭共济等其他服务。</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678,340.00</w:t>
      </w:r>
    </w:p>
    <w:p>
      <w:pPr>
        <w:pStyle w:val="null3"/>
      </w:pPr>
      <w:r>
        <w:rPr/>
        <w:t>采购包最高限价（元）: 678,340.00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陕西省医疗保障信息平台省内跨统筹区个人账户家庭共济采购服务项目</w:t>
            </w:r>
          </w:p>
        </w:tc>
        <w:tc>
          <w:tcPr>
            <w:tcW w:type="dxa" w:w="831"/>
          </w:tcPr>
          <w:p>
            <w:pPr>
              <w:pStyle w:val="null3"/>
              <w:jc w:val="right"/>
            </w:pPr>
            <w:r>
              <w:rPr/>
              <w:t>1.00</w:t>
            </w:r>
          </w:p>
        </w:tc>
        <w:tc>
          <w:tcPr>
            <w:tcW w:type="dxa" w:w="831"/>
          </w:tcPr>
          <w:p>
            <w:pPr>
              <w:pStyle w:val="null3"/>
              <w:jc w:val="right"/>
            </w:pPr>
            <w:r>
              <w:rPr/>
              <w:t>678,340.00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标的名称：陕西省医疗保障信息平台省内跨统筹区个人账户家庭共济采购服务项目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center"/>
            </w:pPr>
            <w:r>
              <w:rPr>
                <w:rFonts w:ascii="宋体" w:hAnsi="宋体" w:cs="宋体" w:eastAsia="宋体"/>
                <w:sz w:val="28"/>
                <w:b/>
              </w:rPr>
              <w:t>第</w:t>
            </w:r>
            <w:r>
              <w:rPr>
                <w:rFonts w:ascii="宋体" w:hAnsi="宋体" w:cs="宋体" w:eastAsia="宋体"/>
                <w:sz w:val="28"/>
                <w:b/>
              </w:rPr>
              <w:t>1章</w:t>
            </w:r>
            <w:r>
              <w:rPr>
                <w:rFonts w:ascii="&quot;times new roman&quot;" w:hAnsi="&quot;times new roman&quot;" w:cs="&quot;times new roman&quot;" w:eastAsia="&quot;times new roman&quot;"/>
                <w:sz w:val="21"/>
                <w:b/>
              </w:rPr>
              <w:t xml:space="preserve">  </w:t>
            </w:r>
            <w:r>
              <w:rPr>
                <w:rFonts w:ascii="黑体" w:hAnsi="黑体" w:cs="黑体" w:eastAsia="黑体"/>
                <w:sz w:val="28"/>
                <w:b/>
              </w:rPr>
              <w:t>需求分析</w:t>
            </w:r>
          </w:p>
          <w:p>
            <w:pPr>
              <w:pStyle w:val="null3"/>
              <w:jc w:val="both"/>
            </w:pPr>
            <w:r>
              <w:rPr>
                <w:rFonts w:ascii="宋体" w:hAnsi="宋体" w:cs="宋体" w:eastAsia="宋体"/>
                <w:sz w:val="21"/>
                <w:b/>
              </w:rPr>
              <w:t>1.1</w:t>
            </w:r>
            <w:r>
              <w:rPr>
                <w:rFonts w:ascii="黑体" w:hAnsi="黑体" w:cs="黑体" w:eastAsia="黑体"/>
                <w:sz w:val="21"/>
                <w:b/>
              </w:rPr>
              <w:t>项目背景</w:t>
            </w:r>
          </w:p>
          <w:p>
            <w:pPr>
              <w:pStyle w:val="null3"/>
              <w:ind w:firstLine="420"/>
              <w:jc w:val="both"/>
            </w:pPr>
            <w:r>
              <w:rPr>
                <w:rFonts w:ascii="&quot;times new roman&quot;" w:hAnsi="&quot;times new roman&quot;" w:cs="&quot;times new roman&quot;" w:eastAsia="&quot;times new roman&quot;"/>
                <w:sz w:val="21"/>
              </w:rPr>
              <w:t>2021</w:t>
            </w:r>
            <w:r>
              <w:rPr>
                <w:rFonts w:ascii="宋体" w:hAnsi="宋体" w:cs="宋体" w:eastAsia="宋体"/>
                <w:sz w:val="21"/>
              </w:rPr>
              <w:t>年</w:t>
            </w:r>
            <w:r>
              <w:rPr>
                <w:rFonts w:ascii="&quot;times new roman&quot;" w:hAnsi="&quot;times new roman&quot;" w:cs="&quot;times new roman&quot;" w:eastAsia="&quot;times new roman&quot;"/>
                <w:sz w:val="21"/>
              </w:rPr>
              <w:t>4</w:t>
            </w:r>
            <w:r>
              <w:rPr>
                <w:rFonts w:ascii="宋体" w:hAnsi="宋体" w:cs="宋体" w:eastAsia="宋体"/>
                <w:sz w:val="21"/>
              </w:rPr>
              <w:t>月，国务院办公厅发布了《关于建立健全职工基本医疗保险门诊共济保障机制的指导意见》，明确各省级人民政府要按照要求，统筹安排，科学决策，推动医保个人账户家庭共济的实施。这一政策的出台，为各地开展家庭账户共济提供了明确的指导和方向。</w:t>
            </w:r>
          </w:p>
          <w:p>
            <w:pPr>
              <w:pStyle w:val="null3"/>
              <w:ind w:firstLine="420"/>
              <w:jc w:val="both"/>
            </w:pPr>
            <w:r>
              <w:rPr>
                <w:rFonts w:ascii="&quot;times new roman&quot;" w:hAnsi="&quot;times new roman&quot;" w:cs="&quot;times new roman&quot;" w:eastAsia="&quot;times new roman&quot;"/>
                <w:sz w:val="21"/>
              </w:rPr>
              <w:t>2022</w:t>
            </w:r>
            <w:r>
              <w:rPr>
                <w:rFonts w:ascii="宋体" w:hAnsi="宋体" w:cs="宋体" w:eastAsia="宋体"/>
                <w:sz w:val="21"/>
              </w:rPr>
              <w:t>年</w:t>
            </w:r>
            <w:r>
              <w:rPr>
                <w:rFonts w:ascii="&quot;times new roman&quot;" w:hAnsi="&quot;times new roman&quot;" w:cs="&quot;times new roman&quot;" w:eastAsia="&quot;times new roman&quot;"/>
                <w:sz w:val="21"/>
              </w:rPr>
              <w:t>1</w:t>
            </w:r>
            <w:r>
              <w:rPr>
                <w:rFonts w:ascii="宋体" w:hAnsi="宋体" w:cs="宋体" w:eastAsia="宋体"/>
                <w:sz w:val="21"/>
              </w:rPr>
              <w:t>月，陕西省人民政府办公厅发布了《陕西省人民政府办公厅关于印发建立健全职工基本医疗保险门诊共济保障机制实施方案的通知》（陕政办发〔</w:t>
            </w:r>
            <w:r>
              <w:rPr>
                <w:rFonts w:ascii="&quot;times new roman&quot;" w:hAnsi="&quot;times new roman&quot;" w:cs="&quot;times new roman&quot;" w:eastAsia="&quot;times new roman&quot;"/>
                <w:sz w:val="21"/>
              </w:rPr>
              <w:t>2022</w:t>
            </w:r>
            <w:r>
              <w:rPr>
                <w:rFonts w:ascii="宋体" w:hAnsi="宋体" w:cs="宋体" w:eastAsia="宋体"/>
                <w:sz w:val="21"/>
              </w:rPr>
              <w:t>〕</w:t>
            </w:r>
            <w:r>
              <w:rPr>
                <w:rFonts w:ascii="&quot;times new roman&quot;" w:hAnsi="&quot;times new roman&quot;" w:cs="&quot;times new roman&quot;" w:eastAsia="&quot;times new roman&quot;"/>
                <w:sz w:val="21"/>
              </w:rPr>
              <w:t>2</w:t>
            </w:r>
            <w:r>
              <w:rPr>
                <w:rFonts w:ascii="宋体" w:hAnsi="宋体" w:cs="宋体" w:eastAsia="宋体"/>
                <w:sz w:val="21"/>
              </w:rPr>
              <w:t>号），通知提出要规范个人账户支付范围，其个人账户主要用于支付参保人员在定点医疗机构或定点零售药店发生的政策范围内自付费用，可以用于支付参保人员本人及其配偶、父母、子女在定点医疗机构就医发生的由个人负担的医疗费用，以及在定点零售药店购买药品、医疗器械、医用耗材发生的由个人负担的费用。推进落实个人账户用于配偶、父母、子女参加城乡居民基本医疗保险等的个人缴费。</w:t>
            </w:r>
          </w:p>
          <w:p>
            <w:pPr>
              <w:pStyle w:val="null3"/>
              <w:ind w:firstLine="420"/>
              <w:jc w:val="both"/>
            </w:pPr>
            <w:r>
              <w:rPr>
                <w:rFonts w:ascii="宋体" w:hAnsi="宋体" w:cs="宋体" w:eastAsia="宋体"/>
                <w:sz w:val="21"/>
              </w:rPr>
              <w:t>为了进一步放宽职工医保个人账户共济范围，提升共济效能，陕西省应按照党中央、国务院统一部署，加快医疗保障重点领域和关键环节改革，通过陕西省省内跨统筹区</w:t>
            </w:r>
            <w:r>
              <w:rPr>
                <w:rFonts w:ascii="宋体" w:hAnsi="宋体" w:cs="宋体" w:eastAsia="宋体"/>
                <w:sz w:val="21"/>
              </w:rPr>
              <w:t>及</w:t>
            </w:r>
            <w:r>
              <w:rPr>
                <w:rFonts w:ascii="宋体" w:hAnsi="宋体" w:cs="宋体" w:eastAsia="宋体"/>
                <w:sz w:val="21"/>
              </w:rPr>
              <w:t>跨省</w:t>
            </w:r>
            <w:r>
              <w:rPr>
                <w:rFonts w:ascii="宋体" w:hAnsi="宋体" w:cs="宋体" w:eastAsia="宋体"/>
                <w:sz w:val="21"/>
              </w:rPr>
              <w:t>职工基本医疗保险个人账户家庭共济服务项目的实施，不断优化业务流程，提升管理服务，进一步拓展个人账户共济范围，提高医保基金使用效率，逐步减轻参保人员医疗费用负担，增强人民群众的医保获得感、幸福感、安全感。</w:t>
            </w:r>
          </w:p>
          <w:p>
            <w:pPr>
              <w:pStyle w:val="null3"/>
              <w:jc w:val="both"/>
            </w:pPr>
            <w:r>
              <w:rPr>
                <w:rFonts w:ascii="宋体" w:hAnsi="宋体" w:cs="宋体" w:eastAsia="宋体"/>
                <w:sz w:val="21"/>
                <w:b/>
              </w:rPr>
              <w:t>1.2</w:t>
            </w:r>
            <w:r>
              <w:rPr>
                <w:rFonts w:ascii="黑体" w:hAnsi="黑体" w:cs="黑体" w:eastAsia="黑体"/>
                <w:sz w:val="21"/>
                <w:b/>
              </w:rPr>
              <w:t>业务现状分析</w:t>
            </w:r>
          </w:p>
          <w:p>
            <w:pPr>
              <w:pStyle w:val="null3"/>
              <w:ind w:firstLine="420"/>
              <w:jc w:val="both"/>
            </w:pPr>
            <w:r>
              <w:rPr>
                <w:rFonts w:ascii="宋体" w:hAnsi="宋体" w:cs="宋体" w:eastAsia="宋体"/>
                <w:sz w:val="21"/>
              </w:rPr>
              <w:t>为提高医保基金使用效率，减轻参保人员医疗费用负担，陕西省稳妥推动职工医保门诊共济保障机制改革落地见效。在开通职工医保个人账户共济后，个人账户授权人由父母、配偶、子女等直系家庭成员拓展到兄弟姐妹、祖父母、外祖父母、孙子女、外孙子女等近亲属。全省实行家庭成员关系承诺制办理，免去成员关系证明材料，简化办理流程，参保人可通过国家医保服务平台</w:t>
            </w:r>
            <w:r>
              <w:rPr>
                <w:rFonts w:ascii="&quot;times new roman&quot;" w:hAnsi="&quot;times new roman&quot;" w:cs="&quot;times new roman&quot;" w:eastAsia="&quot;times new roman&quot;"/>
                <w:sz w:val="21"/>
              </w:rPr>
              <w:t>APP</w:t>
            </w:r>
            <w:r>
              <w:rPr>
                <w:rFonts w:ascii="宋体" w:hAnsi="宋体" w:cs="宋体" w:eastAsia="宋体"/>
                <w:sz w:val="21"/>
              </w:rPr>
              <w:t>陕西专区、</w:t>
            </w:r>
            <w:r>
              <w:rPr>
                <w:rFonts w:ascii="宋体" w:hAnsi="宋体" w:cs="宋体" w:eastAsia="宋体"/>
                <w:sz w:val="21"/>
              </w:rPr>
              <w:t>“陕西医保”微信和支付宝小程序等多种线上渠道办理个人账户家庭共济绑定，也可到各级医保经办服务窗口与网点现场办理。</w:t>
            </w:r>
          </w:p>
          <w:p>
            <w:pPr>
              <w:pStyle w:val="null3"/>
              <w:ind w:firstLine="420"/>
              <w:jc w:val="both"/>
            </w:pPr>
            <w:r>
              <w:rPr>
                <w:rFonts w:ascii="宋体" w:hAnsi="宋体" w:cs="宋体" w:eastAsia="宋体"/>
                <w:sz w:val="21"/>
              </w:rPr>
              <w:t>截至目前，陕西省仅支持本统筹区内职工医保个人家庭账户共济绑定，需要授权者与使用者在同一统筹区。在职工医保个人账户家庭共济授权后，被授权人可使用授权人职工医保个人账户基金支付被授权人在定点医药机构发生的住院、门诊慢特病、门诊特药、门诊统筹等费用中应由个人负担的部分，以及在定点零售药店购买药品、医疗器械、医用耗材发生的费用。截至</w:t>
            </w:r>
            <w:r>
              <w:rPr>
                <w:rFonts w:ascii="&quot;times new roman&quot;" w:hAnsi="&quot;times new roman&quot;" w:cs="&quot;times new roman&quot;" w:eastAsia="&quot;times new roman&quot;"/>
                <w:sz w:val="21"/>
              </w:rPr>
              <w:t>2024</w:t>
            </w:r>
            <w:r>
              <w:rPr>
                <w:rFonts w:ascii="宋体" w:hAnsi="宋体" w:cs="宋体" w:eastAsia="宋体"/>
                <w:sz w:val="21"/>
              </w:rPr>
              <w:t>年</w:t>
            </w:r>
            <w:r>
              <w:rPr>
                <w:rFonts w:ascii="&quot;times new roman&quot;" w:hAnsi="&quot;times new roman&quot;" w:cs="&quot;times new roman&quot;" w:eastAsia="&quot;times new roman&quot;"/>
                <w:sz w:val="21"/>
              </w:rPr>
              <w:t>6</w:t>
            </w:r>
            <w:r>
              <w:rPr>
                <w:rFonts w:ascii="宋体" w:hAnsi="宋体" w:cs="宋体" w:eastAsia="宋体"/>
                <w:sz w:val="21"/>
              </w:rPr>
              <w:t>月底，陕西省内本统筹区个人账户绑定家庭共济关系</w:t>
            </w:r>
            <w:r>
              <w:rPr>
                <w:rFonts w:ascii="&quot;times new roman&quot;" w:hAnsi="&quot;times new roman&quot;" w:cs="&quot;times new roman&quot;" w:eastAsia="&quot;times new roman&quot;"/>
                <w:sz w:val="21"/>
              </w:rPr>
              <w:t>170.4</w:t>
            </w:r>
            <w:r>
              <w:rPr>
                <w:rFonts w:ascii="宋体" w:hAnsi="宋体" w:cs="宋体" w:eastAsia="宋体"/>
                <w:sz w:val="21"/>
              </w:rPr>
              <w:t>万人，结算个人账户基金</w:t>
            </w:r>
            <w:r>
              <w:rPr>
                <w:rFonts w:ascii="&quot;times new roman&quot;" w:hAnsi="&quot;times new roman&quot;" w:cs="&quot;times new roman&quot;" w:eastAsia="&quot;times new roman&quot;"/>
                <w:sz w:val="21"/>
              </w:rPr>
              <w:t>15.2</w:t>
            </w:r>
            <w:r>
              <w:rPr>
                <w:rFonts w:ascii="宋体" w:hAnsi="宋体" w:cs="宋体" w:eastAsia="宋体"/>
                <w:sz w:val="21"/>
              </w:rPr>
              <w:t>亿元。</w:t>
            </w:r>
          </w:p>
          <w:p>
            <w:pPr>
              <w:pStyle w:val="null3"/>
              <w:jc w:val="both"/>
            </w:pPr>
            <w:r>
              <w:rPr>
                <w:rFonts w:ascii="宋体" w:hAnsi="宋体" w:cs="宋体" w:eastAsia="宋体"/>
                <w:sz w:val="21"/>
                <w:b/>
              </w:rPr>
              <w:t>1.3</w:t>
            </w:r>
            <w:r>
              <w:rPr>
                <w:rFonts w:ascii="黑体" w:hAnsi="黑体" w:cs="黑体" w:eastAsia="黑体"/>
                <w:sz w:val="21"/>
                <w:b/>
              </w:rPr>
              <w:t>系统现状分析</w:t>
            </w:r>
          </w:p>
          <w:p>
            <w:pPr>
              <w:pStyle w:val="null3"/>
              <w:ind w:firstLine="420"/>
              <w:jc w:val="both"/>
            </w:pPr>
            <w:r>
              <w:rPr>
                <w:rFonts w:ascii="&quot;times new roman&quot;" w:hAnsi="&quot;times new roman&quot;" w:cs="&quot;times new roman&quot;" w:eastAsia="&quot;times new roman&quot;"/>
                <w:sz w:val="21"/>
              </w:rPr>
              <w:t>2019</w:t>
            </w:r>
            <w:r>
              <w:rPr>
                <w:rFonts w:ascii="宋体" w:hAnsi="宋体" w:cs="宋体" w:eastAsia="宋体"/>
                <w:sz w:val="21"/>
              </w:rPr>
              <w:t>年</w:t>
            </w:r>
            <w:r>
              <w:rPr>
                <w:rFonts w:ascii="&quot;times new roman&quot;" w:hAnsi="&quot;times new roman&quot;" w:cs="&quot;times new roman&quot;" w:eastAsia="&quot;times new roman&quot;"/>
                <w:sz w:val="21"/>
              </w:rPr>
              <w:t>6</w:t>
            </w:r>
            <w:r>
              <w:rPr>
                <w:rFonts w:ascii="宋体" w:hAnsi="宋体" w:cs="宋体" w:eastAsia="宋体"/>
                <w:sz w:val="21"/>
              </w:rPr>
              <w:t>月，国家医疗保障局发布《医疗保障信息平台建设指南》，指导和规范各地医疗保障信息化建设，明确了全国医疗保障信息系统建设</w:t>
            </w:r>
            <w:r>
              <w:rPr>
                <w:rFonts w:ascii="宋体" w:hAnsi="宋体" w:cs="宋体" w:eastAsia="宋体"/>
                <w:sz w:val="21"/>
              </w:rPr>
              <w:t>“标准全国统一、数据两级集中、平台分级部署、网络全面覆盖、项目建设规范、安全保障有力”等工作原则，实现“大经办、大服务、大治理、大协作、大数据、大支撑”六大工作目标。</w:t>
            </w:r>
          </w:p>
          <w:p>
            <w:pPr>
              <w:pStyle w:val="null3"/>
              <w:ind w:firstLine="420"/>
              <w:jc w:val="both"/>
            </w:pPr>
            <w:r>
              <w:rPr>
                <w:rFonts w:ascii="宋体" w:hAnsi="宋体" w:cs="宋体" w:eastAsia="宋体"/>
                <w:sz w:val="21"/>
              </w:rPr>
              <w:t>基于此背景，</w:t>
            </w:r>
            <w:r>
              <w:rPr>
                <w:rFonts w:ascii="&quot;times new roman&quot;" w:hAnsi="&quot;times new roman&quot;" w:cs="&quot;times new roman&quot;" w:eastAsia="&quot;times new roman&quot;"/>
                <w:sz w:val="21"/>
              </w:rPr>
              <w:t>2020</w:t>
            </w:r>
            <w:r>
              <w:rPr>
                <w:rFonts w:ascii="宋体" w:hAnsi="宋体" w:cs="宋体" w:eastAsia="宋体"/>
                <w:sz w:val="21"/>
              </w:rPr>
              <w:t>年陕西省医疗保障局根据国家医疗保障局医疗保障信息平台建设相关政策及建设方案要求，依据全国统一的技术标准、业务标准、业务规范，组织规划并逐步建设陕西省医疗保障信息平台，包含基础设施、网络设施、安全设施、应用系统、公共服务。其中，陕西省异地就医管理子系统于</w:t>
            </w:r>
            <w:r>
              <w:rPr>
                <w:rFonts w:ascii="&quot;times new roman&quot;" w:hAnsi="&quot;times new roman&quot;" w:cs="&quot;times new roman&quot;" w:eastAsia="&quot;times new roman&quot;"/>
                <w:sz w:val="21"/>
              </w:rPr>
              <w:t>2020</w:t>
            </w:r>
            <w:r>
              <w:rPr>
                <w:rFonts w:ascii="宋体" w:hAnsi="宋体" w:cs="宋体" w:eastAsia="宋体"/>
                <w:sz w:val="21"/>
              </w:rPr>
              <w:t>年规划，在</w:t>
            </w:r>
            <w:r>
              <w:rPr>
                <w:rFonts w:ascii="&quot;times new roman&quot;" w:hAnsi="&quot;times new roman&quot;" w:cs="&quot;times new roman&quot;" w:eastAsia="&quot;times new roman&quot;"/>
                <w:sz w:val="21"/>
              </w:rPr>
              <w:t>2021</w:t>
            </w:r>
            <w:r>
              <w:rPr>
                <w:rFonts w:ascii="宋体" w:hAnsi="宋体" w:cs="宋体" w:eastAsia="宋体"/>
                <w:sz w:val="21"/>
              </w:rPr>
              <w:t>年</w:t>
            </w:r>
            <w:r>
              <w:rPr>
                <w:rFonts w:ascii="&quot;times new roman&quot;" w:hAnsi="&quot;times new roman&quot;" w:cs="&quot;times new roman&quot;" w:eastAsia="&quot;times new roman&quot;"/>
                <w:sz w:val="21"/>
              </w:rPr>
              <w:t>9</w:t>
            </w:r>
            <w:r>
              <w:rPr>
                <w:rFonts w:ascii="宋体" w:hAnsi="宋体" w:cs="宋体" w:eastAsia="宋体"/>
                <w:sz w:val="21"/>
              </w:rPr>
              <w:t>月上线。</w:t>
            </w:r>
          </w:p>
          <w:p>
            <w:pPr>
              <w:pStyle w:val="null3"/>
              <w:ind w:firstLine="420"/>
              <w:jc w:val="both"/>
            </w:pPr>
            <w:r>
              <w:rPr>
                <w:rFonts w:ascii="宋体" w:hAnsi="宋体" w:cs="宋体" w:eastAsia="宋体"/>
                <w:sz w:val="21"/>
              </w:rPr>
              <w:t>截至目前，陕西省异地就医管理子系统可提供省内和省外异地就医结算和对账服务，支持异地就医联网结算，和与两定机构的结算服务，并提供医保经办机构、定点医药机构、就医结算信息及备案情况网上查询等服务。但在系统规划设计时没有异地账户共济相关政策及需求，各个医保统筹区由于地区间的政策、资金为独立核算，跨统筹区参保人家庭共济关系的绑定、结算，以及跨统筹区之间的清算在最初的规划设计中没有涉及，仅仅支持本统筹区内职工医保个人家庭账户共济绑定，并且需要授权者与使用者在同一统筹区。</w:t>
            </w:r>
          </w:p>
          <w:p>
            <w:pPr>
              <w:pStyle w:val="null3"/>
              <w:jc w:val="both"/>
            </w:pPr>
            <w:r>
              <w:rPr>
                <w:rFonts w:ascii="宋体" w:hAnsi="宋体" w:cs="宋体" w:eastAsia="宋体"/>
                <w:sz w:val="21"/>
                <w:b/>
              </w:rPr>
              <w:t>1.4</w:t>
            </w:r>
            <w:r>
              <w:rPr>
                <w:rFonts w:ascii="黑体" w:hAnsi="黑体" w:cs="黑体" w:eastAsia="黑体"/>
                <w:sz w:val="21"/>
                <w:b/>
              </w:rPr>
              <w:t>现状差距分析</w:t>
            </w:r>
          </w:p>
          <w:p>
            <w:pPr>
              <w:pStyle w:val="null3"/>
              <w:ind w:left="420"/>
              <w:jc w:val="left"/>
            </w:pPr>
            <w:r>
              <w:rPr>
                <w:rFonts w:ascii="宋体" w:hAnsi="宋体" w:cs="宋体" w:eastAsia="宋体"/>
                <w:sz w:val="21"/>
                <w:b/>
              </w:rPr>
              <w:t>1.4.1</w:t>
            </w:r>
            <w:r>
              <w:rPr>
                <w:rFonts w:ascii="黑体" w:hAnsi="黑体" w:cs="黑体" w:eastAsia="黑体"/>
                <w:sz w:val="21"/>
                <w:b/>
              </w:rPr>
              <w:t>存在问题</w:t>
            </w:r>
          </w:p>
          <w:p>
            <w:pPr>
              <w:pStyle w:val="null3"/>
              <w:ind w:firstLine="420"/>
              <w:jc w:val="both"/>
            </w:pPr>
            <w:r>
              <w:rPr>
                <w:rFonts w:ascii="宋体" w:hAnsi="宋体" w:cs="宋体" w:eastAsia="宋体"/>
                <w:sz w:val="21"/>
              </w:rPr>
              <w:t>目前，由于陕西省未实现医保省级统筹，各统筹区仍为独立医保财务核算，地市间的资金流转存在一定程度的阻碍。陕西省医疗保障平台一期建设内容中不支持省内跨统筹区家庭账户共济的绑定、结算，以及地市级共济资金的清算。各省份都在自行拓展与创新，增加对参保人的服务事项及内容。</w:t>
            </w:r>
          </w:p>
          <w:p>
            <w:pPr>
              <w:pStyle w:val="null3"/>
              <w:ind w:firstLine="420"/>
              <w:jc w:val="both"/>
            </w:pPr>
            <w:r>
              <w:rPr>
                <w:rFonts w:ascii="宋体" w:hAnsi="宋体" w:cs="宋体" w:eastAsia="宋体"/>
                <w:sz w:val="21"/>
              </w:rPr>
              <w:t>陕西省各统筹区仍存在很多同一家庭的成员但在不同地区参保的情况，例如年轻人在西安市参加职工医保，老人孩子在其他地市参保居民医保，随着这部分人群的逐渐增多，对于跨统筹区家庭账户共济的需求也日益增长。因此，拓展个人账户共济范围，实现跨统筹区家庭共济进行异地就医结算，是当前全省医保基金运行和发展的迫切需求。</w:t>
            </w:r>
          </w:p>
          <w:p>
            <w:pPr>
              <w:pStyle w:val="null3"/>
              <w:ind w:firstLine="420"/>
              <w:jc w:val="both"/>
            </w:pPr>
            <w:r>
              <w:rPr>
                <w:rFonts w:ascii="宋体" w:hAnsi="宋体" w:cs="宋体" w:eastAsia="宋体"/>
                <w:sz w:val="21"/>
              </w:rPr>
              <w:t>在国家局的支持下，全国已经有多个省份拓展建设了省内跨统筹区，支撑本省份参保人进行省内跨统筹区家庭账户共济绑定。按照国家医保局要求，全国各省份需在</w:t>
            </w:r>
            <w:r>
              <w:rPr>
                <w:rFonts w:ascii="&quot;times new roman&quot;" w:hAnsi="&quot;times new roman&quot;" w:cs="&quot;times new roman&quot;" w:eastAsia="&quot;times new roman&quot;"/>
                <w:sz w:val="21"/>
              </w:rPr>
              <w:t>2024</w:t>
            </w:r>
            <w:r>
              <w:rPr>
                <w:rFonts w:ascii="宋体" w:hAnsi="宋体" w:cs="宋体" w:eastAsia="宋体"/>
                <w:sz w:val="21"/>
              </w:rPr>
              <w:t>年底完成省内跨省统筹区家庭账户共济业务。</w:t>
            </w:r>
          </w:p>
          <w:p>
            <w:pPr>
              <w:pStyle w:val="null3"/>
              <w:ind w:firstLine="420"/>
              <w:jc w:val="both"/>
            </w:pPr>
            <w:r>
              <w:rPr>
                <w:rFonts w:ascii="宋体" w:hAnsi="宋体" w:cs="宋体" w:eastAsia="宋体"/>
                <w:sz w:val="21"/>
              </w:rPr>
              <w:t>截至目前，陕西省省内跨统筹区家庭账户共济仍然存在以下问题：</w:t>
            </w:r>
          </w:p>
          <w:p>
            <w:pPr>
              <w:pStyle w:val="null3"/>
              <w:ind w:firstLine="422"/>
              <w:jc w:val="both"/>
            </w:pPr>
            <w:r>
              <w:rPr>
                <w:rFonts w:ascii="&quot;times new roman&quot;" w:hAnsi="&quot;times new roman&quot;" w:cs="&quot;times new roman&quot;" w:eastAsia="&quot;times new roman&quot;"/>
                <w:sz w:val="21"/>
                <w:b/>
              </w:rPr>
              <w:t>1.</w:t>
            </w:r>
            <w:r>
              <w:rPr>
                <w:rFonts w:ascii="宋体" w:hAnsi="宋体" w:cs="宋体" w:eastAsia="宋体"/>
                <w:sz w:val="21"/>
                <w:b/>
              </w:rPr>
              <w:t>共济绑定范围有限：</w:t>
            </w:r>
            <w:r>
              <w:rPr>
                <w:rFonts w:ascii="宋体" w:hAnsi="宋体" w:cs="宋体" w:eastAsia="宋体"/>
                <w:sz w:val="21"/>
              </w:rPr>
              <w:t>目前，由于各地经济发展水平、医疗保障体系完善程度以及政策制定和执行力度等方面的差异，职工医保个人账户家庭共济只支持家庭成员在同一统筹区内参保，方可进行绑定，如家庭成员分属两个统筹区则不允许绑定。</w:t>
            </w:r>
          </w:p>
          <w:p>
            <w:pPr>
              <w:pStyle w:val="null3"/>
              <w:ind w:firstLine="422"/>
              <w:jc w:val="both"/>
            </w:pPr>
            <w:r>
              <w:rPr>
                <w:rFonts w:ascii="&quot;times new roman&quot;" w:hAnsi="&quot;times new roman&quot;" w:cs="&quot;times new roman&quot;" w:eastAsia="&quot;times new roman&quot;"/>
                <w:sz w:val="21"/>
                <w:b/>
              </w:rPr>
              <w:t>2.</w:t>
            </w:r>
            <w:r>
              <w:rPr>
                <w:rFonts w:ascii="宋体" w:hAnsi="宋体" w:cs="宋体" w:eastAsia="宋体"/>
                <w:sz w:val="21"/>
                <w:b/>
              </w:rPr>
              <w:t>查询方式不够便捷：</w:t>
            </w:r>
            <w:r>
              <w:rPr>
                <w:rFonts w:ascii="宋体" w:hAnsi="宋体" w:cs="宋体" w:eastAsia="宋体"/>
                <w:sz w:val="21"/>
              </w:rPr>
              <w:t>目前全省仅支持本统筹区内家庭账户共济绑定及绑定后的医保结算，由于缺乏相关的查询工具，故授权人无法第一时间查询到是谁在哪里进行了医保结算，对医保账户资金的减少存在顾虑，无法及时识别到盗刷情况。</w:t>
            </w:r>
          </w:p>
          <w:p>
            <w:pPr>
              <w:pStyle w:val="null3"/>
              <w:ind w:firstLine="422"/>
              <w:jc w:val="both"/>
            </w:pPr>
            <w:r>
              <w:rPr>
                <w:rFonts w:ascii="&quot;times new roman&quot;" w:hAnsi="&quot;times new roman&quot;" w:cs="&quot;times new roman&quot;" w:eastAsia="&quot;times new roman&quot;"/>
                <w:sz w:val="21"/>
                <w:b/>
              </w:rPr>
              <w:t>3.</w:t>
            </w:r>
            <w:r>
              <w:rPr>
                <w:rFonts w:ascii="宋体" w:hAnsi="宋体" w:cs="宋体" w:eastAsia="宋体"/>
                <w:sz w:val="21"/>
                <w:b/>
              </w:rPr>
              <w:t>各统筹区之间资金清算壁垒：</w:t>
            </w:r>
            <w:r>
              <w:rPr>
                <w:rFonts w:ascii="宋体" w:hAnsi="宋体" w:cs="宋体" w:eastAsia="宋体"/>
                <w:sz w:val="21"/>
              </w:rPr>
              <w:t>目前陕西省未实现医保省级统筹，各统筹区基金单独核算，缺乏整体联通和部署，无法支撑地市级账户共济资金往来清算业务。</w:t>
            </w:r>
          </w:p>
          <w:p>
            <w:pPr>
              <w:pStyle w:val="null3"/>
              <w:ind w:firstLine="422"/>
              <w:jc w:val="both"/>
            </w:pPr>
            <w:r>
              <w:rPr>
                <w:rFonts w:ascii="&quot;times new roman&quot;" w:hAnsi="&quot;times new roman&quot;" w:cs="&quot;times new roman&quot;" w:eastAsia="&quot;times new roman&quot;"/>
                <w:sz w:val="21"/>
                <w:b/>
              </w:rPr>
              <w:t>4.</w:t>
            </w:r>
            <w:r>
              <w:rPr>
                <w:rFonts w:ascii="宋体" w:hAnsi="宋体" w:cs="宋体" w:eastAsia="宋体"/>
                <w:sz w:val="21"/>
                <w:b/>
              </w:rPr>
              <w:t>线下窗口工作量大，效率低：</w:t>
            </w:r>
            <w:r>
              <w:rPr>
                <w:rFonts w:ascii="宋体" w:hAnsi="宋体" w:cs="宋体" w:eastAsia="宋体"/>
                <w:sz w:val="21"/>
              </w:rPr>
              <w:t>当前省内职工医保个人账户家庭共济绑定需要参保人需要前往当地医保服务中心或指定的医保服务窗口，按照规定的流程提交身份证明、参保人和被共济人的医保卡原件及复印件、户口本、结婚证等相关材料，并接受审核，由工作人员协助办理相关手续。这种业务办理方式对各级医保部门的线下服务窗口造成很大压力，同时参保人也要携带大量的证明材料，业务办理效率低、工作量大。</w:t>
            </w:r>
          </w:p>
          <w:p>
            <w:pPr>
              <w:pStyle w:val="null3"/>
              <w:ind w:firstLine="422"/>
              <w:jc w:val="both"/>
            </w:pPr>
            <w:r>
              <w:rPr>
                <w:rFonts w:ascii="&quot;times new roman&quot;" w:hAnsi="&quot;times new roman&quot;" w:cs="&quot;times new roman&quot;" w:eastAsia="&quot;times new roman&quot;"/>
                <w:sz w:val="21"/>
                <w:b/>
              </w:rPr>
              <w:t>5.</w:t>
            </w:r>
            <w:r>
              <w:rPr>
                <w:rFonts w:ascii="宋体" w:hAnsi="宋体" w:cs="宋体" w:eastAsia="宋体"/>
                <w:sz w:val="21"/>
                <w:b/>
              </w:rPr>
              <w:t>政策宣传不到位：</w:t>
            </w:r>
            <w:r>
              <w:rPr>
                <w:rFonts w:ascii="宋体" w:hAnsi="宋体" w:cs="宋体" w:eastAsia="宋体"/>
                <w:sz w:val="21"/>
              </w:rPr>
              <w:t>目前，省内部分地区的医保部门在宣传异地账户家庭共济政策时，可能仅通过官方网站、微信公众号等线上渠道发布信息，宣传内容过于简洁或专业术语较多，导致民众对政策的理解不够深入，不清楚如何具体操作和享受政策优惠。同时，忽视了线下宣传的重要性，导致信息覆盖面不够广泛，许多老年人和偏远地区的居民无法及时获取相关信息，进一步降低了异地家庭账户共济政策的知晓率和满意度。</w:t>
            </w:r>
          </w:p>
          <w:p>
            <w:pPr>
              <w:pStyle w:val="null3"/>
              <w:ind w:left="420"/>
              <w:jc w:val="both"/>
            </w:pPr>
            <w:r>
              <w:rPr>
                <w:rFonts w:ascii="宋体" w:hAnsi="宋体" w:cs="宋体" w:eastAsia="宋体"/>
                <w:sz w:val="21"/>
                <w:b/>
              </w:rPr>
              <w:t>1.4.2</w:t>
            </w:r>
            <w:r>
              <w:rPr>
                <w:rFonts w:ascii="黑体" w:hAnsi="黑体" w:cs="黑体" w:eastAsia="黑体"/>
                <w:sz w:val="21"/>
                <w:b/>
              </w:rPr>
              <w:t>解决方式</w:t>
            </w:r>
          </w:p>
          <w:p>
            <w:pPr>
              <w:pStyle w:val="null3"/>
              <w:ind w:firstLine="420"/>
              <w:jc w:val="both"/>
            </w:pPr>
            <w:r>
              <w:rPr>
                <w:rFonts w:ascii="宋体" w:hAnsi="宋体" w:cs="宋体" w:eastAsia="宋体"/>
                <w:sz w:val="21"/>
              </w:rPr>
              <w:t>综上所述，本项目需要在基于国家、陕西省的相关政策指导下，结合省医疗保障信息平台现有框架和现有资源，实现职工医保个人账户家庭共济需在全省跨统筹区</w:t>
            </w:r>
            <w:r>
              <w:rPr>
                <w:rFonts w:ascii="宋体" w:hAnsi="宋体" w:cs="宋体" w:eastAsia="宋体"/>
                <w:sz w:val="21"/>
              </w:rPr>
              <w:t>及</w:t>
            </w:r>
            <w:r>
              <w:rPr>
                <w:rFonts w:ascii="宋体" w:hAnsi="宋体" w:cs="宋体" w:eastAsia="宋体"/>
                <w:sz w:val="21"/>
              </w:rPr>
              <w:t>跨省</w:t>
            </w:r>
            <w:r>
              <w:rPr>
                <w:rFonts w:ascii="宋体" w:hAnsi="宋体" w:cs="宋体" w:eastAsia="宋体"/>
                <w:sz w:val="21"/>
              </w:rPr>
              <w:t>的推广和实施。陕西省各政府部门、医保部门、经办机构等应进一步加强政策制定和执行力度，推动实现省内跨统筹区个人账户家庭共济关系的绑定及结算，并通过本项目的运营服务，实现个人账户家庭共济异地</w:t>
            </w:r>
            <w:r>
              <w:rPr>
                <w:rFonts w:ascii="宋体" w:hAnsi="宋体" w:cs="宋体" w:eastAsia="宋体"/>
                <w:sz w:val="21"/>
              </w:rPr>
              <w:t>“即时享”，确保家庭共济资金的合理使用和医保基金的安全运行。同时，还应加强宣传和教育工作，提高公众对家庭共济政策的认知度和参与度，共同推动医疗保障事业的健康发展。</w:t>
            </w:r>
          </w:p>
          <w:p>
            <w:pPr>
              <w:pStyle w:val="null3"/>
              <w:jc w:val="both"/>
            </w:pPr>
            <w:r>
              <w:rPr>
                <w:rFonts w:ascii="宋体" w:hAnsi="宋体" w:cs="宋体" w:eastAsia="宋体"/>
                <w:sz w:val="21"/>
                <w:b/>
              </w:rPr>
              <w:t>1.5</w:t>
            </w:r>
            <w:r>
              <w:rPr>
                <w:rFonts w:ascii="黑体" w:hAnsi="黑体" w:cs="黑体" w:eastAsia="黑体"/>
                <w:sz w:val="21"/>
                <w:b/>
              </w:rPr>
              <w:t>业务需求分析</w:t>
            </w:r>
          </w:p>
          <w:p>
            <w:pPr>
              <w:pStyle w:val="null3"/>
              <w:ind w:firstLine="420"/>
              <w:jc w:val="both"/>
            </w:pPr>
            <w:r>
              <w:rPr>
                <w:rFonts w:ascii="宋体" w:hAnsi="宋体" w:cs="宋体" w:eastAsia="宋体"/>
                <w:sz w:val="21"/>
              </w:rPr>
              <w:t>基于【</w:t>
            </w:r>
            <w:r>
              <w:rPr>
                <w:rFonts w:ascii="&quot;times new roman&quot;" w:hAnsi="&quot;times new roman&quot;" w:cs="&quot;times new roman&quot;" w:eastAsia="&quot;times new roman&quot;"/>
                <w:sz w:val="21"/>
              </w:rPr>
              <w:t>1.2</w:t>
            </w:r>
            <w:r>
              <w:rPr>
                <w:rFonts w:ascii="宋体" w:hAnsi="宋体" w:cs="宋体" w:eastAsia="宋体"/>
                <w:sz w:val="21"/>
              </w:rPr>
              <w:t>业务现状】章节对陕西省职工医保个人账户家庭共济业务现状分析，结合【</w:t>
            </w:r>
            <w:r>
              <w:rPr>
                <w:rFonts w:ascii="&quot;times new roman&quot;" w:hAnsi="&quot;times new roman&quot;" w:cs="&quot;times new roman&quot;" w:eastAsia="&quot;times new roman&quot;"/>
                <w:sz w:val="21"/>
              </w:rPr>
              <w:t>1.3</w:t>
            </w:r>
            <w:r>
              <w:rPr>
                <w:rFonts w:ascii="宋体" w:hAnsi="宋体" w:cs="宋体" w:eastAsia="宋体"/>
                <w:sz w:val="21"/>
              </w:rPr>
              <w:t>现状的差距分析】，开展本项目业务需求分析。</w:t>
            </w:r>
          </w:p>
          <w:p>
            <w:pPr>
              <w:pStyle w:val="null3"/>
              <w:ind w:firstLine="420"/>
              <w:jc w:val="both"/>
            </w:pPr>
            <w:r>
              <w:rPr>
                <w:rFonts w:ascii="宋体" w:hAnsi="宋体" w:cs="宋体" w:eastAsia="宋体"/>
                <w:sz w:val="21"/>
              </w:rPr>
              <w:t>围绕陕西省省内跨统筹区职工基本医疗保险个人账户家庭共济服务主要业务，通过平台运营服务、培训服务和信息咨询服务，解决目前工作的差距、堵点、痛点。其业务需求主要包括如下内容：</w:t>
            </w:r>
          </w:p>
          <w:p>
            <w:pPr>
              <w:pStyle w:val="null3"/>
              <w:ind w:left="420"/>
              <w:jc w:val="both"/>
            </w:pPr>
            <w:r>
              <w:rPr>
                <w:rFonts w:ascii="宋体" w:hAnsi="宋体" w:cs="宋体" w:eastAsia="宋体"/>
                <w:sz w:val="21"/>
                <w:b/>
              </w:rPr>
              <w:t>1.5.1</w:t>
            </w:r>
            <w:r>
              <w:rPr>
                <w:rFonts w:ascii="黑体" w:hAnsi="黑体" w:cs="黑体" w:eastAsia="黑体"/>
                <w:sz w:val="21"/>
                <w:b/>
              </w:rPr>
              <w:t>平台运营服务需求</w:t>
            </w:r>
          </w:p>
          <w:p>
            <w:pPr>
              <w:pStyle w:val="null3"/>
              <w:ind w:firstLine="420"/>
              <w:jc w:val="both"/>
            </w:pPr>
            <w:r>
              <w:rPr>
                <w:rFonts w:ascii="宋体" w:hAnsi="宋体" w:cs="宋体" w:eastAsia="宋体"/>
                <w:sz w:val="21"/>
              </w:rPr>
              <w:t>需提供平台运营服务，包括工具平台部署服务、数据共享交互服务、数据处理服务、日常运营服务和相关应用升级扩展服务，进一步明确异地账户共济的政策目标和实施路径，确保政策的有效落地和执行。同时，探索将异地家庭账户共济服务的范围进一步扩大至全省范围内，打破原有医保统筹区的地域限制，让更多家庭享受到医保个人账户带来的便利和保障，共同推动全省异地家庭账户共济业务的建设和发展。</w:t>
            </w:r>
          </w:p>
          <w:p>
            <w:pPr>
              <w:pStyle w:val="null3"/>
              <w:ind w:left="420"/>
              <w:jc w:val="both"/>
            </w:pPr>
            <w:r>
              <w:rPr>
                <w:rFonts w:ascii="宋体" w:hAnsi="宋体" w:cs="宋体" w:eastAsia="宋体"/>
                <w:sz w:val="21"/>
                <w:b/>
              </w:rPr>
              <w:t>1.5.2</w:t>
            </w:r>
            <w:r>
              <w:rPr>
                <w:rFonts w:ascii="黑体" w:hAnsi="黑体" w:cs="黑体" w:eastAsia="黑体"/>
                <w:sz w:val="21"/>
                <w:b/>
              </w:rPr>
              <w:t>培训服务需求</w:t>
            </w:r>
          </w:p>
          <w:p>
            <w:pPr>
              <w:pStyle w:val="null3"/>
              <w:ind w:firstLine="420"/>
              <w:jc w:val="both"/>
            </w:pPr>
            <w:r>
              <w:rPr>
                <w:rFonts w:ascii="宋体" w:hAnsi="宋体" w:cs="宋体" w:eastAsia="宋体"/>
                <w:sz w:val="21"/>
              </w:rPr>
              <w:t>需提供专业的、配套的培训服务，对省医保局及各级医保部门的管理人员、业务经办人员等进行培训，使其全面了解和掌握省内跨统筹区职工基本医疗保险个人账户家庭共济的政策背景、目的意义、操作流程及注意事项，提高办事效率，减少线下工作量。</w:t>
            </w:r>
          </w:p>
          <w:p>
            <w:pPr>
              <w:pStyle w:val="null3"/>
              <w:ind w:left="420"/>
              <w:jc w:val="both"/>
            </w:pPr>
            <w:r>
              <w:rPr>
                <w:rFonts w:ascii="宋体" w:hAnsi="宋体" w:cs="宋体" w:eastAsia="宋体"/>
                <w:sz w:val="21"/>
                <w:b/>
              </w:rPr>
              <w:t>1.5.3</w:t>
            </w:r>
            <w:r>
              <w:rPr>
                <w:rFonts w:ascii="黑体" w:hAnsi="黑体" w:cs="黑体" w:eastAsia="黑体"/>
                <w:sz w:val="21"/>
                <w:b/>
              </w:rPr>
              <w:t>信息咨询需求</w:t>
            </w:r>
          </w:p>
          <w:p>
            <w:pPr>
              <w:pStyle w:val="null3"/>
              <w:ind w:firstLine="420"/>
              <w:jc w:val="both"/>
            </w:pPr>
            <w:r>
              <w:rPr>
                <w:rFonts w:ascii="宋体" w:hAnsi="宋体" w:cs="宋体" w:eastAsia="宋体"/>
                <w:sz w:val="21"/>
              </w:rPr>
              <w:t>需提供信息咨询服务，帮助解读省内跨统筹区职工医保个人家庭账户共济的政策解读、操作流程指导和疑难问题的解答，确保家庭共济账户资金的省内跨地区使用。</w:t>
            </w:r>
          </w:p>
          <w:p>
            <w:pPr>
              <w:pStyle w:val="null3"/>
              <w:ind w:left="420"/>
              <w:jc w:val="both"/>
            </w:pPr>
            <w:r>
              <w:rPr>
                <w:rFonts w:ascii="宋体" w:hAnsi="宋体" w:cs="宋体" w:eastAsia="宋体"/>
                <w:sz w:val="21"/>
                <w:b/>
              </w:rPr>
              <w:t>1.5.4</w:t>
            </w:r>
            <w:r>
              <w:rPr>
                <w:rFonts w:ascii="黑体" w:hAnsi="黑体" w:cs="黑体" w:eastAsia="黑体"/>
                <w:sz w:val="21"/>
                <w:b/>
              </w:rPr>
              <w:t>支撑工具软件要求</w:t>
            </w:r>
          </w:p>
          <w:p>
            <w:pPr>
              <w:pStyle w:val="null3"/>
              <w:ind w:left="210" w:firstLine="210"/>
              <w:jc w:val="both"/>
            </w:pPr>
            <w:r>
              <w:rPr>
                <w:rFonts w:ascii="宋体" w:hAnsi="宋体" w:cs="宋体" w:eastAsia="宋体"/>
                <w:sz w:val="21"/>
              </w:rPr>
              <w:t>基于上述平台运营服务内容，需配备相应功能和性能能力的支撑软件工具（该工具为本项目运营服务商自研产品），以支撑省内异地家庭共济关系绑定服务、关系查询服务、省市级共济资金清算服务，资金划拨服务、使用记录查询等服务的正常运行。</w:t>
            </w:r>
          </w:p>
          <w:p>
            <w:pPr>
              <w:pStyle w:val="null3"/>
              <w:ind w:left="420"/>
              <w:jc w:val="both"/>
            </w:pPr>
            <w:r>
              <w:rPr>
                <w:rFonts w:ascii="黑体" w:hAnsi="黑体" w:cs="黑体" w:eastAsia="黑体"/>
                <w:sz w:val="21"/>
                <w:b/>
              </w:rPr>
              <w:t>1.5.4.1支撑工具软件功能要求</w:t>
            </w:r>
          </w:p>
          <w:p>
            <w:pPr>
              <w:pStyle w:val="null3"/>
              <w:jc w:val="both"/>
            </w:pPr>
            <w:r>
              <w:rPr>
                <w:rFonts w:ascii="宋体" w:hAnsi="宋体" w:cs="宋体" w:eastAsia="宋体"/>
                <w:sz w:val="21"/>
                <w:b/>
              </w:rPr>
              <w:t>1.5.4.1.1</w:t>
            </w:r>
            <w:r>
              <w:rPr>
                <w:rFonts w:ascii="宋体" w:hAnsi="宋体" w:cs="宋体" w:eastAsia="宋体"/>
                <w:sz w:val="21"/>
                <w:b/>
              </w:rPr>
              <w:t>备案管理</w:t>
            </w:r>
          </w:p>
          <w:p>
            <w:pPr>
              <w:pStyle w:val="null3"/>
              <w:jc w:val="both"/>
            </w:pPr>
            <w:r>
              <w:rPr>
                <w:rFonts w:ascii="宋体" w:hAnsi="宋体" w:cs="宋体" w:eastAsia="宋体"/>
                <w:sz w:val="21"/>
                <w:b/>
              </w:rPr>
              <w:t>1.5.4.1.1.1</w:t>
            </w:r>
            <w:r>
              <w:rPr>
                <w:rFonts w:ascii="宋体" w:hAnsi="宋体" w:cs="宋体" w:eastAsia="宋体"/>
                <w:sz w:val="21"/>
                <w:b/>
              </w:rPr>
              <w:t>账户共济授权备案</w:t>
            </w:r>
          </w:p>
          <w:p>
            <w:pPr>
              <w:pStyle w:val="null3"/>
              <w:ind w:firstLine="420"/>
              <w:jc w:val="both"/>
            </w:pPr>
            <w:r>
              <w:rPr>
                <w:rFonts w:ascii="宋体" w:hAnsi="宋体" w:cs="宋体" w:eastAsia="宋体"/>
                <w:sz w:val="21"/>
              </w:rPr>
              <w:t>提供账户共济授权备案服务，支持参保职工在参保所属经办机构办理账户共济授权业务，将个人账户金额共济给其直系亲属使用。授权人与使用人分属不同地市，则系统将自动将相关个人账户基金的支付信息按约定的方式推送至异地就医系统，来实现跨地市的准确结算。同时，对原公服系统的相关接口同步提供升级改造服务。</w:t>
            </w:r>
          </w:p>
          <w:p>
            <w:pPr>
              <w:pStyle w:val="null3"/>
              <w:jc w:val="both"/>
            </w:pPr>
            <w:r>
              <w:rPr>
                <w:rFonts w:ascii="宋体" w:hAnsi="宋体" w:cs="宋体" w:eastAsia="宋体"/>
                <w:sz w:val="21"/>
                <w:b/>
              </w:rPr>
              <w:t>1.5.4.1.1.2</w:t>
            </w:r>
            <w:r>
              <w:rPr>
                <w:rFonts w:ascii="宋体" w:hAnsi="宋体" w:cs="宋体" w:eastAsia="宋体"/>
                <w:sz w:val="21"/>
                <w:b/>
              </w:rPr>
              <w:t>账户共济支出顺序调整</w:t>
            </w:r>
          </w:p>
          <w:p>
            <w:pPr>
              <w:pStyle w:val="null3"/>
              <w:ind w:firstLine="420"/>
              <w:jc w:val="both"/>
            </w:pPr>
            <w:r>
              <w:rPr>
                <w:rFonts w:ascii="宋体" w:hAnsi="宋体" w:cs="宋体" w:eastAsia="宋体"/>
                <w:sz w:val="21"/>
              </w:rPr>
              <w:t>提供对共济账户支出顺序的调整服务，个人账户使用人可在其参保所属经办机构办理账户共济支出顺序调整业务，更改其绑定的多个授权人个人账户的共济使用优先级顺序。提供对账户共济支出顺序调整和账户共济授权备案审核功能的升级服务，包含支持全省</w:t>
            </w:r>
            <w:r>
              <w:rPr>
                <w:rFonts w:ascii="宋体" w:hAnsi="宋体" w:cs="宋体" w:eastAsia="宋体"/>
                <w:sz w:val="21"/>
              </w:rPr>
              <w:t>“使用人”的信息调整、审核、撤销等服务。</w:t>
            </w:r>
          </w:p>
          <w:p>
            <w:pPr>
              <w:pStyle w:val="null3"/>
              <w:jc w:val="both"/>
            </w:pPr>
            <w:r>
              <w:rPr>
                <w:rFonts w:ascii="宋体" w:hAnsi="宋体" w:cs="宋体" w:eastAsia="宋体"/>
                <w:sz w:val="21"/>
                <w:b/>
              </w:rPr>
              <w:t>1.5.4.1.2</w:t>
            </w:r>
            <w:r>
              <w:rPr>
                <w:rFonts w:ascii="宋体" w:hAnsi="宋体" w:cs="宋体" w:eastAsia="宋体"/>
                <w:sz w:val="21"/>
                <w:b/>
              </w:rPr>
              <w:t>受理管理</w:t>
            </w:r>
          </w:p>
          <w:p>
            <w:pPr>
              <w:pStyle w:val="null3"/>
              <w:jc w:val="both"/>
            </w:pPr>
            <w:r>
              <w:rPr>
                <w:rFonts w:ascii="宋体" w:hAnsi="宋体" w:cs="宋体" w:eastAsia="宋体"/>
                <w:sz w:val="21"/>
                <w:b/>
              </w:rPr>
              <w:t>1.5.4.1.2.1</w:t>
            </w:r>
            <w:r>
              <w:rPr>
                <w:rFonts w:ascii="宋体" w:hAnsi="宋体" w:cs="宋体" w:eastAsia="宋体"/>
                <w:sz w:val="21"/>
                <w:b/>
              </w:rPr>
              <w:t>异地个账共济受理</w:t>
            </w:r>
          </w:p>
          <w:p>
            <w:pPr>
              <w:pStyle w:val="null3"/>
              <w:ind w:firstLine="420"/>
              <w:jc w:val="both"/>
            </w:pPr>
            <w:r>
              <w:rPr>
                <w:rFonts w:ascii="宋体" w:hAnsi="宋体" w:cs="宋体" w:eastAsia="宋体"/>
                <w:sz w:val="21"/>
              </w:rPr>
              <w:t>支持对于接收后的异地个人账户共济数据进行受理服务，该服务支持全选或者部分选择需要受理的数据，并支持明细信息查询。同时包含查询信息服务和数据导出服务，为财务人员进行受理提供有力数据支撑。</w:t>
            </w:r>
          </w:p>
          <w:p>
            <w:pPr>
              <w:pStyle w:val="null3"/>
              <w:jc w:val="both"/>
            </w:pPr>
            <w:r>
              <w:rPr>
                <w:rFonts w:ascii="宋体" w:hAnsi="宋体" w:cs="宋体" w:eastAsia="宋体"/>
                <w:sz w:val="21"/>
                <w:b/>
              </w:rPr>
              <w:t>1.5.4.1.2.2</w:t>
            </w:r>
            <w:r>
              <w:rPr>
                <w:rFonts w:ascii="宋体" w:hAnsi="宋体" w:cs="宋体" w:eastAsia="宋体"/>
                <w:sz w:val="21"/>
                <w:b/>
              </w:rPr>
              <w:t>异地个账下拨及两定机构数据受理</w:t>
            </w:r>
          </w:p>
          <w:p>
            <w:pPr>
              <w:pStyle w:val="null3"/>
              <w:ind w:firstLine="420"/>
              <w:jc w:val="both"/>
            </w:pPr>
            <w:r>
              <w:rPr>
                <w:rFonts w:ascii="宋体" w:hAnsi="宋体" w:cs="宋体" w:eastAsia="宋体"/>
                <w:sz w:val="21"/>
              </w:rPr>
              <w:t>支持对于接收后的异地个账下拨及两定机构支付数据进行受理服务，该服务可以全选或者部分选择需要受理的数据，并支持明细信息查询。为了向财务人员进行受理提供数据支撑，同时提供查询信息服务和数据导出服务。</w:t>
            </w:r>
          </w:p>
          <w:p>
            <w:pPr>
              <w:pStyle w:val="null3"/>
              <w:jc w:val="both"/>
            </w:pPr>
            <w:r>
              <w:rPr>
                <w:rFonts w:ascii="宋体" w:hAnsi="宋体" w:cs="宋体" w:eastAsia="宋体"/>
                <w:sz w:val="21"/>
                <w:b/>
              </w:rPr>
              <w:t>1.5.4.1.3</w:t>
            </w:r>
            <w:r>
              <w:rPr>
                <w:rFonts w:ascii="宋体" w:hAnsi="宋体" w:cs="宋体" w:eastAsia="宋体"/>
                <w:sz w:val="21"/>
                <w:b/>
              </w:rPr>
              <w:t>资金上解下拨管理</w:t>
            </w:r>
          </w:p>
          <w:p>
            <w:pPr>
              <w:pStyle w:val="null3"/>
              <w:jc w:val="both"/>
            </w:pPr>
            <w:r>
              <w:rPr>
                <w:rFonts w:ascii="宋体" w:hAnsi="宋体" w:cs="宋体" w:eastAsia="宋体"/>
                <w:sz w:val="21"/>
                <w:b/>
              </w:rPr>
              <w:t>1.5.4.1.3.1</w:t>
            </w:r>
            <w:r>
              <w:rPr>
                <w:rFonts w:ascii="宋体" w:hAnsi="宋体" w:cs="宋体" w:eastAsia="宋体"/>
                <w:sz w:val="21"/>
                <w:b/>
              </w:rPr>
              <w:t>账户共济清算</w:t>
            </w:r>
          </w:p>
          <w:p>
            <w:pPr>
              <w:pStyle w:val="null3"/>
              <w:ind w:firstLine="420"/>
              <w:jc w:val="both"/>
            </w:pPr>
            <w:r>
              <w:rPr>
                <w:rFonts w:ascii="宋体" w:hAnsi="宋体" w:cs="宋体" w:eastAsia="宋体"/>
                <w:sz w:val="21"/>
              </w:rPr>
              <w:t>账户共济清算服务，支持按月对本统筹区参保职工个人账户资金用于支付配偶、父母、子女在定点医疗机构发生的由个人负担的医疗费用进行省级清算，通过算法计算得出各统筹区异地家庭账户共济应收应付金额，并生成相应的支付数据。</w:t>
            </w:r>
          </w:p>
          <w:p>
            <w:pPr>
              <w:pStyle w:val="null3"/>
              <w:jc w:val="both"/>
            </w:pPr>
            <w:r>
              <w:rPr>
                <w:rFonts w:ascii="宋体" w:hAnsi="宋体" w:cs="宋体" w:eastAsia="宋体"/>
                <w:sz w:val="21"/>
                <w:b/>
              </w:rPr>
              <w:t>1.5.4.1.3.2</w:t>
            </w:r>
            <w:r>
              <w:rPr>
                <w:rFonts w:ascii="宋体" w:hAnsi="宋体" w:cs="宋体" w:eastAsia="宋体"/>
                <w:sz w:val="21"/>
                <w:b/>
              </w:rPr>
              <w:t>账户共济上解审核</w:t>
            </w:r>
          </w:p>
          <w:p>
            <w:pPr>
              <w:pStyle w:val="null3"/>
              <w:ind w:firstLine="420"/>
              <w:jc w:val="both"/>
            </w:pPr>
            <w:r>
              <w:rPr>
                <w:rFonts w:ascii="宋体" w:hAnsi="宋体" w:cs="宋体" w:eastAsia="宋体"/>
                <w:sz w:val="21"/>
              </w:rPr>
              <w:t>针对账户共济上解的审核服务，统筹区经办人员对本地市异地账户共济费用进行上解审核。</w:t>
            </w:r>
          </w:p>
          <w:p>
            <w:pPr>
              <w:pStyle w:val="null3"/>
              <w:jc w:val="both"/>
            </w:pPr>
            <w:r>
              <w:rPr>
                <w:rFonts w:ascii="宋体" w:hAnsi="宋体" w:cs="宋体" w:eastAsia="宋体"/>
                <w:sz w:val="21"/>
                <w:b/>
              </w:rPr>
              <w:t>1.5.4.1.3.3</w:t>
            </w:r>
            <w:r>
              <w:rPr>
                <w:rFonts w:ascii="宋体" w:hAnsi="宋体" w:cs="宋体" w:eastAsia="宋体"/>
                <w:sz w:val="21"/>
                <w:b/>
              </w:rPr>
              <w:t>账户共济上解复核</w:t>
            </w:r>
          </w:p>
          <w:p>
            <w:pPr>
              <w:pStyle w:val="null3"/>
              <w:ind w:firstLine="420"/>
              <w:jc w:val="both"/>
            </w:pPr>
            <w:r>
              <w:rPr>
                <w:rFonts w:ascii="宋体" w:hAnsi="宋体" w:cs="宋体" w:eastAsia="宋体"/>
                <w:sz w:val="21"/>
              </w:rPr>
              <w:t>针对账户共济上解的复核服务，统筹区复核岗经办人员对本地市异地账户共济费用进行上解审核。</w:t>
            </w:r>
          </w:p>
          <w:p>
            <w:pPr>
              <w:pStyle w:val="null3"/>
              <w:jc w:val="both"/>
            </w:pPr>
            <w:r>
              <w:rPr>
                <w:rFonts w:ascii="宋体" w:hAnsi="宋体" w:cs="宋体" w:eastAsia="宋体"/>
                <w:sz w:val="21"/>
                <w:b/>
              </w:rPr>
              <w:t>1.5.4.1.3.4</w:t>
            </w:r>
            <w:r>
              <w:rPr>
                <w:rFonts w:ascii="宋体" w:hAnsi="宋体" w:cs="宋体" w:eastAsia="宋体"/>
                <w:sz w:val="21"/>
                <w:b/>
              </w:rPr>
              <w:t>账户共济上解审查</w:t>
            </w:r>
          </w:p>
          <w:p>
            <w:pPr>
              <w:pStyle w:val="null3"/>
              <w:ind w:firstLine="420"/>
              <w:jc w:val="both"/>
            </w:pPr>
            <w:r>
              <w:rPr>
                <w:rFonts w:ascii="宋体" w:hAnsi="宋体" w:cs="宋体" w:eastAsia="宋体"/>
                <w:sz w:val="21"/>
              </w:rPr>
              <w:t>针对账户共济上解的审查服务，统筹区经办领导对本地市异地账户共济费用进行上解审核。</w:t>
            </w:r>
          </w:p>
          <w:p>
            <w:pPr>
              <w:pStyle w:val="null3"/>
              <w:jc w:val="both"/>
            </w:pPr>
            <w:r>
              <w:rPr>
                <w:rFonts w:ascii="宋体" w:hAnsi="宋体" w:cs="宋体" w:eastAsia="宋体"/>
                <w:sz w:val="21"/>
                <w:b/>
              </w:rPr>
              <w:t>1.5.4.1.3.5</w:t>
            </w:r>
            <w:r>
              <w:rPr>
                <w:rFonts w:ascii="宋体" w:hAnsi="宋体" w:cs="宋体" w:eastAsia="宋体"/>
                <w:sz w:val="21"/>
                <w:b/>
              </w:rPr>
              <w:t>账户共济省级费用下拨管理</w:t>
            </w:r>
          </w:p>
          <w:p>
            <w:pPr>
              <w:pStyle w:val="null3"/>
              <w:ind w:firstLine="420"/>
              <w:jc w:val="both"/>
            </w:pPr>
            <w:r>
              <w:rPr>
                <w:rFonts w:ascii="宋体" w:hAnsi="宋体" w:cs="宋体" w:eastAsia="宋体"/>
                <w:sz w:val="21"/>
              </w:rPr>
              <w:t>针对账户共济升级费用下拨的管理服务，省级经办人员对各统筹区异地账户共济费用进行确认，无误后进行资金下拨。</w:t>
            </w:r>
          </w:p>
          <w:p>
            <w:pPr>
              <w:pStyle w:val="null3"/>
              <w:jc w:val="both"/>
            </w:pPr>
            <w:r>
              <w:rPr>
                <w:rFonts w:ascii="宋体" w:hAnsi="宋体" w:cs="宋体" w:eastAsia="宋体"/>
                <w:sz w:val="21"/>
                <w:b/>
              </w:rPr>
              <w:t>1.5.4.1.4</w:t>
            </w:r>
            <w:r>
              <w:rPr>
                <w:rFonts w:ascii="宋体" w:hAnsi="宋体" w:cs="宋体" w:eastAsia="宋体"/>
                <w:sz w:val="21"/>
                <w:b/>
              </w:rPr>
              <w:t>财务数据管理</w:t>
            </w:r>
          </w:p>
          <w:p>
            <w:pPr>
              <w:pStyle w:val="null3"/>
              <w:jc w:val="both"/>
            </w:pPr>
            <w:r>
              <w:rPr>
                <w:rFonts w:ascii="宋体" w:hAnsi="宋体" w:cs="宋体" w:eastAsia="宋体"/>
                <w:sz w:val="21"/>
                <w:b/>
              </w:rPr>
              <w:t>1.5.4.1.4.1</w:t>
            </w:r>
            <w:r>
              <w:rPr>
                <w:rFonts w:ascii="宋体" w:hAnsi="宋体" w:cs="宋体" w:eastAsia="宋体"/>
                <w:sz w:val="21"/>
                <w:b/>
              </w:rPr>
              <w:t>账户共济财务数据审核不通过维护</w:t>
            </w:r>
          </w:p>
          <w:p>
            <w:pPr>
              <w:pStyle w:val="null3"/>
              <w:ind w:firstLine="420"/>
              <w:jc w:val="both"/>
            </w:pPr>
            <w:r>
              <w:rPr>
                <w:rFonts w:ascii="宋体" w:hAnsi="宋体" w:cs="宋体" w:eastAsia="宋体"/>
                <w:sz w:val="21"/>
              </w:rPr>
              <w:t>针对省市级经办人员对财务审核不通过的数据进行的二次维护提供服务，支持根据不通过原因进行处理，再次推送至财务系统。</w:t>
            </w:r>
          </w:p>
          <w:p>
            <w:pPr>
              <w:pStyle w:val="null3"/>
              <w:jc w:val="both"/>
            </w:pPr>
            <w:r>
              <w:rPr>
                <w:rFonts w:ascii="宋体" w:hAnsi="宋体" w:cs="宋体" w:eastAsia="宋体"/>
                <w:sz w:val="21"/>
                <w:b/>
              </w:rPr>
              <w:t>1.5.4.1.4.2</w:t>
            </w:r>
            <w:r>
              <w:rPr>
                <w:rFonts w:ascii="宋体" w:hAnsi="宋体" w:cs="宋体" w:eastAsia="宋体"/>
                <w:sz w:val="21"/>
                <w:b/>
              </w:rPr>
              <w:t>账户共济财务数据支付失败维护</w:t>
            </w:r>
          </w:p>
          <w:p>
            <w:pPr>
              <w:pStyle w:val="null3"/>
              <w:ind w:firstLine="420"/>
              <w:jc w:val="both"/>
            </w:pPr>
            <w:r>
              <w:rPr>
                <w:rFonts w:ascii="宋体" w:hAnsi="宋体" w:cs="宋体" w:eastAsia="宋体"/>
                <w:sz w:val="21"/>
              </w:rPr>
              <w:t>提供支付失败维护服务，针对省市级经办人员对财务支付失败的数据进行二次维护，根据支付失败原因进行处理，再次推送至财务系统。</w:t>
            </w:r>
          </w:p>
          <w:p>
            <w:pPr>
              <w:pStyle w:val="null3"/>
              <w:jc w:val="both"/>
            </w:pPr>
            <w:r>
              <w:rPr>
                <w:rFonts w:ascii="宋体" w:hAnsi="宋体" w:cs="宋体" w:eastAsia="宋体"/>
                <w:sz w:val="21"/>
                <w:b/>
              </w:rPr>
              <w:t>1.5.4.1.5</w:t>
            </w:r>
            <w:r>
              <w:rPr>
                <w:rFonts w:ascii="宋体" w:hAnsi="宋体" w:cs="宋体" w:eastAsia="宋体"/>
                <w:sz w:val="21"/>
                <w:b/>
              </w:rPr>
              <w:t>拨付管理</w:t>
            </w:r>
          </w:p>
          <w:p>
            <w:pPr>
              <w:pStyle w:val="null3"/>
              <w:jc w:val="both"/>
            </w:pPr>
            <w:r>
              <w:rPr>
                <w:rFonts w:ascii="宋体" w:hAnsi="宋体" w:cs="宋体" w:eastAsia="宋体"/>
                <w:sz w:val="21"/>
                <w:b/>
              </w:rPr>
              <w:t>1.5.4.1.5.1</w:t>
            </w:r>
            <w:r>
              <w:rPr>
                <w:rFonts w:ascii="宋体" w:hAnsi="宋体" w:cs="宋体" w:eastAsia="宋体"/>
                <w:sz w:val="21"/>
                <w:b/>
              </w:rPr>
              <w:t>支付计划审批</w:t>
            </w:r>
          </w:p>
          <w:p>
            <w:pPr>
              <w:pStyle w:val="null3"/>
              <w:ind w:firstLine="420"/>
              <w:jc w:val="both"/>
            </w:pPr>
            <w:r>
              <w:rPr>
                <w:rFonts w:ascii="宋体" w:hAnsi="宋体" w:cs="宋体" w:eastAsia="宋体"/>
                <w:sz w:val="21"/>
              </w:rPr>
              <w:t>对已受理（异地个账共济上解，下拨及两定机构）的支付计划进行审批，同时系统提供驳回财务初审服务，分已办，待办，全部三种状态显示。</w:t>
            </w:r>
          </w:p>
          <w:p>
            <w:pPr>
              <w:pStyle w:val="null3"/>
              <w:jc w:val="both"/>
            </w:pPr>
            <w:r>
              <w:rPr>
                <w:rFonts w:ascii="宋体" w:hAnsi="宋体" w:cs="宋体" w:eastAsia="宋体"/>
                <w:sz w:val="21"/>
                <w:b/>
              </w:rPr>
              <w:t>1.5.4.1.5.2</w:t>
            </w:r>
            <w:r>
              <w:rPr>
                <w:rFonts w:ascii="宋体" w:hAnsi="宋体" w:cs="宋体" w:eastAsia="宋体"/>
                <w:sz w:val="21"/>
                <w:b/>
              </w:rPr>
              <w:t>银医直连批量支付</w:t>
            </w:r>
          </w:p>
          <w:p>
            <w:pPr>
              <w:pStyle w:val="null3"/>
              <w:ind w:firstLine="420"/>
              <w:jc w:val="both"/>
            </w:pPr>
            <w:r>
              <w:rPr>
                <w:rFonts w:ascii="宋体" w:hAnsi="宋体" w:cs="宋体" w:eastAsia="宋体"/>
                <w:sz w:val="21"/>
              </w:rPr>
              <w:t>提供批量支付服务，数据通过审核后，支持通过批量完成（异地个账共济上解，下拨及两定机构）的支付计划支付，支持查询支付进度。可查询待支付、支付在途、银行回盘，支付成功，支付失败，抽单支付，异常退汇信息等服务。并支持数据导出服务。</w:t>
            </w:r>
          </w:p>
          <w:p>
            <w:pPr>
              <w:pStyle w:val="null3"/>
              <w:jc w:val="both"/>
            </w:pPr>
            <w:r>
              <w:rPr>
                <w:rFonts w:ascii="宋体" w:hAnsi="宋体" w:cs="宋体" w:eastAsia="宋体"/>
                <w:sz w:val="21"/>
                <w:b/>
              </w:rPr>
              <w:t>1.5.4.1.5.3</w:t>
            </w:r>
            <w:r>
              <w:rPr>
                <w:rFonts w:ascii="宋体" w:hAnsi="宋体" w:cs="宋体" w:eastAsia="宋体"/>
                <w:sz w:val="21"/>
                <w:b/>
              </w:rPr>
              <w:t>业务单据记账</w:t>
            </w:r>
          </w:p>
          <w:p>
            <w:pPr>
              <w:pStyle w:val="null3"/>
              <w:ind w:firstLine="420"/>
              <w:jc w:val="both"/>
            </w:pPr>
            <w:r>
              <w:rPr>
                <w:rFonts w:ascii="宋体" w:hAnsi="宋体" w:cs="宋体" w:eastAsia="宋体"/>
                <w:sz w:val="21"/>
              </w:rPr>
              <w:t>业务单据记账通过银行支付成功的数据，异地个账共济数据可以生成凭证，提供业务数据按照批次号，经办机构，险种，金额，拨付对象编码进行查询服务，并支持支付计划数据的导出服务，并把数据分未生成，已生成，不生成三种页签显示。提供直接生成凭证或者汇总生成凭证服务。同时也支持凭证的取消生成服务。</w:t>
            </w:r>
          </w:p>
          <w:p>
            <w:pPr>
              <w:pStyle w:val="null3"/>
              <w:jc w:val="both"/>
            </w:pPr>
            <w:r>
              <w:rPr>
                <w:rFonts w:ascii="宋体" w:hAnsi="宋体" w:cs="宋体" w:eastAsia="宋体"/>
                <w:sz w:val="21"/>
                <w:b/>
              </w:rPr>
              <w:t>1.5.4.1.6</w:t>
            </w:r>
            <w:r>
              <w:rPr>
                <w:rFonts w:ascii="宋体" w:hAnsi="宋体" w:cs="宋体" w:eastAsia="宋体"/>
                <w:sz w:val="21"/>
                <w:b/>
              </w:rPr>
              <w:t>查询统计</w:t>
            </w:r>
          </w:p>
          <w:p>
            <w:pPr>
              <w:pStyle w:val="null3"/>
              <w:jc w:val="both"/>
            </w:pPr>
            <w:r>
              <w:rPr>
                <w:rFonts w:ascii="宋体" w:hAnsi="宋体" w:cs="宋体" w:eastAsia="宋体"/>
                <w:sz w:val="21"/>
                <w:b/>
              </w:rPr>
              <w:t>1.5.4.1.6.1</w:t>
            </w:r>
            <w:r>
              <w:rPr>
                <w:rFonts w:ascii="宋体" w:hAnsi="宋体" w:cs="宋体" w:eastAsia="宋体"/>
                <w:sz w:val="21"/>
                <w:b/>
              </w:rPr>
              <w:t>个人账户收支流水查询</w:t>
            </w:r>
          </w:p>
          <w:p>
            <w:pPr>
              <w:pStyle w:val="null3"/>
              <w:ind w:firstLine="420"/>
              <w:jc w:val="both"/>
            </w:pPr>
            <w:r>
              <w:rPr>
                <w:rFonts w:ascii="宋体" w:hAnsi="宋体" w:cs="宋体" w:eastAsia="宋体"/>
                <w:sz w:val="21"/>
              </w:rPr>
              <w:t>对经办人员、参保人提供授权人下个人账号的账户共济支出消费信息查询服务。</w:t>
            </w:r>
          </w:p>
          <w:p>
            <w:pPr>
              <w:pStyle w:val="null3"/>
              <w:jc w:val="both"/>
            </w:pPr>
            <w:r>
              <w:rPr>
                <w:rFonts w:ascii="宋体" w:hAnsi="宋体" w:cs="宋体" w:eastAsia="宋体"/>
                <w:sz w:val="21"/>
                <w:b/>
              </w:rPr>
              <w:t>1.5.4.1.6.2</w:t>
            </w:r>
            <w:r>
              <w:rPr>
                <w:rFonts w:ascii="宋体" w:hAnsi="宋体" w:cs="宋体" w:eastAsia="宋体"/>
                <w:sz w:val="21"/>
                <w:b/>
              </w:rPr>
              <w:t>账户共济支付进度信息查询</w:t>
            </w:r>
          </w:p>
          <w:p>
            <w:pPr>
              <w:pStyle w:val="null3"/>
              <w:ind w:firstLine="420"/>
              <w:jc w:val="both"/>
            </w:pPr>
            <w:r>
              <w:rPr>
                <w:rFonts w:ascii="宋体" w:hAnsi="宋体" w:cs="宋体" w:eastAsia="宋体"/>
                <w:sz w:val="21"/>
              </w:rPr>
              <w:t>提供账户共济支付进度信息查询服务，省市级经办人员可以通过该功能对账户共济支付进度信息进行查询，达到资金透明化，便于管理人员查看，促进业务合理发展，在查询过程中保障数据安全。</w:t>
            </w:r>
          </w:p>
          <w:p>
            <w:pPr>
              <w:pStyle w:val="null3"/>
              <w:jc w:val="both"/>
            </w:pPr>
            <w:r>
              <w:rPr>
                <w:rFonts w:ascii="宋体" w:hAnsi="宋体" w:cs="宋体" w:eastAsia="宋体"/>
                <w:sz w:val="21"/>
                <w:b/>
              </w:rPr>
              <w:t>1.5.4.1.6.3</w:t>
            </w:r>
            <w:r>
              <w:rPr>
                <w:rFonts w:ascii="宋体" w:hAnsi="宋体" w:cs="宋体" w:eastAsia="宋体"/>
                <w:sz w:val="21"/>
                <w:b/>
              </w:rPr>
              <w:t>账户共济清算信息查询</w:t>
            </w:r>
          </w:p>
          <w:p>
            <w:pPr>
              <w:pStyle w:val="null3"/>
              <w:ind w:firstLine="420"/>
              <w:jc w:val="both"/>
            </w:pPr>
            <w:r>
              <w:rPr>
                <w:rFonts w:ascii="宋体" w:hAnsi="宋体" w:cs="宋体" w:eastAsia="宋体"/>
                <w:sz w:val="21"/>
              </w:rPr>
              <w:t>提供账户共济清算信息查询服务，省市级经办人员可以通过该功能对账户共济清算信息信息进行查询，便于管理人员查看，促进业务合理发展，在查询过程中保障数据安全。</w:t>
            </w:r>
          </w:p>
          <w:p>
            <w:pPr>
              <w:pStyle w:val="null3"/>
              <w:jc w:val="both"/>
            </w:pPr>
            <w:r>
              <w:rPr>
                <w:rFonts w:ascii="宋体" w:hAnsi="宋体" w:cs="宋体" w:eastAsia="宋体"/>
                <w:sz w:val="21"/>
                <w:b/>
              </w:rPr>
              <w:t>1.5.4.1.6.4</w:t>
            </w:r>
            <w:r>
              <w:rPr>
                <w:rFonts w:ascii="宋体" w:hAnsi="宋体" w:cs="宋体" w:eastAsia="宋体"/>
                <w:sz w:val="21"/>
                <w:b/>
              </w:rPr>
              <w:t>支付计划结果查询</w:t>
            </w:r>
          </w:p>
          <w:p>
            <w:pPr>
              <w:pStyle w:val="null3"/>
              <w:ind w:firstLine="420"/>
              <w:jc w:val="both"/>
            </w:pPr>
            <w:r>
              <w:rPr>
                <w:rFonts w:ascii="宋体" w:hAnsi="宋体" w:cs="宋体" w:eastAsia="宋体"/>
                <w:sz w:val="21"/>
              </w:rPr>
              <w:t>对于支付后的数据可以按照经办机构，批次号，险种，归属期，支付状态（支付成功，支付失败，支付在途），收款单位，金额，业务类型等可以进行查询，上级单位也可以监控下级单位的账户支付情况。</w:t>
            </w:r>
          </w:p>
          <w:p>
            <w:pPr>
              <w:pStyle w:val="null3"/>
              <w:jc w:val="both"/>
            </w:pPr>
            <w:r>
              <w:rPr>
                <w:rFonts w:ascii="宋体" w:hAnsi="宋体" w:cs="宋体" w:eastAsia="宋体"/>
                <w:sz w:val="21"/>
                <w:b/>
              </w:rPr>
              <w:t>1.5.4.1.7</w:t>
            </w:r>
            <w:r>
              <w:rPr>
                <w:rFonts w:ascii="宋体" w:hAnsi="宋体" w:cs="宋体" w:eastAsia="宋体"/>
                <w:sz w:val="21"/>
                <w:b/>
              </w:rPr>
              <w:t>报表管理</w:t>
            </w:r>
          </w:p>
          <w:p>
            <w:pPr>
              <w:pStyle w:val="null3"/>
              <w:jc w:val="both"/>
            </w:pPr>
            <w:r>
              <w:rPr>
                <w:rFonts w:ascii="宋体" w:hAnsi="宋体" w:cs="宋体" w:eastAsia="宋体"/>
                <w:sz w:val="21"/>
                <w:b/>
              </w:rPr>
              <w:t>1.5.4.1.7.1</w:t>
            </w:r>
            <w:r>
              <w:rPr>
                <w:rFonts w:ascii="宋体" w:hAnsi="宋体" w:cs="宋体" w:eastAsia="宋体"/>
                <w:sz w:val="21"/>
                <w:b/>
              </w:rPr>
              <w:t>账户共济省级应收应付分表打印</w:t>
            </w:r>
          </w:p>
          <w:p>
            <w:pPr>
              <w:pStyle w:val="null3"/>
              <w:ind w:firstLine="420"/>
              <w:jc w:val="both"/>
            </w:pPr>
            <w:r>
              <w:rPr>
                <w:rFonts w:ascii="宋体" w:hAnsi="宋体" w:cs="宋体" w:eastAsia="宋体"/>
                <w:sz w:val="21"/>
              </w:rPr>
              <w:t>提供打印服务，根据业务需要对省级应收应付费用生成相应的分项报表，并允许重复打印。</w:t>
            </w:r>
          </w:p>
          <w:p>
            <w:pPr>
              <w:pStyle w:val="null3"/>
              <w:jc w:val="both"/>
            </w:pPr>
            <w:r>
              <w:rPr>
                <w:rFonts w:ascii="宋体" w:hAnsi="宋体" w:cs="宋体" w:eastAsia="宋体"/>
                <w:sz w:val="21"/>
                <w:b/>
              </w:rPr>
              <w:t>1.5.4.1.7.2</w:t>
            </w:r>
            <w:r>
              <w:rPr>
                <w:rFonts w:ascii="宋体" w:hAnsi="宋体" w:cs="宋体" w:eastAsia="宋体"/>
                <w:sz w:val="21"/>
                <w:b/>
              </w:rPr>
              <w:t>账户共济省级应收应付汇总表打印</w:t>
            </w:r>
          </w:p>
          <w:p>
            <w:pPr>
              <w:pStyle w:val="null3"/>
              <w:ind w:firstLine="420"/>
              <w:jc w:val="both"/>
            </w:pPr>
            <w:r>
              <w:rPr>
                <w:rFonts w:ascii="宋体" w:hAnsi="宋体" w:cs="宋体" w:eastAsia="宋体"/>
                <w:sz w:val="21"/>
              </w:rPr>
              <w:t>提供打印服务，根据业务需要对省级应收应付费用生成相应的汇总报表，并允许重复打印。</w:t>
            </w:r>
          </w:p>
          <w:p>
            <w:pPr>
              <w:pStyle w:val="null3"/>
              <w:jc w:val="both"/>
            </w:pPr>
            <w:r>
              <w:rPr>
                <w:rFonts w:ascii="宋体" w:hAnsi="宋体" w:cs="宋体" w:eastAsia="宋体"/>
                <w:sz w:val="21"/>
                <w:b/>
              </w:rPr>
              <w:t>1.5.4.1.7.3</w:t>
            </w:r>
            <w:r>
              <w:rPr>
                <w:rFonts w:ascii="宋体" w:hAnsi="宋体" w:cs="宋体" w:eastAsia="宋体"/>
                <w:sz w:val="21"/>
                <w:b/>
              </w:rPr>
              <w:t>账户共济地市级报表打印</w:t>
            </w:r>
          </w:p>
          <w:p>
            <w:pPr>
              <w:pStyle w:val="null3"/>
              <w:ind w:firstLine="420"/>
              <w:jc w:val="both"/>
            </w:pPr>
            <w:r>
              <w:rPr>
                <w:rFonts w:ascii="宋体" w:hAnsi="宋体" w:cs="宋体" w:eastAsia="宋体"/>
                <w:sz w:val="21"/>
              </w:rPr>
              <w:t>提供打印服务，根据业务需要对地市级应收应付费用生成相应的报表，并允许重复打印。</w:t>
            </w:r>
          </w:p>
          <w:p>
            <w:pPr>
              <w:pStyle w:val="null3"/>
              <w:jc w:val="both"/>
            </w:pPr>
            <w:r>
              <w:rPr>
                <w:rFonts w:ascii="宋体" w:hAnsi="宋体" w:cs="宋体" w:eastAsia="宋体"/>
                <w:sz w:val="21"/>
                <w:b/>
              </w:rPr>
              <w:t>1.5.4.1.8</w:t>
            </w:r>
            <w:r>
              <w:rPr>
                <w:rFonts w:ascii="宋体" w:hAnsi="宋体" w:cs="宋体" w:eastAsia="宋体"/>
                <w:sz w:val="21"/>
                <w:b/>
              </w:rPr>
              <w:t>异地账户共济交互管理</w:t>
            </w:r>
          </w:p>
          <w:p>
            <w:pPr>
              <w:pStyle w:val="null3"/>
              <w:spacing w:before="105" w:after="105"/>
              <w:jc w:val="both"/>
            </w:pPr>
            <w:r>
              <w:rPr>
                <w:rFonts w:ascii="宋体" w:hAnsi="宋体" w:cs="宋体" w:eastAsia="宋体"/>
                <w:sz w:val="21"/>
                <w:b/>
              </w:rPr>
              <w:t>1.5.4.1.8.1.1</w:t>
            </w:r>
            <w:r>
              <w:rPr>
                <w:rFonts w:ascii="宋体" w:hAnsi="宋体" w:cs="宋体" w:eastAsia="宋体"/>
                <w:sz w:val="21"/>
                <w:b/>
              </w:rPr>
              <w:t>账户共济数据接入</w:t>
            </w:r>
          </w:p>
          <w:p>
            <w:pPr>
              <w:pStyle w:val="null3"/>
              <w:ind w:firstLine="420"/>
              <w:jc w:val="both"/>
            </w:pPr>
            <w:r>
              <w:rPr>
                <w:rFonts w:ascii="宋体" w:hAnsi="宋体" w:cs="宋体" w:eastAsia="宋体"/>
                <w:sz w:val="21"/>
              </w:rPr>
              <w:t>地市、区县级经办人员对异地账户共济结算数据进行接入管理。参与医保个人账户共济的各方数据（如职工参保人、近亲属等）整合在一起，纳入统一的数据处理平台或系统，以实现账户余额的共享使用和相关费用的结算。</w:t>
            </w:r>
          </w:p>
          <w:p>
            <w:pPr>
              <w:pStyle w:val="null3"/>
              <w:spacing w:before="105" w:after="105"/>
              <w:jc w:val="both"/>
            </w:pPr>
            <w:r>
              <w:rPr>
                <w:rFonts w:ascii="宋体" w:hAnsi="宋体" w:cs="宋体" w:eastAsia="宋体"/>
                <w:sz w:val="21"/>
                <w:b/>
              </w:rPr>
              <w:t>1.5.4.1.8.1.2</w:t>
            </w:r>
            <w:r>
              <w:rPr>
                <w:rFonts w:ascii="宋体" w:hAnsi="宋体" w:cs="宋体" w:eastAsia="宋体"/>
                <w:sz w:val="21"/>
                <w:b/>
              </w:rPr>
              <w:t>异地个账下拨及两定机构数据接入</w:t>
            </w:r>
          </w:p>
          <w:p>
            <w:pPr>
              <w:pStyle w:val="null3"/>
              <w:ind w:firstLine="420"/>
              <w:jc w:val="both"/>
            </w:pPr>
            <w:r>
              <w:rPr>
                <w:rFonts w:ascii="宋体" w:hAnsi="宋体" w:cs="宋体" w:eastAsia="宋体"/>
                <w:sz w:val="21"/>
              </w:rPr>
              <w:t>通过业务财务中间库接口接收待受理的异地个账下拨及两定机构支付数据，按费款所属期、业务批次号、拨付对象编码查询待受理的支付数据。并支持数据的导出功能。</w:t>
            </w:r>
          </w:p>
          <w:p>
            <w:pPr>
              <w:pStyle w:val="null3"/>
              <w:spacing w:before="105" w:after="105"/>
              <w:jc w:val="both"/>
            </w:pPr>
            <w:r>
              <w:rPr>
                <w:rFonts w:ascii="宋体" w:hAnsi="宋体" w:cs="宋体" w:eastAsia="宋体"/>
                <w:sz w:val="21"/>
                <w:b/>
              </w:rPr>
              <w:t>1.5.4.1.8.1.3</w:t>
            </w:r>
            <w:r>
              <w:rPr>
                <w:rFonts w:ascii="宋体" w:hAnsi="宋体" w:cs="宋体" w:eastAsia="宋体"/>
                <w:sz w:val="21"/>
                <w:b/>
              </w:rPr>
              <w:t>业务财务数据对接</w:t>
            </w:r>
          </w:p>
          <w:p>
            <w:pPr>
              <w:pStyle w:val="null3"/>
              <w:ind w:firstLine="420"/>
              <w:jc w:val="both"/>
            </w:pPr>
            <w:r>
              <w:rPr>
                <w:rFonts w:ascii="宋体" w:hAnsi="宋体" w:cs="宋体" w:eastAsia="宋体"/>
                <w:sz w:val="21"/>
              </w:rPr>
              <w:t>根据共济所涉及的业务和流程及信息共享业务需求，共济系统需要在业务财务对账等业务环节实现信息共享和业务协同。</w:t>
            </w:r>
          </w:p>
          <w:p>
            <w:pPr>
              <w:pStyle w:val="null3"/>
              <w:ind w:firstLine="420"/>
              <w:jc w:val="both"/>
            </w:pPr>
            <w:r>
              <w:rPr>
                <w:rFonts w:ascii="宋体" w:hAnsi="宋体" w:cs="宋体" w:eastAsia="宋体"/>
                <w:sz w:val="21"/>
              </w:rPr>
              <w:t>构建统一的技术标准，改造系统功能，搭建数据共享中间库，将共济清算支付数据，按照中间库的标准进行标准化处理，通过增量方式经数据推送至中间库，财务系统准实时抽取中间库数据。</w:t>
            </w:r>
          </w:p>
          <w:p>
            <w:pPr>
              <w:pStyle w:val="null3"/>
              <w:spacing w:before="105" w:after="105"/>
              <w:jc w:val="both"/>
            </w:pPr>
            <w:r>
              <w:rPr>
                <w:rFonts w:ascii="宋体" w:hAnsi="宋体" w:cs="宋体" w:eastAsia="宋体"/>
                <w:sz w:val="21"/>
                <w:b/>
              </w:rPr>
              <w:t>1.5.4.1.8.1.4</w:t>
            </w:r>
            <w:r>
              <w:rPr>
                <w:rFonts w:ascii="宋体" w:hAnsi="宋体" w:cs="宋体" w:eastAsia="宋体"/>
                <w:sz w:val="21"/>
                <w:b/>
              </w:rPr>
              <w:t>本地异地业务数据对接</w:t>
            </w:r>
          </w:p>
          <w:p>
            <w:pPr>
              <w:pStyle w:val="null3"/>
              <w:ind w:firstLine="420"/>
              <w:jc w:val="both"/>
            </w:pPr>
            <w:r>
              <w:rPr>
                <w:rFonts w:ascii="宋体" w:hAnsi="宋体" w:cs="宋体" w:eastAsia="宋体"/>
                <w:sz w:val="21"/>
              </w:rPr>
              <w:t>根据共济所涉及的业务和流程及信息共享业务需求，核心系统和异地就医系统需要、个人结算（门诊、购药、住院）、月度结算、退费业务处理（结算费用退费等）、业务财务对账等业务环节实现信息共享和业务协同。</w:t>
            </w:r>
          </w:p>
          <w:p>
            <w:pPr>
              <w:pStyle w:val="null3"/>
              <w:ind w:firstLine="420"/>
              <w:jc w:val="both"/>
            </w:pPr>
            <w:r>
              <w:rPr>
                <w:rFonts w:ascii="宋体" w:hAnsi="宋体" w:cs="宋体" w:eastAsia="宋体"/>
                <w:sz w:val="21"/>
              </w:rPr>
              <w:t>构建统一的技术标准，改造、升级核心系统个功能，搭建数据共享中间库，将核心系统中使用账户共济的数据和省内异地结算数据，按照中间库的标准进行标准化处理，通过增量方式经数据推送至中间库，异地就医系统准实时抽取中间库数据。</w:t>
            </w:r>
          </w:p>
          <w:p>
            <w:pPr>
              <w:pStyle w:val="null3"/>
              <w:ind w:firstLine="420"/>
              <w:jc w:val="both"/>
            </w:pPr>
            <w:r>
              <w:rPr>
                <w:rFonts w:ascii="宋体" w:hAnsi="宋体" w:cs="宋体" w:eastAsia="宋体"/>
                <w:sz w:val="21"/>
              </w:rPr>
              <w:t>同时，针对个账代缴和机构结算中可能产生的退费数据通过给中间库推送负值的处理方式实现数据同步。</w:t>
            </w:r>
          </w:p>
          <w:p>
            <w:pPr>
              <w:pStyle w:val="null3"/>
              <w:spacing w:before="105" w:after="105"/>
              <w:jc w:val="both"/>
            </w:pPr>
            <w:r>
              <w:rPr>
                <w:rFonts w:ascii="宋体" w:hAnsi="宋体" w:cs="宋体" w:eastAsia="宋体"/>
                <w:sz w:val="21"/>
                <w:b/>
              </w:rPr>
              <w:t>1.5.4.1.8.1.5</w:t>
            </w:r>
            <w:r>
              <w:rPr>
                <w:rFonts w:ascii="宋体" w:hAnsi="宋体" w:cs="宋体" w:eastAsia="宋体"/>
                <w:sz w:val="21"/>
                <w:b/>
              </w:rPr>
              <w:t>异地个账共济接入（上解）</w:t>
            </w:r>
          </w:p>
          <w:p>
            <w:pPr>
              <w:pStyle w:val="null3"/>
              <w:ind w:firstLine="420"/>
              <w:jc w:val="both"/>
            </w:pPr>
            <w:r>
              <w:rPr>
                <w:rFonts w:ascii="宋体" w:hAnsi="宋体" w:cs="宋体" w:eastAsia="宋体"/>
                <w:sz w:val="21"/>
              </w:rPr>
              <w:t>通过业务财务中间库接口接收异地个账共济支付数据，按费款所属期、业务批次号、拨付对象编码查询待受理的支付数据。并支持数据的导出功能。</w:t>
            </w:r>
          </w:p>
          <w:p>
            <w:pPr>
              <w:pStyle w:val="null3"/>
              <w:jc w:val="both"/>
            </w:pPr>
            <w:r>
              <w:rPr>
                <w:rFonts w:ascii="宋体" w:hAnsi="宋体" w:cs="宋体" w:eastAsia="宋体"/>
                <w:sz w:val="21"/>
                <w:b/>
              </w:rPr>
              <w:t>1.5.4.2</w:t>
            </w:r>
            <w:r>
              <w:rPr>
                <w:rFonts w:ascii="宋体" w:hAnsi="宋体" w:cs="宋体" w:eastAsia="宋体"/>
                <w:sz w:val="21"/>
                <w:b/>
              </w:rPr>
              <w:t>性能要求</w:t>
            </w:r>
          </w:p>
          <w:p>
            <w:pPr>
              <w:pStyle w:val="null3"/>
              <w:ind w:firstLine="420"/>
              <w:jc w:val="both"/>
            </w:pPr>
            <w:r>
              <w:rPr>
                <w:rFonts w:ascii="宋体" w:hAnsi="宋体" w:cs="宋体" w:eastAsia="宋体"/>
                <w:sz w:val="21"/>
              </w:rPr>
              <w:t>本项目实施对支撑工具的性能要求如下：</w:t>
            </w:r>
          </w:p>
          <w:p>
            <w:pPr>
              <w:pStyle w:val="null3"/>
              <w:jc w:val="both"/>
            </w:pPr>
            <w:r>
              <w:rPr>
                <w:rFonts w:ascii="宋体" w:hAnsi="宋体" w:cs="宋体" w:eastAsia="宋体"/>
                <w:sz w:val="21"/>
                <w:b/>
              </w:rPr>
              <w:t>1.5.4.2.1</w:t>
            </w:r>
            <w:r>
              <w:rPr>
                <w:rFonts w:ascii="宋体" w:hAnsi="宋体" w:cs="宋体" w:eastAsia="宋体"/>
                <w:sz w:val="21"/>
                <w:b/>
              </w:rPr>
              <w:t>总响应时间要求</w:t>
            </w:r>
          </w:p>
          <w:p>
            <w:pPr>
              <w:pStyle w:val="null3"/>
              <w:ind w:firstLine="420"/>
              <w:jc w:val="both"/>
            </w:pPr>
            <w:r>
              <w:rPr>
                <w:rFonts w:ascii="宋体" w:hAnsi="宋体" w:cs="宋体" w:eastAsia="宋体"/>
                <w:sz w:val="21"/>
              </w:rPr>
              <w:t>系统总响应时间是指请求响应时间、数据处理时间、输出响应时间的总和，其各类指标如下：</w:t>
            </w:r>
          </w:p>
          <w:p>
            <w:pPr>
              <w:pStyle w:val="null3"/>
              <w:ind w:firstLine="422"/>
              <w:jc w:val="both"/>
            </w:pPr>
            <w:r>
              <w:rPr>
                <w:rFonts w:ascii="&quot;times new roman&quot;" w:hAnsi="&quot;times new roman&quot;" w:cs="&quot;times new roman&quot;" w:eastAsia="&quot;times new roman&quot;"/>
                <w:sz w:val="21"/>
                <w:b/>
              </w:rPr>
              <w:t>1.</w:t>
            </w:r>
            <w:r>
              <w:rPr>
                <w:rFonts w:ascii="宋体" w:hAnsi="宋体" w:cs="宋体" w:eastAsia="宋体"/>
                <w:sz w:val="21"/>
                <w:b/>
              </w:rPr>
              <w:t>交互类业务</w:t>
            </w:r>
          </w:p>
          <w:p>
            <w:pPr>
              <w:pStyle w:val="null3"/>
              <w:ind w:firstLine="420"/>
              <w:jc w:val="both"/>
            </w:pPr>
            <w:r>
              <w:rPr>
                <w:rFonts w:ascii="宋体" w:hAnsi="宋体" w:cs="宋体" w:eastAsia="宋体"/>
                <w:sz w:val="21"/>
              </w:rPr>
              <w:t>交互类业务是指平时工作中在系统中进行的业务处理，如录入、修改或删除一条记录、发布一条信息等操作。</w:t>
            </w:r>
          </w:p>
          <w:p>
            <w:pPr>
              <w:pStyle w:val="null3"/>
              <w:ind w:firstLine="420"/>
              <w:jc w:val="both"/>
            </w:pPr>
            <w:r>
              <w:rPr>
                <w:rFonts w:ascii="宋体" w:hAnsi="宋体" w:cs="宋体" w:eastAsia="宋体"/>
                <w:sz w:val="21"/>
              </w:rPr>
              <w:t>平均响应时间</w:t>
            </w: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秒；</w:t>
            </w:r>
          </w:p>
          <w:p>
            <w:pPr>
              <w:pStyle w:val="null3"/>
              <w:ind w:firstLine="420"/>
              <w:jc w:val="both"/>
            </w:pPr>
            <w:r>
              <w:rPr>
                <w:rFonts w:ascii="宋体" w:hAnsi="宋体" w:cs="宋体" w:eastAsia="宋体"/>
                <w:sz w:val="21"/>
              </w:rPr>
              <w:t>峰值响应时间</w:t>
            </w:r>
            <w:r>
              <w:rPr>
                <w:rFonts w:ascii="宋体" w:hAnsi="宋体" w:cs="宋体" w:eastAsia="宋体"/>
                <w:sz w:val="21"/>
              </w:rPr>
              <w:t>≤</w:t>
            </w:r>
            <w:r>
              <w:rPr>
                <w:rFonts w:ascii="&quot;times new roman&quot;" w:hAnsi="&quot;times new roman&quot;" w:cs="&quot;times new roman&quot;" w:eastAsia="&quot;times new roman&quot;"/>
                <w:sz w:val="21"/>
              </w:rPr>
              <w:t>2</w:t>
            </w:r>
            <w:r>
              <w:rPr>
                <w:rFonts w:ascii="宋体" w:hAnsi="宋体" w:cs="宋体" w:eastAsia="宋体"/>
                <w:sz w:val="21"/>
              </w:rPr>
              <w:t>秒；</w:t>
            </w:r>
          </w:p>
          <w:p>
            <w:pPr>
              <w:pStyle w:val="null3"/>
              <w:ind w:firstLine="420"/>
              <w:jc w:val="both"/>
            </w:pPr>
            <w:r>
              <w:rPr>
                <w:rFonts w:ascii="宋体" w:hAnsi="宋体" w:cs="宋体" w:eastAsia="宋体"/>
                <w:sz w:val="21"/>
              </w:rPr>
              <w:t>批量前台经办业务数据导入（按一次</w:t>
            </w:r>
            <w:r>
              <w:rPr>
                <w:rFonts w:ascii="&quot;times new roman&quot;" w:hAnsi="&quot;times new roman&quot;" w:cs="&quot;times new roman&quot;" w:eastAsia="&quot;times new roman&quot;"/>
                <w:sz w:val="21"/>
              </w:rPr>
              <w:t>2000</w:t>
            </w:r>
            <w:r>
              <w:rPr>
                <w:rFonts w:ascii="宋体" w:hAnsi="宋体" w:cs="宋体" w:eastAsia="宋体"/>
                <w:sz w:val="21"/>
              </w:rPr>
              <w:t>条评估）平均响应时间</w:t>
            </w:r>
            <w:r>
              <w:rPr>
                <w:rFonts w:ascii="宋体" w:hAnsi="宋体" w:cs="宋体" w:eastAsia="宋体"/>
                <w:sz w:val="21"/>
              </w:rPr>
              <w:t>≤</w:t>
            </w:r>
            <w:r>
              <w:rPr>
                <w:rFonts w:ascii="&quot;times new roman&quot;" w:hAnsi="&quot;times new roman&quot;" w:cs="&quot;times new roman&quot;" w:eastAsia="&quot;times new roman&quot;"/>
                <w:sz w:val="21"/>
              </w:rPr>
              <w:t>5</w:t>
            </w:r>
            <w:r>
              <w:rPr>
                <w:rFonts w:ascii="宋体" w:hAnsi="宋体" w:cs="宋体" w:eastAsia="宋体"/>
                <w:sz w:val="21"/>
              </w:rPr>
              <w:t>秒；</w:t>
            </w:r>
          </w:p>
          <w:p>
            <w:pPr>
              <w:pStyle w:val="null3"/>
              <w:ind w:firstLine="420"/>
              <w:jc w:val="both"/>
            </w:pPr>
            <w:r>
              <w:rPr>
                <w:rFonts w:ascii="宋体" w:hAnsi="宋体" w:cs="宋体" w:eastAsia="宋体"/>
                <w:sz w:val="21"/>
              </w:rPr>
              <w:t>峰值响应时间</w:t>
            </w:r>
            <w:r>
              <w:rPr>
                <w:rFonts w:ascii="宋体" w:hAnsi="宋体" w:cs="宋体" w:eastAsia="宋体"/>
                <w:sz w:val="21"/>
              </w:rPr>
              <w:t>≤</w:t>
            </w:r>
            <w:r>
              <w:rPr>
                <w:rFonts w:ascii="&quot;times new roman&quot;" w:hAnsi="&quot;times new roman&quot;" w:cs="&quot;times new roman&quot;" w:eastAsia="&quot;times new roman&quot;"/>
                <w:sz w:val="21"/>
              </w:rPr>
              <w:t>10</w:t>
            </w:r>
            <w:r>
              <w:rPr>
                <w:rFonts w:ascii="宋体" w:hAnsi="宋体" w:cs="宋体" w:eastAsia="宋体"/>
                <w:sz w:val="21"/>
              </w:rPr>
              <w:t>秒。</w:t>
            </w:r>
          </w:p>
          <w:p>
            <w:pPr>
              <w:pStyle w:val="null3"/>
              <w:ind w:firstLine="422"/>
              <w:jc w:val="both"/>
            </w:pPr>
            <w:r>
              <w:rPr>
                <w:rFonts w:ascii="&quot;times new roman&quot;" w:hAnsi="&quot;times new roman&quot;" w:cs="&quot;times new roman&quot;" w:eastAsia="&quot;times new roman&quot;"/>
                <w:sz w:val="21"/>
                <w:b/>
              </w:rPr>
              <w:t>2.</w:t>
            </w:r>
            <w:r>
              <w:rPr>
                <w:rFonts w:ascii="宋体" w:hAnsi="宋体" w:cs="宋体" w:eastAsia="宋体"/>
                <w:sz w:val="21"/>
                <w:b/>
              </w:rPr>
              <w:t>查询类业务</w:t>
            </w:r>
          </w:p>
          <w:p>
            <w:pPr>
              <w:pStyle w:val="null3"/>
              <w:ind w:firstLine="420"/>
              <w:jc w:val="both"/>
            </w:pPr>
            <w:r>
              <w:rPr>
                <w:rFonts w:ascii="宋体" w:hAnsi="宋体" w:cs="宋体" w:eastAsia="宋体"/>
                <w:sz w:val="21"/>
              </w:rPr>
              <w:t>查询业务由于受到查询的复杂程度、查询的数据量大小等因素的影响，需要根据具体情况而定，在此给出一个参考范围。</w:t>
            </w:r>
          </w:p>
          <w:p>
            <w:pPr>
              <w:pStyle w:val="null3"/>
              <w:ind w:firstLine="420"/>
              <w:jc w:val="both"/>
            </w:pPr>
            <w:r>
              <w:rPr>
                <w:rFonts w:ascii="宋体" w:hAnsi="宋体" w:cs="宋体" w:eastAsia="宋体"/>
                <w:sz w:val="21"/>
              </w:rPr>
              <w:t>简单查询响应时间</w:t>
            </w: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秒；</w:t>
            </w:r>
          </w:p>
          <w:p>
            <w:pPr>
              <w:pStyle w:val="null3"/>
              <w:ind w:firstLine="420"/>
              <w:jc w:val="both"/>
            </w:pPr>
            <w:r>
              <w:rPr>
                <w:rFonts w:ascii="宋体" w:hAnsi="宋体" w:cs="宋体" w:eastAsia="宋体"/>
                <w:sz w:val="21"/>
              </w:rPr>
              <w:t>复杂查询响应时间</w:t>
            </w:r>
            <w:r>
              <w:rPr>
                <w:rFonts w:ascii="宋体" w:hAnsi="宋体" w:cs="宋体" w:eastAsia="宋体"/>
                <w:sz w:val="21"/>
              </w:rPr>
              <w:t>≤</w:t>
            </w:r>
            <w:r>
              <w:rPr>
                <w:rFonts w:ascii="&quot;times new roman&quot;" w:hAnsi="&quot;times new roman&quot;" w:cs="&quot;times new roman&quot;" w:eastAsia="&quot;times new roman&quot;"/>
                <w:sz w:val="21"/>
              </w:rPr>
              <w:t>3</w:t>
            </w:r>
            <w:r>
              <w:rPr>
                <w:rFonts w:ascii="宋体" w:hAnsi="宋体" w:cs="宋体" w:eastAsia="宋体"/>
                <w:sz w:val="21"/>
              </w:rPr>
              <w:t>秒；</w:t>
            </w:r>
          </w:p>
          <w:p>
            <w:pPr>
              <w:pStyle w:val="null3"/>
              <w:ind w:firstLine="420"/>
              <w:jc w:val="both"/>
            </w:pPr>
            <w:r>
              <w:rPr>
                <w:rFonts w:ascii="宋体" w:hAnsi="宋体" w:cs="宋体" w:eastAsia="宋体"/>
                <w:sz w:val="21"/>
              </w:rPr>
              <w:t>视频播放响应时间</w:t>
            </w:r>
            <w:r>
              <w:rPr>
                <w:rFonts w:ascii="宋体" w:hAnsi="宋体" w:cs="宋体" w:eastAsia="宋体"/>
                <w:sz w:val="21"/>
              </w:rPr>
              <w:t>≤</w:t>
            </w:r>
            <w:r>
              <w:rPr>
                <w:rFonts w:ascii="&quot;times new roman&quot;" w:hAnsi="&quot;times new roman&quot;" w:cs="&quot;times new roman&quot;" w:eastAsia="&quot;times new roman&quot;"/>
                <w:sz w:val="21"/>
              </w:rPr>
              <w:t>3</w:t>
            </w:r>
            <w:r>
              <w:rPr>
                <w:rFonts w:ascii="宋体" w:hAnsi="宋体" w:cs="宋体" w:eastAsia="宋体"/>
                <w:sz w:val="21"/>
              </w:rPr>
              <w:t>秒。</w:t>
            </w:r>
          </w:p>
          <w:p>
            <w:pPr>
              <w:pStyle w:val="null3"/>
              <w:ind w:firstLine="422"/>
              <w:jc w:val="both"/>
            </w:pPr>
            <w:r>
              <w:rPr>
                <w:rFonts w:ascii="&quot;times new roman&quot;" w:hAnsi="&quot;times new roman&quot;" w:cs="&quot;times new roman&quot;" w:eastAsia="&quot;times new roman&quot;"/>
                <w:sz w:val="21"/>
                <w:b/>
              </w:rPr>
              <w:t>3.</w:t>
            </w:r>
            <w:r>
              <w:rPr>
                <w:rFonts w:ascii="宋体" w:hAnsi="宋体" w:cs="宋体" w:eastAsia="宋体"/>
                <w:sz w:val="21"/>
                <w:b/>
              </w:rPr>
              <w:t>交易接口服务（数据交换）</w:t>
            </w:r>
          </w:p>
          <w:p>
            <w:pPr>
              <w:pStyle w:val="null3"/>
              <w:ind w:firstLine="420"/>
              <w:jc w:val="both"/>
            </w:pPr>
            <w:r>
              <w:rPr>
                <w:rFonts w:ascii="宋体" w:hAnsi="宋体" w:cs="宋体" w:eastAsia="宋体"/>
                <w:sz w:val="21"/>
              </w:rPr>
              <w:t>单条记录交易接口平均响应时间</w:t>
            </w: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秒；</w:t>
            </w:r>
          </w:p>
          <w:p>
            <w:pPr>
              <w:pStyle w:val="null3"/>
              <w:ind w:firstLine="420"/>
              <w:jc w:val="both"/>
            </w:pPr>
            <w:r>
              <w:rPr>
                <w:rFonts w:ascii="宋体" w:hAnsi="宋体" w:cs="宋体" w:eastAsia="宋体"/>
                <w:sz w:val="21"/>
              </w:rPr>
              <w:t>多条记录（</w:t>
            </w:r>
            <w:r>
              <w:rPr>
                <w:rFonts w:ascii="&quot;times new roman&quot;" w:hAnsi="&quot;times new roman&quot;" w:cs="&quot;times new roman&quot;" w:eastAsia="&quot;times new roman&quot;"/>
                <w:sz w:val="21"/>
              </w:rPr>
              <w:t>100</w:t>
            </w:r>
            <w:r>
              <w:rPr>
                <w:rFonts w:ascii="宋体" w:hAnsi="宋体" w:cs="宋体" w:eastAsia="宋体"/>
                <w:sz w:val="21"/>
              </w:rPr>
              <w:t>条）交易接口平均响应时间</w:t>
            </w:r>
            <w:r>
              <w:rPr>
                <w:rFonts w:ascii="宋体" w:hAnsi="宋体" w:cs="宋体" w:eastAsia="宋体"/>
                <w:sz w:val="21"/>
              </w:rPr>
              <w:t>≤</w:t>
            </w:r>
            <w:r>
              <w:rPr>
                <w:rFonts w:ascii="&quot;times new roman&quot;" w:hAnsi="&quot;times new roman&quot;" w:cs="&quot;times new roman&quot;" w:eastAsia="&quot;times new roman&quot;"/>
                <w:sz w:val="21"/>
              </w:rPr>
              <w:t>3</w:t>
            </w:r>
            <w:r>
              <w:rPr>
                <w:rFonts w:ascii="宋体" w:hAnsi="宋体" w:cs="宋体" w:eastAsia="宋体"/>
                <w:sz w:val="21"/>
              </w:rPr>
              <w:t>秒。</w:t>
            </w:r>
          </w:p>
          <w:p>
            <w:pPr>
              <w:pStyle w:val="null3"/>
              <w:jc w:val="both"/>
            </w:pPr>
            <w:r>
              <w:rPr>
                <w:rFonts w:ascii="宋体" w:hAnsi="宋体" w:cs="宋体" w:eastAsia="宋体"/>
                <w:sz w:val="21"/>
                <w:b/>
              </w:rPr>
              <w:t>1.5.4.2.2</w:t>
            </w:r>
            <w:r>
              <w:rPr>
                <w:rFonts w:ascii="宋体" w:hAnsi="宋体" w:cs="宋体" w:eastAsia="宋体"/>
                <w:sz w:val="21"/>
                <w:b/>
              </w:rPr>
              <w:t>并发用户数要求</w:t>
            </w:r>
          </w:p>
          <w:p>
            <w:pPr>
              <w:pStyle w:val="null3"/>
              <w:ind w:firstLine="420"/>
              <w:jc w:val="both"/>
            </w:pPr>
            <w:r>
              <w:rPr>
                <w:rFonts w:ascii="宋体" w:hAnsi="宋体" w:cs="宋体" w:eastAsia="宋体"/>
                <w:sz w:val="21"/>
              </w:rPr>
              <w:t>系统支持使用的总参保人用户数不低于</w:t>
            </w:r>
            <w:r>
              <w:rPr>
                <w:rFonts w:ascii="&quot;times new roman&quot;" w:hAnsi="&quot;times new roman&quot;" w:cs="&quot;times new roman&quot;" w:eastAsia="&quot;times new roman&quot;"/>
                <w:sz w:val="21"/>
              </w:rPr>
              <w:t>30</w:t>
            </w:r>
            <w:r>
              <w:rPr>
                <w:rFonts w:ascii="宋体" w:hAnsi="宋体" w:cs="宋体" w:eastAsia="宋体"/>
                <w:sz w:val="21"/>
              </w:rPr>
              <w:t>万人，系统支持的最大并发用户数为</w:t>
            </w:r>
            <w:r>
              <w:rPr>
                <w:rFonts w:ascii="&quot;times new roman&quot;" w:hAnsi="&quot;times new roman&quot;" w:cs="&quot;times new roman&quot;" w:eastAsia="&quot;times new roman&quot;"/>
                <w:sz w:val="21"/>
              </w:rPr>
              <w:t>2000</w:t>
            </w:r>
            <w:r>
              <w:rPr>
                <w:rFonts w:ascii="宋体" w:hAnsi="宋体" w:cs="宋体" w:eastAsia="宋体"/>
                <w:sz w:val="21"/>
              </w:rPr>
              <w:t>。</w:t>
            </w:r>
          </w:p>
          <w:p>
            <w:pPr>
              <w:pStyle w:val="null3"/>
              <w:jc w:val="both"/>
            </w:pPr>
            <w:r>
              <w:rPr>
                <w:rFonts w:ascii="宋体" w:hAnsi="宋体" w:cs="宋体" w:eastAsia="宋体"/>
                <w:sz w:val="21"/>
                <w:b/>
              </w:rPr>
              <w:t>1.5.4.2.3</w:t>
            </w:r>
            <w:r>
              <w:rPr>
                <w:rFonts w:ascii="宋体" w:hAnsi="宋体" w:cs="宋体" w:eastAsia="宋体"/>
                <w:sz w:val="21"/>
                <w:b/>
              </w:rPr>
              <w:t>服务可用性要求</w:t>
            </w:r>
          </w:p>
          <w:p>
            <w:pPr>
              <w:pStyle w:val="null3"/>
              <w:ind w:firstLine="420"/>
              <w:jc w:val="both"/>
            </w:pPr>
            <w:r>
              <w:rPr>
                <w:rFonts w:ascii="&quot;times new roman&quot;" w:hAnsi="&quot;times new roman&quot;" w:cs="&quot;times new roman&quot;" w:eastAsia="&quot;times new roman&quot;"/>
                <w:sz w:val="21"/>
              </w:rPr>
              <w:t>1.</w:t>
            </w:r>
            <w:r>
              <w:rPr>
                <w:rFonts w:ascii="宋体" w:hAnsi="宋体" w:cs="宋体" w:eastAsia="宋体"/>
                <w:sz w:val="21"/>
              </w:rPr>
              <w:t>系统平均服务时间指标</w:t>
            </w:r>
            <w:r>
              <w:rPr>
                <w:rFonts w:ascii="宋体" w:hAnsi="宋体" w:cs="宋体" w:eastAsia="宋体"/>
                <w:sz w:val="21"/>
              </w:rPr>
              <w:t>≤</w:t>
            </w:r>
            <w:r>
              <w:rPr>
                <w:rFonts w:ascii="&quot;times new roman&quot;" w:hAnsi="&quot;times new roman&quot;" w:cs="&quot;times new roman&quot;" w:eastAsia="&quot;times new roman&quot;"/>
                <w:sz w:val="21"/>
              </w:rPr>
              <w:t>2</w:t>
            </w:r>
            <w:r>
              <w:rPr>
                <w:rFonts w:ascii="宋体" w:hAnsi="宋体" w:cs="宋体" w:eastAsia="宋体"/>
                <w:sz w:val="21"/>
              </w:rPr>
              <w:t>秒。</w:t>
            </w:r>
          </w:p>
          <w:p>
            <w:pPr>
              <w:pStyle w:val="null3"/>
              <w:jc w:val="both"/>
            </w:pPr>
            <w:r>
              <w:rPr>
                <w:rFonts w:ascii="宋体" w:hAnsi="宋体" w:cs="宋体" w:eastAsia="宋体"/>
                <w:sz w:val="21"/>
                <w:b/>
              </w:rPr>
              <w:t>1.5.4.2.4</w:t>
            </w:r>
            <w:r>
              <w:rPr>
                <w:rFonts w:ascii="宋体" w:hAnsi="宋体" w:cs="宋体" w:eastAsia="宋体"/>
                <w:sz w:val="21"/>
                <w:b/>
              </w:rPr>
              <w:t>兼容性要求</w:t>
            </w:r>
          </w:p>
          <w:p>
            <w:pPr>
              <w:pStyle w:val="null3"/>
              <w:ind w:firstLine="420"/>
              <w:jc w:val="both"/>
            </w:pPr>
            <w:r>
              <w:rPr>
                <w:rFonts w:ascii="&quot;times new roman&quot;" w:hAnsi="&quot;times new roman&quot;" w:cs="&quot;times new roman&quot;" w:eastAsia="&quot;times new roman&quot;"/>
                <w:sz w:val="21"/>
              </w:rPr>
              <w:t>1.</w:t>
            </w:r>
            <w:r>
              <w:rPr>
                <w:rFonts w:ascii="宋体" w:hAnsi="宋体" w:cs="宋体" w:eastAsia="宋体"/>
                <w:sz w:val="21"/>
              </w:rPr>
              <w:t>国产化硬件设备支持：支持主流的国产化硬件设备，如龙芯、飞腾、兆芯等国产</w:t>
            </w:r>
            <w:r>
              <w:rPr>
                <w:rFonts w:ascii="&quot;times new roman&quot;" w:hAnsi="&quot;times new roman&quot;" w:cs="&quot;times new roman&quot;" w:eastAsia="&quot;times new roman&quot;"/>
                <w:sz w:val="21"/>
              </w:rPr>
              <w:t>CPU</w:t>
            </w:r>
            <w:r>
              <w:rPr>
                <w:rFonts w:ascii="宋体" w:hAnsi="宋体" w:cs="宋体" w:eastAsia="宋体"/>
                <w:sz w:val="21"/>
              </w:rPr>
              <w:t>；</w:t>
            </w:r>
          </w:p>
          <w:p>
            <w:pPr>
              <w:pStyle w:val="null3"/>
              <w:ind w:firstLine="420"/>
              <w:jc w:val="both"/>
            </w:pPr>
            <w:r>
              <w:rPr>
                <w:rFonts w:ascii="&quot;times new roman&quot;" w:hAnsi="&quot;times new roman&quot;" w:cs="&quot;times new roman&quot;" w:eastAsia="&quot;times new roman&quot;"/>
                <w:sz w:val="21"/>
              </w:rPr>
              <w:t>2.</w:t>
            </w:r>
            <w:r>
              <w:rPr>
                <w:rFonts w:ascii="宋体" w:hAnsi="宋体" w:cs="宋体" w:eastAsia="宋体"/>
                <w:sz w:val="21"/>
              </w:rPr>
              <w:t>国产化操作系统支持：支持国产化的操作系统，如统信</w:t>
            </w:r>
            <w:r>
              <w:rPr>
                <w:rFonts w:ascii="&quot;times new roman&quot;" w:hAnsi="&quot;times new roman&quot;" w:cs="&quot;times new roman&quot;" w:eastAsia="&quot;times new roman&quot;"/>
                <w:sz w:val="21"/>
              </w:rPr>
              <w:t>UOS</w:t>
            </w:r>
            <w:r>
              <w:rPr>
                <w:rFonts w:ascii="宋体" w:hAnsi="宋体" w:cs="宋体" w:eastAsia="宋体"/>
                <w:sz w:val="21"/>
              </w:rPr>
              <w:t>、麒麟</w:t>
            </w:r>
            <w:r>
              <w:rPr>
                <w:rFonts w:ascii="&quot;times new roman&quot;" w:hAnsi="&quot;times new roman&quot;" w:cs="&quot;times new roman&quot;" w:eastAsia="&quot;times new roman&quot;"/>
                <w:sz w:val="21"/>
              </w:rPr>
              <w:t>OS</w:t>
            </w:r>
            <w:r>
              <w:rPr>
                <w:rFonts w:ascii="宋体" w:hAnsi="宋体" w:cs="宋体" w:eastAsia="宋体"/>
                <w:sz w:val="21"/>
              </w:rPr>
              <w:t>等。</w:t>
            </w:r>
          </w:p>
          <w:p>
            <w:pPr>
              <w:pStyle w:val="null3"/>
              <w:ind w:firstLine="420"/>
              <w:jc w:val="both"/>
            </w:pPr>
            <w:r>
              <w:rPr>
                <w:rFonts w:ascii="&quot;times new roman&quot;" w:hAnsi="&quot;times new roman&quot;" w:cs="&quot;times new roman&quot;" w:eastAsia="&quot;times new roman&quot;"/>
                <w:sz w:val="21"/>
              </w:rPr>
              <w:t>3.</w:t>
            </w:r>
            <w:r>
              <w:rPr>
                <w:rFonts w:ascii="宋体" w:hAnsi="宋体" w:cs="宋体" w:eastAsia="宋体"/>
                <w:sz w:val="21"/>
              </w:rPr>
              <w:t>国产化中间件：支持国产中间件，如东方通、金蝶天燕等。</w:t>
            </w:r>
          </w:p>
          <w:p>
            <w:pPr>
              <w:pStyle w:val="null3"/>
              <w:ind w:firstLine="420"/>
              <w:jc w:val="both"/>
            </w:pPr>
            <w:r>
              <w:rPr>
                <w:rFonts w:ascii="&quot;times new roman&quot;" w:hAnsi="&quot;times new roman&quot;" w:cs="&quot;times new roman&quot;" w:eastAsia="&quot;times new roman&quot;"/>
                <w:sz w:val="21"/>
              </w:rPr>
              <w:t>4.</w:t>
            </w:r>
            <w:r>
              <w:rPr>
                <w:rFonts w:ascii="宋体" w:hAnsi="宋体" w:cs="宋体" w:eastAsia="宋体"/>
                <w:sz w:val="21"/>
              </w:rPr>
              <w:t>国产化数据库：支持国产化数据库，如达梦、人大金仓等。</w:t>
            </w:r>
          </w:p>
          <w:p>
            <w:pPr>
              <w:pStyle w:val="null3"/>
              <w:jc w:val="both"/>
            </w:pPr>
            <w:r>
              <w:rPr>
                <w:rFonts w:ascii="宋体" w:hAnsi="宋体" w:cs="宋体" w:eastAsia="宋体"/>
                <w:sz w:val="21"/>
                <w:b/>
              </w:rPr>
              <w:t>1.5.4.2.5</w:t>
            </w:r>
            <w:r>
              <w:rPr>
                <w:rFonts w:ascii="宋体" w:hAnsi="宋体" w:cs="宋体" w:eastAsia="宋体"/>
                <w:sz w:val="21"/>
                <w:b/>
              </w:rPr>
              <w:t>安全性要求</w:t>
            </w:r>
          </w:p>
          <w:p>
            <w:pPr>
              <w:pStyle w:val="null3"/>
              <w:ind w:firstLine="420"/>
              <w:jc w:val="both"/>
            </w:pPr>
            <w:r>
              <w:rPr>
                <w:rFonts w:ascii="宋体" w:hAnsi="宋体" w:cs="宋体" w:eastAsia="宋体"/>
                <w:sz w:val="21"/>
              </w:rPr>
              <w:t>为了确保其安全性、稳定性和合规性，本项目需要通过一系列第三方软件测评、网络安全等级保护测评和密码应用安全性评估。以下是这些要求的详细内容：</w:t>
            </w:r>
          </w:p>
          <w:p>
            <w:pPr>
              <w:pStyle w:val="null3"/>
              <w:ind w:firstLine="420"/>
              <w:jc w:val="both"/>
            </w:pPr>
            <w:r>
              <w:rPr>
                <w:rFonts w:ascii="&quot;times new roman&quot;" w:hAnsi="&quot;times new roman&quot;" w:cs="&quot;times new roman&quot;" w:eastAsia="&quot;times new roman&quot;"/>
                <w:sz w:val="21"/>
              </w:rPr>
              <w:t>1.</w:t>
            </w:r>
            <w:r>
              <w:rPr>
                <w:rFonts w:ascii="宋体" w:hAnsi="宋体" w:cs="宋体" w:eastAsia="宋体"/>
                <w:sz w:val="21"/>
              </w:rPr>
              <w:t>第三方软件测评：验证系统的功能、性能等方面是否符合预期标准。包括但不限于功能测试、性能测试等。</w:t>
            </w:r>
          </w:p>
          <w:p>
            <w:pPr>
              <w:pStyle w:val="null3"/>
              <w:ind w:firstLine="420"/>
              <w:jc w:val="both"/>
            </w:pPr>
            <w:r>
              <w:rPr>
                <w:rFonts w:ascii="&quot;times new roman&quot;" w:hAnsi="&quot;times new roman&quot;" w:cs="&quot;times new roman&quot;" w:eastAsia="&quot;times new roman&quot;"/>
                <w:sz w:val="21"/>
              </w:rPr>
              <w:t>2.</w:t>
            </w:r>
            <w:r>
              <w:rPr>
                <w:rFonts w:ascii="宋体" w:hAnsi="宋体" w:cs="宋体" w:eastAsia="宋体"/>
                <w:sz w:val="21"/>
              </w:rPr>
              <w:t>网络安全等级保护测评：遵循《中华人民共和国网络安全法》、《信息安全等级保护管理办法》等法律法规，系统应达到第三级（含）以上信息系统的安全保护等级。每年至少进行一次网络安全等级保护测评。</w:t>
            </w:r>
          </w:p>
          <w:p>
            <w:pPr>
              <w:pStyle w:val="null3"/>
              <w:ind w:firstLine="420"/>
              <w:jc w:val="both"/>
            </w:pPr>
            <w:r>
              <w:rPr>
                <w:rFonts w:ascii="&quot;times new roman&quot;" w:hAnsi="&quot;times new roman&quot;" w:cs="&quot;times new roman&quot;" w:eastAsia="&quot;times new roman&quot;"/>
                <w:sz w:val="21"/>
              </w:rPr>
              <w:t>3.</w:t>
            </w:r>
            <w:r>
              <w:rPr>
                <w:rFonts w:ascii="宋体" w:hAnsi="宋体" w:cs="宋体" w:eastAsia="宋体"/>
                <w:sz w:val="21"/>
              </w:rPr>
              <w:t>密码应用安全性评估：遵守《中华人民共和国密码法》、《中华人民共和国网络安全法》以及《商用密码管理条例》等相关法律法规的规定，系统所使用的密码算法、密码协议、密钥管理等需符合国家密码管理部门制定的相关国家标准和行业标准，达到密评三级要求。</w:t>
            </w:r>
          </w:p>
          <w:p>
            <w:pPr>
              <w:pStyle w:val="null3"/>
              <w:jc w:val="both"/>
            </w:pPr>
            <w:r>
              <w:rPr>
                <w:rFonts w:ascii="宋体" w:hAnsi="宋体" w:cs="宋体" w:eastAsia="宋体"/>
                <w:sz w:val="21"/>
                <w:b/>
              </w:rPr>
              <w:t>1.5.4.3环境现状如下</w:t>
            </w:r>
          </w:p>
          <w:p>
            <w:pPr>
              <w:pStyle w:val="null3"/>
              <w:jc w:val="both"/>
            </w:pPr>
            <w:r>
              <w:rPr>
                <w:rFonts w:ascii="&quot;times new roman&quot;" w:hAnsi="&quot;times new roman&quot;" w:cs="&quot;times new roman&quot;" w:eastAsia="&quot;times new roman&quot;"/>
                <w:sz w:val="21"/>
                <w:b/>
              </w:rPr>
              <w:t xml:space="preserve">    </w:t>
            </w:r>
            <w:r>
              <w:rPr>
                <w:rFonts w:ascii="宋体" w:hAnsi="宋体" w:cs="宋体" w:eastAsia="宋体"/>
                <w:sz w:val="21"/>
              </w:rPr>
              <w:t>根据陕西省医疗保障信息平台整体架构和使用服务对象的应用网络，该工具应满足陕西省医疗保障信息平台现有标准。</w:t>
            </w:r>
          </w:p>
          <w:p>
            <w:pPr>
              <w:pStyle w:val="null3"/>
              <w:jc w:val="center"/>
            </w:pPr>
            <w:r>
              <w:rPr>
                <w:rFonts w:ascii="宋体" w:hAnsi="宋体" w:cs="宋体" w:eastAsia="宋体"/>
                <w:sz w:val="28"/>
                <w:b/>
              </w:rPr>
              <w:t>第</w:t>
            </w:r>
            <w:r>
              <w:rPr>
                <w:rFonts w:ascii="宋体" w:hAnsi="宋体" w:cs="宋体" w:eastAsia="宋体"/>
                <w:sz w:val="28"/>
                <w:b/>
              </w:rPr>
              <w:t>2章</w:t>
            </w:r>
            <w:r>
              <w:rPr>
                <w:rFonts w:ascii="&quot;times new roman&quot;" w:hAnsi="&quot;times new roman&quot;" w:cs="&quot;times new roman&quot;" w:eastAsia="&quot;times new roman&quot;"/>
                <w:sz w:val="21"/>
                <w:b/>
              </w:rPr>
              <w:t xml:space="preserve"> </w:t>
            </w:r>
            <w:r>
              <w:rPr>
                <w:rFonts w:ascii="黑体" w:hAnsi="黑体" w:cs="黑体" w:eastAsia="黑体"/>
                <w:sz w:val="28"/>
                <w:b/>
              </w:rPr>
              <w:t>支撑工具软件总体设计</w:t>
            </w:r>
          </w:p>
          <w:p>
            <w:pPr>
              <w:pStyle w:val="null3"/>
              <w:jc w:val="both"/>
            </w:pPr>
            <w:r>
              <w:rPr>
                <w:rFonts w:ascii="宋体" w:hAnsi="宋体" w:cs="宋体" w:eastAsia="宋体"/>
                <w:sz w:val="21"/>
                <w:b/>
              </w:rPr>
              <w:t>2.1</w:t>
            </w:r>
            <w:r>
              <w:rPr>
                <w:rFonts w:ascii="黑体" w:hAnsi="黑体" w:cs="黑体" w:eastAsia="黑体"/>
                <w:sz w:val="21"/>
                <w:b/>
              </w:rPr>
              <w:t>总体架构设计</w:t>
            </w:r>
          </w:p>
          <w:p>
            <w:pPr>
              <w:pStyle w:val="null3"/>
              <w:ind w:firstLine="420"/>
              <w:jc w:val="both"/>
            </w:pPr>
            <w:r>
              <w:rPr>
                <w:rFonts w:ascii="宋体" w:hAnsi="宋体" w:cs="宋体" w:eastAsia="宋体"/>
                <w:sz w:val="21"/>
              </w:rPr>
              <w:t>本项目实施需提供相关的软件工具，即省内跨统筹区职工基本医疗保障个人账户家庭共济系统。该系统设计遵循统一的标准规范和安全保障体系，其总体架构如下图所示：</w:t>
            </w:r>
          </w:p>
          <w:p>
            <w:pPr>
              <w:pStyle w:val="null3"/>
              <w:jc w:val="both"/>
            </w:pPr>
            <w:r>
              <w:rPr>
                <w:rFonts w:ascii="黑体" w:hAnsi="黑体" w:cs="黑体" w:eastAsia="黑体"/>
                <w:sz w:val="21"/>
              </w:rPr>
              <w:t>图</w:t>
            </w:r>
            <w:r>
              <w:rPr>
                <w:rFonts w:ascii="黑体" w:hAnsi="黑体" w:cs="黑体" w:eastAsia="黑体"/>
                <w:sz w:val="21"/>
              </w:rPr>
              <w:t>4</w:t>
            </w:r>
            <w:r>
              <w:rPr>
                <w:rFonts w:ascii="黑体" w:hAnsi="黑体" w:cs="黑体" w:eastAsia="黑体"/>
                <w:sz w:val="21"/>
              </w:rPr>
              <w:t>-4</w:t>
            </w:r>
            <w:r>
              <w:rPr>
                <w:rFonts w:ascii="黑体" w:hAnsi="黑体" w:cs="黑体" w:eastAsia="黑体"/>
                <w:sz w:val="21"/>
              </w:rPr>
              <w:t>总体架构</w:t>
            </w:r>
          </w:p>
          <w:p>
            <w:pPr>
              <w:pStyle w:val="null3"/>
              <w:ind w:firstLine="420"/>
              <w:jc w:val="both"/>
            </w:pPr>
            <w:r>
              <w:rPr>
                <w:rFonts w:ascii="&quot;times new roman&quot;" w:hAnsi="&quot;times new roman&quot;" w:cs="&quot;times new roman&quot;" w:eastAsia="&quot;times new roman&quot;"/>
                <w:sz w:val="21"/>
              </w:rPr>
              <w:t>1</w:t>
            </w:r>
            <w:r>
              <w:rPr>
                <w:rFonts w:ascii="宋体" w:hAnsi="宋体" w:cs="宋体" w:eastAsia="宋体"/>
                <w:sz w:val="21"/>
              </w:rPr>
              <w:t>、基础设施层：基于陕西省医疗保障信息平台现有的基础设施进行建设，包括服务器设备、网络设备、存储设备、集群软件、安全设备、操作系统、数据库软件、中间件等。</w:t>
            </w:r>
          </w:p>
          <w:p>
            <w:pPr>
              <w:pStyle w:val="null3"/>
              <w:ind w:firstLine="420"/>
              <w:jc w:val="both"/>
            </w:pPr>
            <w:r>
              <w:rPr>
                <w:rFonts w:ascii="&quot;times new roman&quot;" w:hAnsi="&quot;times new roman&quot;" w:cs="&quot;times new roman&quot;" w:eastAsia="&quot;times new roman&quot;"/>
                <w:sz w:val="21"/>
              </w:rPr>
              <w:t>2</w:t>
            </w:r>
            <w:r>
              <w:rPr>
                <w:rFonts w:ascii="宋体" w:hAnsi="宋体" w:cs="宋体" w:eastAsia="宋体"/>
                <w:sz w:val="21"/>
              </w:rPr>
              <w:t>、数据资源层：主要包括家庭共济绑定数据、家庭共济结算数据、异地共济清算数据和异地共济拨付数据等数据，以支持系统的业务运行。</w:t>
            </w:r>
          </w:p>
          <w:p>
            <w:pPr>
              <w:pStyle w:val="null3"/>
              <w:ind w:firstLine="420"/>
              <w:jc w:val="both"/>
            </w:pPr>
            <w:r>
              <w:rPr>
                <w:rFonts w:ascii="&quot;times new roman&quot;" w:hAnsi="&quot;times new roman&quot;" w:cs="&quot;times new roman&quot;" w:eastAsia="&quot;times new roman&quot;"/>
                <w:sz w:val="21"/>
              </w:rPr>
              <w:t>3</w:t>
            </w:r>
            <w:r>
              <w:rPr>
                <w:rFonts w:ascii="宋体" w:hAnsi="宋体" w:cs="宋体" w:eastAsia="宋体"/>
                <w:sz w:val="21"/>
              </w:rPr>
              <w:t>、应用支撑层：应用支撑层包含云服务支撑和</w:t>
            </w:r>
            <w:r>
              <w:rPr>
                <w:rFonts w:ascii="&quot;times new roman&quot;" w:hAnsi="&quot;times new roman&quot;" w:cs="&quot;times new roman&quot;" w:eastAsia="&quot;times new roman&quot;"/>
                <w:sz w:val="21"/>
              </w:rPr>
              <w:t>HSAF</w:t>
            </w:r>
            <w:r>
              <w:rPr>
                <w:rFonts w:ascii="宋体" w:hAnsi="宋体" w:cs="宋体" w:eastAsia="宋体"/>
                <w:sz w:val="21"/>
              </w:rPr>
              <w:t>核心框架及适配框架。其中云服务支撑包括分布式服务、分布式缓存服务、分布式数据访问服务、分布式日志服务、消息队列服务、非结构化存储服务等。</w:t>
            </w:r>
          </w:p>
          <w:p>
            <w:pPr>
              <w:pStyle w:val="null3"/>
              <w:ind w:firstLine="420"/>
              <w:jc w:val="both"/>
            </w:pPr>
            <w:r>
              <w:rPr>
                <w:rFonts w:ascii="&quot;times new roman&quot;" w:hAnsi="&quot;times new roman&quot;" w:cs="&quot;times new roman&quot;" w:eastAsia="&quot;times new roman&quot;"/>
                <w:sz w:val="21"/>
              </w:rPr>
              <w:t>4</w:t>
            </w:r>
            <w:r>
              <w:rPr>
                <w:rFonts w:ascii="宋体" w:hAnsi="宋体" w:cs="宋体" w:eastAsia="宋体"/>
                <w:sz w:val="21"/>
              </w:rPr>
              <w:t>、应用层：应用层是系统的主要功能，包括备案管理、受理管理、资金上解下拨管理、财务数据管理、拨付管理、查询统计、报表管理、异地账户共济交互管理等功能模块。</w:t>
            </w:r>
          </w:p>
          <w:p>
            <w:pPr>
              <w:pStyle w:val="null3"/>
              <w:ind w:firstLine="420"/>
              <w:jc w:val="both"/>
            </w:pPr>
            <w:r>
              <w:rPr>
                <w:rFonts w:ascii="&quot;times new roman&quot;" w:hAnsi="&quot;times new roman&quot;" w:cs="&quot;times new roman&quot;" w:eastAsia="&quot;times new roman&quot;"/>
                <w:sz w:val="21"/>
              </w:rPr>
              <w:t>5</w:t>
            </w:r>
            <w:r>
              <w:rPr>
                <w:rFonts w:ascii="宋体" w:hAnsi="宋体" w:cs="宋体" w:eastAsia="宋体"/>
                <w:sz w:val="21"/>
              </w:rPr>
              <w:t>、展示层：主要包括移动智能终端、桌面终端、自助终端等。</w:t>
            </w:r>
          </w:p>
          <w:p>
            <w:pPr>
              <w:pStyle w:val="null3"/>
              <w:ind w:firstLine="420"/>
              <w:jc w:val="both"/>
            </w:pPr>
            <w:r>
              <w:rPr>
                <w:rFonts w:ascii="&quot;times new roman&quot;" w:hAnsi="&quot;times new roman&quot;" w:cs="&quot;times new roman&quot;" w:eastAsia="&quot;times new roman&quot;"/>
                <w:sz w:val="21"/>
              </w:rPr>
              <w:t>6</w:t>
            </w:r>
            <w:r>
              <w:rPr>
                <w:rFonts w:ascii="宋体" w:hAnsi="宋体" w:cs="宋体" w:eastAsia="宋体"/>
                <w:sz w:val="21"/>
              </w:rPr>
              <w:t>、用户层：用户层主要是系统的使用对象，包括医保经办部门、参保人、参保单位及其他相关人员。</w:t>
            </w:r>
          </w:p>
          <w:p>
            <w:pPr>
              <w:pStyle w:val="null3"/>
              <w:jc w:val="both"/>
            </w:pPr>
            <w:r>
              <w:rPr>
                <w:rFonts w:ascii="宋体" w:hAnsi="宋体" w:cs="宋体" w:eastAsia="宋体"/>
                <w:sz w:val="21"/>
                <w:b/>
              </w:rPr>
              <w:t>2.2</w:t>
            </w:r>
            <w:r>
              <w:rPr>
                <w:rFonts w:ascii="黑体" w:hAnsi="黑体" w:cs="黑体" w:eastAsia="黑体"/>
                <w:sz w:val="21"/>
                <w:b/>
              </w:rPr>
              <w:t>数据架构设计</w:t>
            </w:r>
          </w:p>
          <w:p>
            <w:pPr>
              <w:pStyle w:val="null3"/>
              <w:ind w:firstLine="420"/>
              <w:jc w:val="both"/>
            </w:pPr>
            <w:r>
              <w:rPr>
                <w:rFonts w:ascii="宋体" w:hAnsi="宋体" w:cs="宋体" w:eastAsia="宋体"/>
                <w:sz w:val="21"/>
              </w:rPr>
              <w:t>本项目支撑软件工具的所需数据主要来源于各个医保统筹区的医保系统、医疗机构、零售药店等。这些系统的数据包括基础资源类数据、交易结算类数据、清算拨付类数据和账户共济类数据，各地市医药机构的数据通过接口统一上传相关数据至省医保信息平台，然后经过数据分析、整合汇聚形成各类数据，支撑软件工具通过与省医保平台相关接口对接，以实现异地家庭账户共济相关业务的办理。</w:t>
            </w:r>
          </w:p>
          <w:p>
            <w:pPr>
              <w:pStyle w:val="null3"/>
              <w:ind w:firstLine="420"/>
              <w:jc w:val="both"/>
            </w:pPr>
            <w:r>
              <w:rPr>
                <w:rFonts w:ascii="宋体" w:hAnsi="宋体" w:cs="宋体" w:eastAsia="宋体"/>
                <w:sz w:val="21"/>
              </w:rPr>
              <w:t>其数据架构如下图所示：</w:t>
            </w:r>
          </w:p>
          <w:p>
            <w:pPr>
              <w:pStyle w:val="null3"/>
              <w:jc w:val="both"/>
            </w:pPr>
            <w:r>
              <w:rPr>
                <w:rFonts w:ascii="&quot;times new roman&quot;" w:hAnsi="&quot;times new roman&quot;" w:cs="&quot;times new roman&quot;" w:eastAsia="&quot;times new roman&quot;"/>
                <w:sz w:val="21"/>
              </w:rPr>
              <w:t xml:space="preserve"> </w:t>
            </w:r>
          </w:p>
          <w:p>
            <w:pPr>
              <w:pStyle w:val="null3"/>
              <w:jc w:val="center"/>
            </w:pPr>
            <w:r>
              <w:rPr>
                <w:rFonts w:ascii="黑体" w:hAnsi="黑体" w:cs="黑体" w:eastAsia="黑体"/>
                <w:sz w:val="21"/>
              </w:rPr>
              <w:t>图</w:t>
            </w:r>
            <w:r>
              <w:rPr>
                <w:rFonts w:ascii="黑体" w:hAnsi="黑体" w:cs="黑体" w:eastAsia="黑体"/>
                <w:sz w:val="21"/>
              </w:rPr>
              <w:t>4</w:t>
            </w:r>
            <w:r>
              <w:rPr>
                <w:rFonts w:ascii="黑体" w:hAnsi="黑体" w:cs="黑体" w:eastAsia="黑体"/>
                <w:sz w:val="21"/>
              </w:rPr>
              <w:t>-5</w:t>
            </w:r>
            <w:r>
              <w:rPr>
                <w:rFonts w:ascii="黑体" w:hAnsi="黑体" w:cs="黑体" w:eastAsia="黑体"/>
                <w:sz w:val="21"/>
              </w:rPr>
              <w:t>数据架构</w:t>
            </w:r>
          </w:p>
          <w:p>
            <w:pPr>
              <w:pStyle w:val="null3"/>
              <w:jc w:val="both"/>
            </w:pPr>
            <w:r>
              <w:rPr>
                <w:rFonts w:ascii="宋体" w:hAnsi="宋体" w:cs="宋体" w:eastAsia="宋体"/>
                <w:sz w:val="21"/>
                <w:b/>
              </w:rPr>
              <w:t>2.3</w:t>
            </w:r>
            <w:r>
              <w:rPr>
                <w:rFonts w:ascii="黑体" w:hAnsi="黑体" w:cs="黑体" w:eastAsia="黑体"/>
                <w:sz w:val="21"/>
                <w:b/>
              </w:rPr>
              <w:t>技术架构设计</w:t>
            </w:r>
          </w:p>
          <w:p>
            <w:pPr>
              <w:pStyle w:val="null3"/>
              <w:ind w:firstLine="420"/>
              <w:jc w:val="both"/>
            </w:pPr>
            <w:r>
              <w:rPr>
                <w:rFonts w:ascii="宋体" w:hAnsi="宋体" w:cs="宋体" w:eastAsia="宋体"/>
                <w:sz w:val="21"/>
              </w:rPr>
              <w:t>陕西省医疗保障局根据《医疗保障信息平台建设指南》的有关要求，搭建了完整的技术架构体系，为保证系统技术的统一性原则，本次支持软件工具建设也基于现有技术架构进行。</w:t>
            </w:r>
          </w:p>
          <w:p>
            <w:pPr>
              <w:pStyle w:val="null3"/>
              <w:jc w:val="both"/>
            </w:pPr>
            <w:r>
              <w:rPr>
                <w:rFonts w:ascii="&quot;times new roman&quot;" w:hAnsi="&quot;times new roman&quot;" w:cs="&quot;times new roman&quot;" w:eastAsia="&quot;times new roman&quot;"/>
                <w:sz w:val="21"/>
              </w:rPr>
              <w:t xml:space="preserve"> </w:t>
            </w:r>
          </w:p>
          <w:p>
            <w:pPr>
              <w:pStyle w:val="null3"/>
              <w:jc w:val="center"/>
            </w:pPr>
            <w:r>
              <w:rPr>
                <w:rFonts w:ascii="黑体" w:hAnsi="黑体" w:cs="黑体" w:eastAsia="黑体"/>
                <w:sz w:val="21"/>
              </w:rPr>
              <w:t>图</w:t>
            </w:r>
            <w:r>
              <w:rPr>
                <w:rFonts w:ascii="黑体" w:hAnsi="黑体" w:cs="黑体" w:eastAsia="黑体"/>
                <w:sz w:val="21"/>
              </w:rPr>
              <w:t>4</w:t>
            </w:r>
            <w:r>
              <w:rPr>
                <w:rFonts w:ascii="黑体" w:hAnsi="黑体" w:cs="黑体" w:eastAsia="黑体"/>
                <w:sz w:val="21"/>
              </w:rPr>
              <w:t>-6</w:t>
            </w:r>
            <w:r>
              <w:rPr>
                <w:rFonts w:ascii="黑体" w:hAnsi="黑体" w:cs="黑体" w:eastAsia="黑体"/>
                <w:sz w:val="21"/>
              </w:rPr>
              <w:t>技术架构</w:t>
            </w:r>
          </w:p>
          <w:p>
            <w:pPr>
              <w:pStyle w:val="null3"/>
              <w:ind w:firstLine="420"/>
              <w:jc w:val="both"/>
            </w:pPr>
            <w:r>
              <w:rPr>
                <w:rFonts w:ascii="宋体" w:hAnsi="宋体" w:cs="宋体" w:eastAsia="宋体"/>
                <w:sz w:val="21"/>
              </w:rPr>
              <w:t>系统总体技术架构采用分布式云架构，在基础设施层上，结合云平台，提供分布式服务支撑。基于统一的技术框架建设省内跨统筹区职工基本医疗保障个人账户家庭共济系统。</w:t>
            </w:r>
          </w:p>
          <w:p>
            <w:pPr>
              <w:pStyle w:val="null3"/>
              <w:ind w:firstLine="420"/>
              <w:jc w:val="both"/>
            </w:pPr>
            <w:r>
              <w:rPr>
                <w:rFonts w:ascii="&quot;times new roman&quot;" w:hAnsi="&quot;times new roman&quot;" w:cs="&quot;times new roman&quot;" w:eastAsia="&quot;times new roman&quot;"/>
                <w:sz w:val="21"/>
              </w:rPr>
              <w:t>1.</w:t>
            </w:r>
            <w:r>
              <w:rPr>
                <w:rFonts w:ascii="宋体" w:hAnsi="宋体" w:cs="宋体" w:eastAsia="宋体"/>
                <w:sz w:val="21"/>
              </w:rPr>
              <w:t>应用系统：系统基于医疗保障应用框架（</w:t>
            </w:r>
            <w:r>
              <w:rPr>
                <w:rFonts w:ascii="&quot;times new roman&quot;" w:hAnsi="&quot;times new roman&quot;" w:cs="&quot;times new roman&quot;" w:eastAsia="&quot;times new roman&quot;"/>
                <w:sz w:val="21"/>
              </w:rPr>
              <w:t>Healthcare Security Application Framework</w:t>
            </w:r>
            <w:r>
              <w:rPr>
                <w:rFonts w:ascii="宋体" w:hAnsi="宋体" w:cs="宋体" w:eastAsia="宋体"/>
                <w:sz w:val="21"/>
              </w:rPr>
              <w:t>，简称：</w:t>
            </w:r>
            <w:r>
              <w:rPr>
                <w:rFonts w:ascii="&quot;times new roman&quot;" w:hAnsi="&quot;times new roman&quot;" w:cs="&quot;times new roman&quot;" w:eastAsia="&quot;times new roman&quot;"/>
                <w:sz w:val="21"/>
              </w:rPr>
              <w:t>HSAF</w:t>
            </w:r>
            <w:r>
              <w:rPr>
                <w:rFonts w:ascii="宋体" w:hAnsi="宋体" w:cs="宋体" w:eastAsia="宋体"/>
                <w:sz w:val="21"/>
              </w:rPr>
              <w:t>）开发。</w:t>
            </w:r>
          </w:p>
          <w:p>
            <w:pPr>
              <w:pStyle w:val="null3"/>
              <w:ind w:firstLine="420"/>
              <w:jc w:val="both"/>
            </w:pPr>
            <w:r>
              <w:rPr>
                <w:rFonts w:ascii="&quot;times new roman&quot;" w:hAnsi="&quot;times new roman&quot;" w:cs="&quot;times new roman&quot;" w:eastAsia="&quot;times new roman&quot;"/>
                <w:sz w:val="21"/>
              </w:rPr>
              <w:t>2.HSAF</w:t>
            </w:r>
            <w:r>
              <w:rPr>
                <w:rFonts w:ascii="宋体" w:hAnsi="宋体" w:cs="宋体" w:eastAsia="宋体"/>
                <w:sz w:val="21"/>
              </w:rPr>
              <w:t>框架：采用分布式云架构，封装核心云支撑服务适配接口，用于实现云产品解耦设计。</w:t>
            </w:r>
          </w:p>
          <w:p>
            <w:pPr>
              <w:pStyle w:val="null3"/>
              <w:ind w:firstLine="420"/>
              <w:jc w:val="both"/>
            </w:pPr>
            <w:r>
              <w:rPr>
                <w:rFonts w:ascii="&quot;times new roman&quot;" w:hAnsi="&quot;times new roman&quot;" w:cs="&quot;times new roman&quot;" w:eastAsia="&quot;times new roman&quot;"/>
                <w:sz w:val="21"/>
              </w:rPr>
              <w:t>3.</w:t>
            </w:r>
            <w:r>
              <w:rPr>
                <w:rFonts w:ascii="宋体" w:hAnsi="宋体" w:cs="宋体" w:eastAsia="宋体"/>
                <w:sz w:val="21"/>
              </w:rPr>
              <w:t>适配层：基于</w:t>
            </w:r>
            <w:r>
              <w:rPr>
                <w:rFonts w:ascii="&quot;times new roman&quot;" w:hAnsi="&quot;times new roman&quot;" w:cs="&quot;times new roman&quot;" w:eastAsia="&quot;times new roman&quot;"/>
                <w:sz w:val="21"/>
              </w:rPr>
              <w:t>HSAF</w:t>
            </w:r>
            <w:r>
              <w:rPr>
                <w:rFonts w:ascii="宋体" w:hAnsi="宋体" w:cs="宋体" w:eastAsia="宋体"/>
                <w:sz w:val="21"/>
              </w:rPr>
              <w:t>的适配技术，将应用层依赖的分布式技术与具体厂商的分布式技术进行适配，实现应用层可以适配多家厂商的分布式技术。</w:t>
            </w:r>
          </w:p>
          <w:p>
            <w:pPr>
              <w:pStyle w:val="null3"/>
              <w:ind w:firstLine="420"/>
              <w:jc w:val="both"/>
            </w:pPr>
            <w:r>
              <w:rPr>
                <w:rFonts w:ascii="&quot;times new roman&quot;" w:hAnsi="&quot;times new roman&quot;" w:cs="&quot;times new roman&quot;" w:eastAsia="&quot;times new roman&quot;"/>
                <w:sz w:val="21"/>
              </w:rPr>
              <w:t>4.</w:t>
            </w:r>
            <w:r>
              <w:rPr>
                <w:rFonts w:ascii="宋体" w:hAnsi="宋体" w:cs="宋体" w:eastAsia="宋体"/>
                <w:sz w:val="21"/>
              </w:rPr>
              <w:t>云支撑服务：基于云基础设施，为应用层提供通用的技术支撑服务，包括分布式服务、分布式缓存、分布式数据访问、分布式日志服务、非结构化存储和消息队列等。</w:t>
            </w:r>
          </w:p>
          <w:p>
            <w:pPr>
              <w:pStyle w:val="null3"/>
              <w:ind w:firstLine="420"/>
              <w:jc w:val="both"/>
            </w:pPr>
            <w:r>
              <w:rPr>
                <w:rFonts w:ascii="&quot;times new roman&quot;" w:hAnsi="&quot;times new roman&quot;" w:cs="&quot;times new roman&quot;" w:eastAsia="&quot;times new roman&quot;"/>
                <w:sz w:val="21"/>
              </w:rPr>
              <w:t>5.</w:t>
            </w:r>
            <w:r>
              <w:rPr>
                <w:rFonts w:ascii="宋体" w:hAnsi="宋体" w:cs="宋体" w:eastAsia="宋体"/>
                <w:sz w:val="21"/>
              </w:rPr>
              <w:t>云基础设施层：采用云架构，在物理设备基础上，实现计算资源、存储资源、网络资源的动态管理和资源调配。</w:t>
            </w:r>
          </w:p>
          <w:p>
            <w:pPr>
              <w:pStyle w:val="null3"/>
              <w:jc w:val="both"/>
            </w:pPr>
            <w:r>
              <w:rPr>
                <w:rFonts w:ascii="黑体" w:hAnsi="黑体" w:cs="黑体" w:eastAsia="黑体"/>
                <w:sz w:val="21"/>
              </w:rPr>
              <w:t>图</w:t>
            </w:r>
            <w:r>
              <w:rPr>
                <w:rFonts w:ascii="黑体" w:hAnsi="黑体" w:cs="黑体" w:eastAsia="黑体"/>
                <w:sz w:val="21"/>
              </w:rPr>
              <w:t>4</w:t>
            </w:r>
            <w:r>
              <w:rPr>
                <w:rFonts w:ascii="黑体" w:hAnsi="黑体" w:cs="黑体" w:eastAsia="黑体"/>
                <w:sz w:val="21"/>
              </w:rPr>
              <w:t>-7</w:t>
            </w:r>
            <w:r>
              <w:rPr>
                <w:rFonts w:ascii="黑体" w:hAnsi="黑体" w:cs="黑体" w:eastAsia="黑体"/>
                <w:sz w:val="21"/>
              </w:rPr>
              <w:t>详细技术架构</w:t>
            </w:r>
          </w:p>
          <w:p>
            <w:pPr>
              <w:pStyle w:val="null3"/>
              <w:jc w:val="center"/>
            </w:pPr>
            <w:r>
              <w:rPr>
                <w:rFonts w:ascii="宋体" w:hAnsi="宋体" w:cs="宋体" w:eastAsia="宋体"/>
                <w:sz w:val="21"/>
                <w:b/>
              </w:rPr>
              <w:t>2.4</w:t>
            </w:r>
            <w:r>
              <w:rPr>
                <w:rFonts w:ascii="黑体" w:hAnsi="黑体" w:cs="黑体" w:eastAsia="黑体"/>
                <w:sz w:val="21"/>
                <w:b/>
              </w:rPr>
              <w:t>系统网络拓扑架构设计</w:t>
            </w:r>
          </w:p>
          <w:p>
            <w:pPr>
              <w:pStyle w:val="null3"/>
              <w:ind w:firstLine="240"/>
              <w:jc w:val="both"/>
            </w:pPr>
            <w:r>
              <w:rPr>
                <w:rFonts w:ascii="&quot;times new roman&quot;" w:hAnsi="&quot;times new roman&quot;" w:cs="&quot;times new roman&quot;" w:eastAsia="&quot;times new roman&quot;"/>
                <w:sz w:val="21"/>
              </w:rPr>
              <w:t xml:space="preserve"> </w:t>
            </w:r>
          </w:p>
          <w:p>
            <w:pPr>
              <w:pStyle w:val="null3"/>
              <w:ind w:firstLine="420"/>
              <w:jc w:val="both"/>
            </w:pPr>
            <w:r>
              <w:rPr>
                <w:rFonts w:ascii="宋体" w:hAnsi="宋体" w:cs="宋体" w:eastAsia="宋体"/>
                <w:sz w:val="21"/>
              </w:rPr>
              <w:t>如上图所示，根据陕西省医疗保障信息平台整体架构和使用服务对象应用网络，支撑工具软件需部署在省医保云平台的医保核心业务区，基于省医保信息平台的计算、存储、中间件、网络等资源部署。同时，该支撑软件工具将配合省医保云平台在灾备机房进行灾备部署。</w:t>
            </w:r>
          </w:p>
          <w:p>
            <w:pPr>
              <w:pStyle w:val="null3"/>
              <w:jc w:val="both"/>
            </w:pPr>
            <w:r>
              <w:rPr>
                <w:rFonts w:ascii="宋体" w:hAnsi="宋体" w:cs="宋体" w:eastAsia="宋体"/>
                <w:sz w:val="21"/>
                <w:b/>
              </w:rPr>
              <w:t>2.5</w:t>
            </w:r>
            <w:r>
              <w:rPr>
                <w:rFonts w:ascii="黑体" w:hAnsi="黑体" w:cs="黑体" w:eastAsia="黑体"/>
                <w:sz w:val="21"/>
                <w:b/>
              </w:rPr>
              <w:t>业务流程设计</w:t>
            </w:r>
          </w:p>
          <w:p>
            <w:pPr>
              <w:pStyle w:val="null3"/>
              <w:ind w:firstLine="480"/>
              <w:jc w:val="center"/>
            </w:pPr>
            <w:r>
              <w:rPr>
                <w:rFonts w:ascii="宋体" w:hAnsi="宋体" w:cs="宋体" w:eastAsia="宋体"/>
                <w:sz w:val="21"/>
              </w:rPr>
              <w:t>图</w:t>
            </w:r>
            <w:r>
              <w:rPr>
                <w:rFonts w:ascii="&quot;times new roman&quot;" w:hAnsi="&quot;times new roman&quot;" w:cs="&quot;times new roman&quot;" w:eastAsia="&quot;times new roman&quot;"/>
                <w:sz w:val="21"/>
              </w:rPr>
              <w:t>4-1</w:t>
            </w:r>
            <w:r>
              <w:rPr>
                <w:rFonts w:ascii="宋体" w:hAnsi="宋体" w:cs="宋体" w:eastAsia="宋体"/>
                <w:sz w:val="21"/>
              </w:rPr>
              <w:t>业务流程示意图</w:t>
            </w:r>
          </w:p>
          <w:p>
            <w:pPr>
              <w:pStyle w:val="null3"/>
              <w:ind w:firstLine="420"/>
              <w:jc w:val="both"/>
            </w:pPr>
            <w:r>
              <w:rPr>
                <w:rFonts w:ascii="宋体" w:hAnsi="宋体" w:cs="宋体" w:eastAsia="宋体"/>
                <w:sz w:val="21"/>
              </w:rPr>
              <w:t>如图所示，参保人在完成陕西省内跨统筹区家庭账户共济绑定后，使用人可以前往任意医保定点医药机构完成医保费用报销后，省内跨统筹区职工基本医疗保障个人账户家庭共济系统均可以按月进行月度结算，并进行全省统一清算。</w:t>
            </w:r>
          </w:p>
          <w:p>
            <w:pPr>
              <w:pStyle w:val="null3"/>
              <w:jc w:val="center"/>
            </w:pPr>
            <w:r>
              <w:rPr>
                <w:rFonts w:ascii="宋体" w:hAnsi="宋体" w:cs="宋体" w:eastAsia="宋体"/>
                <w:sz w:val="28"/>
                <w:b/>
              </w:rPr>
              <w:t>第</w:t>
            </w:r>
            <w:r>
              <w:rPr>
                <w:rFonts w:ascii="宋体" w:hAnsi="宋体" w:cs="宋体" w:eastAsia="宋体"/>
                <w:sz w:val="28"/>
                <w:b/>
              </w:rPr>
              <w:t>3章</w:t>
            </w:r>
            <w:r>
              <w:rPr>
                <w:rFonts w:ascii="&quot;times new roman&quot;" w:hAnsi="&quot;times new roman&quot;" w:cs="&quot;times new roman&quot;" w:eastAsia="&quot;times new roman&quot;"/>
                <w:sz w:val="21"/>
                <w:b/>
              </w:rPr>
              <w:t xml:space="preserve"> </w:t>
            </w:r>
            <w:r>
              <w:rPr>
                <w:rFonts w:ascii="黑体" w:hAnsi="黑体" w:cs="黑体" w:eastAsia="黑体"/>
                <w:sz w:val="28"/>
                <w:b/>
              </w:rPr>
              <w:t>服务方案</w:t>
            </w:r>
          </w:p>
          <w:p>
            <w:pPr>
              <w:pStyle w:val="null3"/>
              <w:jc w:val="both"/>
            </w:pPr>
            <w:r>
              <w:rPr>
                <w:rFonts w:ascii="宋体" w:hAnsi="宋体" w:cs="宋体" w:eastAsia="宋体"/>
                <w:sz w:val="21"/>
                <w:b/>
              </w:rPr>
              <w:t>3.1</w:t>
            </w:r>
            <w:r>
              <w:rPr>
                <w:rFonts w:ascii="黑体" w:hAnsi="黑体" w:cs="黑体" w:eastAsia="黑体"/>
                <w:sz w:val="21"/>
                <w:b/>
              </w:rPr>
              <w:t>服务方案</w:t>
            </w:r>
          </w:p>
          <w:p>
            <w:pPr>
              <w:pStyle w:val="null3"/>
              <w:jc w:val="both"/>
            </w:pPr>
            <w:r>
              <w:rPr>
                <w:rFonts w:ascii="宋体" w:hAnsi="宋体" w:cs="宋体" w:eastAsia="宋体"/>
                <w:sz w:val="21"/>
                <w:b/>
              </w:rPr>
              <w:t>3.1.1</w:t>
            </w:r>
            <w:r>
              <w:rPr>
                <w:rFonts w:ascii="黑体" w:hAnsi="黑体" w:cs="黑体" w:eastAsia="黑体"/>
                <w:sz w:val="21"/>
                <w:b/>
              </w:rPr>
              <w:t>服务目标</w:t>
            </w:r>
          </w:p>
          <w:p>
            <w:pPr>
              <w:pStyle w:val="null3"/>
              <w:ind w:firstLine="420"/>
              <w:jc w:val="both"/>
            </w:pPr>
            <w:r>
              <w:rPr>
                <w:rFonts w:ascii="宋体" w:hAnsi="宋体" w:cs="宋体" w:eastAsia="宋体"/>
                <w:sz w:val="21"/>
              </w:rPr>
              <w:t>本项目服务范围和规模：全省医疗保障局的基金管理部门、结算部门、信息管理部门、综合业务部门、异地就医管理部门，以及参加职工医疗保险的用户及其家庭成员。通过全省医疗保障局内外各相关部门的协作，以实现省内跨统筹区</w:t>
            </w:r>
            <w:r>
              <w:rPr>
                <w:rFonts w:ascii="宋体" w:hAnsi="宋体" w:cs="宋体" w:eastAsia="宋体"/>
                <w:sz w:val="21"/>
              </w:rPr>
              <w:t>及</w:t>
            </w:r>
            <w:r>
              <w:rPr>
                <w:rFonts w:ascii="宋体" w:hAnsi="宋体" w:cs="宋体" w:eastAsia="宋体"/>
                <w:sz w:val="21"/>
              </w:rPr>
              <w:t>跨省</w:t>
            </w:r>
            <w:r>
              <w:rPr>
                <w:rFonts w:ascii="宋体" w:hAnsi="宋体" w:cs="宋体" w:eastAsia="宋体"/>
                <w:sz w:val="21"/>
              </w:rPr>
              <w:t>职工基本医疗保险个人账户家庭共济，医保参保人可以将自己医保个人账户的资金授权给同省不同医保统筹区的直系</w:t>
            </w:r>
            <w:r>
              <w:rPr>
                <w:rFonts w:ascii="宋体" w:hAnsi="宋体" w:cs="宋体" w:eastAsia="宋体"/>
                <w:sz w:val="21"/>
              </w:rPr>
              <w:t>亲属使用，包括配偶、子女、父母及其配偶的父母等近亲属。根据国家医保局及省委省政府统一安排部署，提供职工个人账户家庭共济等其他服务。</w:t>
            </w:r>
          </w:p>
          <w:p>
            <w:pPr>
              <w:pStyle w:val="null3"/>
              <w:ind w:firstLine="420"/>
              <w:jc w:val="both"/>
            </w:pPr>
            <w:r>
              <w:rPr>
                <w:rFonts w:ascii="宋体" w:hAnsi="宋体" w:cs="宋体" w:eastAsia="宋体"/>
                <w:sz w:val="21"/>
              </w:rPr>
              <w:t>其服务目标如下所示：</w:t>
            </w:r>
          </w:p>
          <w:p>
            <w:pPr>
              <w:pStyle w:val="null3"/>
              <w:ind w:firstLine="422"/>
              <w:jc w:val="both"/>
            </w:pPr>
            <w:r>
              <w:rPr>
                <w:rFonts w:ascii="&quot;times new roman&quot;" w:hAnsi="&quot;times new roman&quot;" w:cs="&quot;times new roman&quot;" w:eastAsia="&quot;times new roman&quot;"/>
                <w:sz w:val="21"/>
                <w:b/>
              </w:rPr>
              <w:t>1.</w:t>
            </w:r>
            <w:r>
              <w:rPr>
                <w:rFonts w:ascii="宋体" w:hAnsi="宋体" w:cs="宋体" w:eastAsia="宋体"/>
                <w:sz w:val="21"/>
                <w:b/>
              </w:rPr>
              <w:t>政务目标</w:t>
            </w:r>
          </w:p>
          <w:p>
            <w:pPr>
              <w:pStyle w:val="null3"/>
              <w:ind w:firstLine="420"/>
              <w:jc w:val="both"/>
            </w:pP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）通过实现省内跨统筹区</w:t>
            </w:r>
            <w:r>
              <w:rPr>
                <w:rFonts w:ascii="宋体" w:hAnsi="宋体" w:cs="宋体" w:eastAsia="宋体"/>
                <w:sz w:val="21"/>
              </w:rPr>
              <w:t>及</w:t>
            </w:r>
            <w:r>
              <w:rPr>
                <w:rFonts w:ascii="宋体" w:hAnsi="宋体" w:cs="宋体" w:eastAsia="宋体"/>
                <w:sz w:val="21"/>
              </w:rPr>
              <w:t>跨省</w:t>
            </w:r>
            <w:r>
              <w:rPr>
                <w:rFonts w:ascii="宋体" w:hAnsi="宋体" w:cs="宋体" w:eastAsia="宋体"/>
                <w:sz w:val="21"/>
              </w:rPr>
              <w:t>职工基本医疗保险个人账户家庭共济，进一步拓宽职工医保个人账户的使用范围，减轻参保群众家庭医疗费用负担。</w:t>
            </w:r>
          </w:p>
          <w:p>
            <w:pPr>
              <w:pStyle w:val="null3"/>
              <w:ind w:firstLine="420"/>
              <w:jc w:val="both"/>
            </w:pPr>
            <w:r>
              <w:rPr>
                <w:rFonts w:ascii="宋体" w:hAnsi="宋体" w:cs="宋体" w:eastAsia="宋体"/>
                <w:sz w:val="21"/>
              </w:rPr>
              <w:t>（</w:t>
            </w:r>
            <w:r>
              <w:rPr>
                <w:rFonts w:ascii="&quot;times new roman&quot;" w:hAnsi="&quot;times new roman&quot;" w:cs="&quot;times new roman&quot;" w:eastAsia="&quot;times new roman&quot;"/>
                <w:sz w:val="21"/>
              </w:rPr>
              <w:t>2</w:t>
            </w:r>
            <w:r>
              <w:rPr>
                <w:rFonts w:ascii="宋体" w:hAnsi="宋体" w:cs="宋体" w:eastAsia="宋体"/>
                <w:sz w:val="21"/>
              </w:rPr>
              <w:t>）通过实现省内跨统筹区</w:t>
            </w:r>
            <w:r>
              <w:rPr>
                <w:rFonts w:ascii="宋体" w:hAnsi="宋体" w:cs="宋体" w:eastAsia="宋体"/>
                <w:sz w:val="21"/>
              </w:rPr>
              <w:t>及</w:t>
            </w:r>
            <w:r>
              <w:rPr>
                <w:rFonts w:ascii="宋体" w:hAnsi="宋体" w:cs="宋体" w:eastAsia="宋体"/>
                <w:sz w:val="21"/>
              </w:rPr>
              <w:t>跨省</w:t>
            </w:r>
            <w:r>
              <w:rPr>
                <w:rFonts w:ascii="宋体" w:hAnsi="宋体" w:cs="宋体" w:eastAsia="宋体"/>
                <w:sz w:val="21"/>
              </w:rPr>
              <w:t>职工基本医疗保险个人账户家庭共济，推进医保进一步改革，提高医保基金使用效率，确保医保基金平稳运行，同时合理控制费用增速和住院率。</w:t>
            </w:r>
          </w:p>
          <w:p>
            <w:pPr>
              <w:pStyle w:val="null3"/>
              <w:ind w:firstLine="420"/>
              <w:jc w:val="both"/>
            </w:pPr>
            <w:r>
              <w:rPr>
                <w:rFonts w:ascii="宋体" w:hAnsi="宋体" w:cs="宋体" w:eastAsia="宋体"/>
                <w:sz w:val="21"/>
              </w:rPr>
              <w:t>（</w:t>
            </w:r>
            <w:r>
              <w:rPr>
                <w:rFonts w:ascii="&quot;times new roman&quot;" w:hAnsi="&quot;times new roman&quot;" w:cs="&quot;times new roman&quot;" w:eastAsia="&quot;times new roman&quot;"/>
                <w:sz w:val="21"/>
              </w:rPr>
              <w:t>3</w:t>
            </w:r>
            <w:r>
              <w:rPr>
                <w:rFonts w:ascii="宋体" w:hAnsi="宋体" w:cs="宋体" w:eastAsia="宋体"/>
                <w:sz w:val="21"/>
              </w:rPr>
              <w:t>）通过实现省内跨统筹区</w:t>
            </w:r>
            <w:r>
              <w:rPr>
                <w:rFonts w:ascii="宋体" w:hAnsi="宋体" w:cs="宋体" w:eastAsia="宋体"/>
                <w:sz w:val="21"/>
              </w:rPr>
              <w:t>及</w:t>
            </w:r>
            <w:r>
              <w:rPr>
                <w:rFonts w:ascii="宋体" w:hAnsi="宋体" w:cs="宋体" w:eastAsia="宋体"/>
                <w:sz w:val="21"/>
              </w:rPr>
              <w:t>跨省</w:t>
            </w:r>
            <w:r>
              <w:rPr>
                <w:rFonts w:ascii="宋体" w:hAnsi="宋体" w:cs="宋体" w:eastAsia="宋体"/>
                <w:sz w:val="21"/>
              </w:rPr>
              <w:t>职工基本医疗保险个人账户家庭共济，优化医保服务流程，提高医保服务的便捷性和可及性，增强参保群众的获得感、幸福感和安全感。</w:t>
            </w:r>
          </w:p>
          <w:p>
            <w:pPr>
              <w:pStyle w:val="null3"/>
              <w:ind w:firstLine="422"/>
              <w:jc w:val="both"/>
            </w:pPr>
            <w:r>
              <w:rPr>
                <w:rFonts w:ascii="&quot;times new roman&quot;" w:hAnsi="&quot;times new roman&quot;" w:cs="&quot;times new roman&quot;" w:eastAsia="&quot;times new roman&quot;"/>
                <w:sz w:val="21"/>
                <w:b/>
              </w:rPr>
              <w:t>2.</w:t>
            </w:r>
            <w:r>
              <w:rPr>
                <w:rFonts w:ascii="宋体" w:hAnsi="宋体" w:cs="宋体" w:eastAsia="宋体"/>
                <w:sz w:val="21"/>
                <w:b/>
              </w:rPr>
              <w:t>业务目标</w:t>
            </w:r>
          </w:p>
          <w:p>
            <w:pPr>
              <w:pStyle w:val="null3"/>
              <w:ind w:firstLine="420"/>
              <w:jc w:val="both"/>
            </w:pP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）确保职工医保个人账户能够跨统筹区实现家庭共济，支持家庭成员共同使用医保个人账户资金，减轻家庭医疗费用负担。</w:t>
            </w:r>
          </w:p>
          <w:p>
            <w:pPr>
              <w:pStyle w:val="null3"/>
              <w:ind w:firstLine="420"/>
              <w:jc w:val="both"/>
            </w:pPr>
            <w:r>
              <w:rPr>
                <w:rFonts w:ascii="宋体" w:hAnsi="宋体" w:cs="宋体" w:eastAsia="宋体"/>
                <w:sz w:val="21"/>
              </w:rPr>
              <w:t>（</w:t>
            </w:r>
            <w:r>
              <w:rPr>
                <w:rFonts w:ascii="&quot;times new roman&quot;" w:hAnsi="&quot;times new roman&quot;" w:cs="&quot;times new roman&quot;" w:eastAsia="&quot;times new roman&quot;"/>
                <w:sz w:val="21"/>
              </w:rPr>
              <w:t>2</w:t>
            </w:r>
            <w:r>
              <w:rPr>
                <w:rFonts w:ascii="宋体" w:hAnsi="宋体" w:cs="宋体" w:eastAsia="宋体"/>
                <w:sz w:val="21"/>
              </w:rPr>
              <w:t>）通过信息化手段优化医保结算流程，提高结算效率，减少参保群众等待时间。</w:t>
            </w:r>
          </w:p>
          <w:p>
            <w:pPr>
              <w:pStyle w:val="null3"/>
              <w:ind w:firstLine="420"/>
              <w:jc w:val="both"/>
            </w:pPr>
            <w:r>
              <w:rPr>
                <w:rFonts w:ascii="宋体" w:hAnsi="宋体" w:cs="宋体" w:eastAsia="宋体"/>
                <w:sz w:val="21"/>
              </w:rPr>
              <w:t>（</w:t>
            </w:r>
            <w:r>
              <w:rPr>
                <w:rFonts w:ascii="&quot;times new roman&quot;" w:hAnsi="&quot;times new roman&quot;" w:cs="&quot;times new roman&quot;" w:eastAsia="&quot;times new roman&quot;"/>
                <w:sz w:val="21"/>
              </w:rPr>
              <w:t>3</w:t>
            </w:r>
            <w:r>
              <w:rPr>
                <w:rFonts w:ascii="宋体" w:hAnsi="宋体" w:cs="宋体" w:eastAsia="宋体"/>
                <w:sz w:val="21"/>
              </w:rPr>
              <w:t>）通过优化医保基金的使用和管理，进一步推动医保制度更加公平、可持续，增强医保制度的吸引力和凝聚力，从而吸引更多人参与医保制度，为医保制度的长期发展奠定坚实基础。</w:t>
            </w:r>
          </w:p>
          <w:p>
            <w:pPr>
              <w:pStyle w:val="null3"/>
              <w:jc w:val="both"/>
            </w:pPr>
            <w:r>
              <w:rPr>
                <w:rFonts w:ascii="宋体" w:hAnsi="宋体" w:cs="宋体" w:eastAsia="宋体"/>
                <w:sz w:val="21"/>
                <w:b/>
              </w:rPr>
              <w:t>3.1.2</w:t>
            </w:r>
            <w:r>
              <w:rPr>
                <w:rFonts w:ascii="黑体" w:hAnsi="黑体" w:cs="黑体" w:eastAsia="黑体"/>
                <w:sz w:val="21"/>
                <w:b/>
              </w:rPr>
              <w:t>服务业务框架</w:t>
            </w:r>
          </w:p>
          <w:p>
            <w:pPr>
              <w:pStyle w:val="null3"/>
              <w:ind w:firstLine="420"/>
              <w:jc w:val="both"/>
            </w:pPr>
            <w:r>
              <w:rPr>
                <w:rFonts w:ascii="宋体" w:hAnsi="宋体" w:cs="宋体" w:eastAsia="宋体"/>
                <w:sz w:val="21"/>
              </w:rPr>
              <w:t>本项目服务事项主要是平台运营服务、培训服务和信息咨询服务，以支持家庭共济关系绑定、关系查询、省市级共济资金清算，资金划拨、使用记录查询等业务的开展，实现职工医保个人账户省内异地家庭共济，使不同地区的医疗资源可以在家庭成员间实现共享，有助于促进医疗资源的均衡分布和共享利用，提高全省医疗服务的整体水平和质量。</w:t>
            </w:r>
          </w:p>
          <w:p>
            <w:pPr>
              <w:pStyle w:val="null3"/>
              <w:ind w:firstLine="420"/>
              <w:jc w:val="both"/>
            </w:pPr>
            <w:r>
              <w:rPr>
                <w:rFonts w:ascii="宋体" w:hAnsi="宋体" w:cs="宋体" w:eastAsia="宋体"/>
                <w:sz w:val="21"/>
              </w:rPr>
              <w:t>其服务业务框架如下：</w:t>
            </w:r>
          </w:p>
          <w:p>
            <w:pPr>
              <w:pStyle w:val="null3"/>
              <w:jc w:val="both"/>
            </w:pPr>
            <w:r>
              <w:rPr>
                <w:rFonts w:ascii="黑体" w:hAnsi="黑体" w:cs="黑体" w:eastAsia="黑体"/>
                <w:sz w:val="21"/>
              </w:rPr>
              <w:t>图</w:t>
            </w:r>
            <w:r>
              <w:rPr>
                <w:rFonts w:ascii="黑体" w:hAnsi="黑体" w:cs="黑体" w:eastAsia="黑体"/>
                <w:sz w:val="21"/>
              </w:rPr>
              <w:t>4</w:t>
            </w:r>
            <w:r>
              <w:rPr>
                <w:rFonts w:ascii="黑体" w:hAnsi="黑体" w:cs="黑体" w:eastAsia="黑体"/>
                <w:sz w:val="21"/>
              </w:rPr>
              <w:t>-1</w:t>
            </w:r>
            <w:r>
              <w:rPr>
                <w:rFonts w:ascii="黑体" w:hAnsi="黑体" w:cs="黑体" w:eastAsia="黑体"/>
                <w:sz w:val="21"/>
              </w:rPr>
              <w:t>服务业务框架</w:t>
            </w:r>
          </w:p>
          <w:p>
            <w:pPr>
              <w:pStyle w:val="null3"/>
              <w:jc w:val="both"/>
            </w:pPr>
            <w:r>
              <w:rPr>
                <w:rFonts w:ascii="宋体" w:hAnsi="宋体" w:cs="宋体" w:eastAsia="宋体"/>
                <w:sz w:val="21"/>
                <w:b/>
              </w:rPr>
              <w:t>3.1.3</w:t>
            </w:r>
            <w:r>
              <w:rPr>
                <w:rFonts w:ascii="黑体" w:hAnsi="黑体" w:cs="黑体" w:eastAsia="黑体"/>
                <w:sz w:val="21"/>
                <w:b/>
              </w:rPr>
              <w:t>服务实施框架</w:t>
            </w:r>
          </w:p>
          <w:p>
            <w:pPr>
              <w:pStyle w:val="null3"/>
              <w:ind w:firstLine="420"/>
              <w:jc w:val="both"/>
            </w:pPr>
            <w:r>
              <w:rPr>
                <w:rFonts w:ascii="宋体" w:hAnsi="宋体" w:cs="宋体" w:eastAsia="宋体"/>
                <w:sz w:val="21"/>
              </w:rPr>
              <w:t>本项目服务实施框架主要包含服务内容、服务实施支撑、服务涉及人员三部分，如图所示：</w:t>
            </w:r>
          </w:p>
          <w:p>
            <w:pPr>
              <w:pStyle w:val="null3"/>
              <w:jc w:val="center"/>
            </w:pPr>
            <w:r>
              <w:rPr>
                <w:rFonts w:ascii="黑体" w:hAnsi="黑体" w:cs="黑体" w:eastAsia="黑体"/>
                <w:sz w:val="21"/>
              </w:rPr>
              <w:t>图</w:t>
            </w:r>
            <w:r>
              <w:rPr>
                <w:rFonts w:ascii="黑体" w:hAnsi="黑体" w:cs="黑体" w:eastAsia="黑体"/>
                <w:sz w:val="21"/>
              </w:rPr>
              <w:t>4</w:t>
            </w:r>
            <w:r>
              <w:rPr>
                <w:rFonts w:ascii="黑体" w:hAnsi="黑体" w:cs="黑体" w:eastAsia="黑体"/>
                <w:sz w:val="21"/>
              </w:rPr>
              <w:t>-2</w:t>
            </w:r>
            <w:r>
              <w:rPr>
                <w:rFonts w:ascii="黑体" w:hAnsi="黑体" w:cs="黑体" w:eastAsia="黑体"/>
                <w:sz w:val="21"/>
              </w:rPr>
              <w:t>服务实施框架</w:t>
            </w:r>
          </w:p>
          <w:p>
            <w:pPr>
              <w:pStyle w:val="null3"/>
              <w:jc w:val="both"/>
            </w:pPr>
            <w:r>
              <w:rPr>
                <w:rFonts w:ascii="宋体" w:hAnsi="宋体" w:cs="宋体" w:eastAsia="宋体"/>
                <w:sz w:val="21"/>
                <w:b/>
              </w:rPr>
              <w:t>3.1.3.1</w:t>
            </w:r>
            <w:r>
              <w:rPr>
                <w:rFonts w:ascii="宋体" w:hAnsi="宋体" w:cs="宋体" w:eastAsia="宋体"/>
                <w:sz w:val="21"/>
                <w:b/>
              </w:rPr>
              <w:t>服务内容</w:t>
            </w:r>
          </w:p>
          <w:p>
            <w:pPr>
              <w:pStyle w:val="null3"/>
              <w:ind w:firstLine="420"/>
              <w:jc w:val="both"/>
            </w:pPr>
            <w:r>
              <w:rPr>
                <w:rFonts w:ascii="宋体" w:hAnsi="宋体" w:cs="宋体" w:eastAsia="宋体"/>
                <w:sz w:val="21"/>
              </w:rPr>
              <w:t>如上图所示，本项目服务内容主要是平台运营服务、培训服务和信息咨询服务，通过这些服务的实施和运营，优化异地家庭共济关系的绑定、关系查询、省市级共济资金清算，资金划拨、使用记录查询等的经办流程，增强家庭成员的医疗保障能力，促进全省医疗资源均衡分配，进一步完善我国医保制度，提高医保制度的公平性和可持续性。</w:t>
            </w:r>
          </w:p>
          <w:p>
            <w:pPr>
              <w:pStyle w:val="null3"/>
              <w:jc w:val="both"/>
            </w:pPr>
            <w:r>
              <w:rPr>
                <w:rFonts w:ascii="宋体" w:hAnsi="宋体" w:cs="宋体" w:eastAsia="宋体"/>
                <w:sz w:val="21"/>
                <w:b/>
              </w:rPr>
              <w:t>3.1.3.2</w:t>
            </w:r>
            <w:r>
              <w:rPr>
                <w:rFonts w:ascii="宋体" w:hAnsi="宋体" w:cs="宋体" w:eastAsia="宋体"/>
                <w:sz w:val="21"/>
                <w:b/>
              </w:rPr>
              <w:t>服务实施支撑</w:t>
            </w:r>
          </w:p>
          <w:p>
            <w:pPr>
              <w:pStyle w:val="null3"/>
              <w:ind w:firstLine="420"/>
              <w:jc w:val="both"/>
            </w:pPr>
            <w:r>
              <w:rPr>
                <w:rFonts w:ascii="宋体" w:hAnsi="宋体" w:cs="宋体" w:eastAsia="宋体"/>
                <w:sz w:val="21"/>
              </w:rPr>
              <w:t>本项目服务实施支撑由服务提供机构提供服务实施人员、服务实施技术、服务实施工具等方面的支撑，具体内容如下：</w:t>
            </w:r>
          </w:p>
          <w:p>
            <w:pPr>
              <w:pStyle w:val="null3"/>
              <w:jc w:val="both"/>
            </w:pPr>
            <w:r>
              <w:rPr>
                <w:rFonts w:ascii="宋体" w:hAnsi="宋体" w:cs="宋体" w:eastAsia="宋体"/>
                <w:sz w:val="21"/>
                <w:b/>
              </w:rPr>
              <w:t>3.1.3.2.1</w:t>
            </w:r>
            <w:r>
              <w:rPr>
                <w:rFonts w:ascii="宋体" w:hAnsi="宋体" w:cs="宋体" w:eastAsia="宋体"/>
                <w:sz w:val="21"/>
                <w:b/>
              </w:rPr>
              <w:t>服务实施制度</w:t>
            </w:r>
          </w:p>
          <w:p>
            <w:pPr>
              <w:pStyle w:val="null3"/>
              <w:ind w:firstLine="420"/>
              <w:jc w:val="both"/>
            </w:pPr>
            <w:r>
              <w:rPr>
                <w:rFonts w:ascii="宋体" w:hAnsi="宋体" w:cs="宋体" w:eastAsia="宋体"/>
                <w:sz w:val="21"/>
              </w:rPr>
              <w:t>服务实施制度是为了确保软件项目服务过程的顺利进行，提高项目执行效率和服务质量而制定的一系列规范和流程。以下是服务提供机构开展服务实施工作的规程和准则：</w:t>
            </w:r>
          </w:p>
          <w:p>
            <w:pPr>
              <w:pStyle w:val="null3"/>
              <w:ind w:firstLine="422"/>
              <w:jc w:val="both"/>
            </w:pPr>
            <w:r>
              <w:rPr>
                <w:rFonts w:ascii="宋体" w:hAnsi="宋体" w:cs="宋体" w:eastAsia="宋体"/>
                <w:sz w:val="21"/>
                <w:b/>
              </w:rPr>
              <w:t>（一）总则</w:t>
            </w:r>
          </w:p>
          <w:p>
            <w:pPr>
              <w:pStyle w:val="null3"/>
              <w:ind w:firstLine="420"/>
              <w:jc w:val="both"/>
            </w:pPr>
            <w:r>
              <w:rPr>
                <w:rFonts w:ascii="宋体" w:hAnsi="宋体" w:cs="宋体" w:eastAsia="宋体"/>
                <w:sz w:val="21"/>
              </w:rPr>
              <w:t>目的：本制度旨在规范项目服务实施过程的管理，确保项目按时、按质量要求、按预算完成，提高项目实施的成功率和客户满意度。</w:t>
            </w:r>
          </w:p>
          <w:p>
            <w:pPr>
              <w:pStyle w:val="null3"/>
              <w:ind w:firstLine="420"/>
              <w:jc w:val="both"/>
            </w:pPr>
            <w:r>
              <w:rPr>
                <w:rFonts w:ascii="宋体" w:hAnsi="宋体" w:cs="宋体" w:eastAsia="宋体"/>
                <w:sz w:val="21"/>
              </w:rPr>
              <w:t>适用范围：本制度适用于所有服务类项目的服务实施。</w:t>
            </w:r>
          </w:p>
          <w:p>
            <w:pPr>
              <w:pStyle w:val="null3"/>
              <w:ind w:firstLine="422"/>
              <w:jc w:val="both"/>
            </w:pPr>
            <w:r>
              <w:rPr>
                <w:rFonts w:ascii="宋体" w:hAnsi="宋体" w:cs="宋体" w:eastAsia="宋体"/>
                <w:sz w:val="21"/>
                <w:b/>
              </w:rPr>
              <w:t>（二）组织与职责</w:t>
            </w:r>
          </w:p>
          <w:p>
            <w:pPr>
              <w:pStyle w:val="null3"/>
              <w:ind w:firstLine="420"/>
              <w:jc w:val="both"/>
            </w:pPr>
            <w:r>
              <w:rPr>
                <w:rFonts w:ascii="宋体" w:hAnsi="宋体" w:cs="宋体" w:eastAsia="宋体"/>
                <w:sz w:val="21"/>
              </w:rPr>
              <w:t>项目负责人：作为项目实施的第一责任人，负责项目的整体规划、协调、决策和风险管理。</w:t>
            </w:r>
          </w:p>
          <w:p>
            <w:pPr>
              <w:pStyle w:val="null3"/>
              <w:ind w:firstLine="420"/>
              <w:jc w:val="both"/>
            </w:pPr>
            <w:r>
              <w:rPr>
                <w:rFonts w:ascii="宋体" w:hAnsi="宋体" w:cs="宋体" w:eastAsia="宋体"/>
                <w:sz w:val="21"/>
              </w:rPr>
              <w:t>制定详细的项目进度计划，并根据实际情况进行调整。</w:t>
            </w:r>
          </w:p>
          <w:p>
            <w:pPr>
              <w:pStyle w:val="null3"/>
              <w:ind w:firstLine="420"/>
              <w:jc w:val="both"/>
            </w:pPr>
            <w:r>
              <w:rPr>
                <w:rFonts w:ascii="宋体" w:hAnsi="宋体" w:cs="宋体" w:eastAsia="宋体"/>
                <w:sz w:val="21"/>
              </w:rPr>
              <w:t>制定项目的质量标准和质量保证计划，并监督项目组成员按照计划执行。</w:t>
            </w:r>
          </w:p>
          <w:p>
            <w:pPr>
              <w:pStyle w:val="null3"/>
              <w:ind w:firstLine="420"/>
              <w:jc w:val="both"/>
            </w:pPr>
            <w:r>
              <w:rPr>
                <w:rFonts w:ascii="宋体" w:hAnsi="宋体" w:cs="宋体" w:eastAsia="宋体"/>
                <w:sz w:val="21"/>
              </w:rPr>
              <w:t>识别项目的潜在风险，并制定相应的应对措施。</w:t>
            </w:r>
          </w:p>
          <w:p>
            <w:pPr>
              <w:pStyle w:val="null3"/>
              <w:ind w:firstLine="420"/>
              <w:jc w:val="both"/>
            </w:pPr>
            <w:r>
              <w:rPr>
                <w:rFonts w:ascii="宋体" w:hAnsi="宋体" w:cs="宋体" w:eastAsia="宋体"/>
                <w:sz w:val="21"/>
              </w:rPr>
              <w:t>项目组成员：负责各自职能领域的工作。</w:t>
            </w:r>
          </w:p>
          <w:p>
            <w:pPr>
              <w:pStyle w:val="null3"/>
              <w:ind w:firstLine="420"/>
              <w:jc w:val="both"/>
            </w:pPr>
            <w:r>
              <w:rPr>
                <w:rFonts w:ascii="宋体" w:hAnsi="宋体" w:cs="宋体" w:eastAsia="宋体"/>
                <w:sz w:val="21"/>
              </w:rPr>
              <w:t>严格按照项目计划执行任务，确保项目按时完成。</w:t>
            </w:r>
          </w:p>
          <w:p>
            <w:pPr>
              <w:pStyle w:val="null3"/>
              <w:ind w:firstLine="420"/>
              <w:jc w:val="both"/>
            </w:pPr>
            <w:r>
              <w:rPr>
                <w:rFonts w:ascii="宋体" w:hAnsi="宋体" w:cs="宋体" w:eastAsia="宋体"/>
                <w:sz w:val="21"/>
              </w:rPr>
              <w:t>按照质量标准和质量保证计划进行工作，确保软件质量符合要求。</w:t>
            </w:r>
          </w:p>
          <w:p>
            <w:pPr>
              <w:pStyle w:val="null3"/>
              <w:ind w:firstLine="420"/>
              <w:jc w:val="both"/>
            </w:pPr>
            <w:r>
              <w:rPr>
                <w:rFonts w:ascii="宋体" w:hAnsi="宋体" w:cs="宋体" w:eastAsia="宋体"/>
                <w:sz w:val="21"/>
              </w:rPr>
              <w:t>质量保证组：负责项目的质量保证工作。</w:t>
            </w:r>
          </w:p>
          <w:p>
            <w:pPr>
              <w:pStyle w:val="null3"/>
              <w:ind w:firstLine="420"/>
              <w:jc w:val="both"/>
            </w:pPr>
            <w:r>
              <w:rPr>
                <w:rFonts w:ascii="宋体" w:hAnsi="宋体" w:cs="宋体" w:eastAsia="宋体"/>
                <w:sz w:val="21"/>
              </w:rPr>
              <w:t>对项目进行严格的测试和质量检查，确保软件质量符合要求。</w:t>
            </w:r>
          </w:p>
          <w:p>
            <w:pPr>
              <w:pStyle w:val="null3"/>
              <w:ind w:firstLine="422"/>
              <w:jc w:val="both"/>
            </w:pPr>
            <w:r>
              <w:rPr>
                <w:rFonts w:ascii="宋体" w:hAnsi="宋体" w:cs="宋体" w:eastAsia="宋体"/>
                <w:sz w:val="21"/>
                <w:b/>
              </w:rPr>
              <w:t>（三）项目实施流程</w:t>
            </w:r>
          </w:p>
          <w:p>
            <w:pPr>
              <w:pStyle w:val="null3"/>
              <w:ind w:firstLine="420"/>
              <w:jc w:val="both"/>
            </w:pPr>
            <w:r>
              <w:rPr>
                <w:rFonts w:ascii="宋体" w:hAnsi="宋体" w:cs="宋体" w:eastAsia="宋体"/>
                <w:sz w:val="21"/>
              </w:rPr>
              <w:t>需求分析：项目负责人组织项目组成员对客户需求进行深入分析，形成业务需求文档。</w:t>
            </w:r>
          </w:p>
          <w:p>
            <w:pPr>
              <w:pStyle w:val="null3"/>
              <w:ind w:firstLine="420"/>
              <w:jc w:val="both"/>
            </w:pPr>
            <w:r>
              <w:rPr>
                <w:rFonts w:ascii="宋体" w:hAnsi="宋体" w:cs="宋体" w:eastAsia="宋体"/>
                <w:sz w:val="21"/>
              </w:rPr>
              <w:t>项目实施：根据需求文档，项目负责人组织项目组成员进行项目实施服务等。</w:t>
            </w:r>
          </w:p>
          <w:p>
            <w:pPr>
              <w:pStyle w:val="null3"/>
              <w:ind w:firstLine="422"/>
              <w:jc w:val="both"/>
            </w:pPr>
            <w:r>
              <w:rPr>
                <w:rFonts w:ascii="宋体" w:hAnsi="宋体" w:cs="宋体" w:eastAsia="宋体"/>
                <w:sz w:val="21"/>
                <w:b/>
              </w:rPr>
              <w:t>（四）项目管理规定</w:t>
            </w:r>
          </w:p>
          <w:p>
            <w:pPr>
              <w:pStyle w:val="null3"/>
              <w:ind w:firstLine="420"/>
              <w:jc w:val="both"/>
            </w:pPr>
            <w:r>
              <w:rPr>
                <w:rFonts w:ascii="宋体" w:hAnsi="宋体" w:cs="宋体" w:eastAsia="宋体"/>
                <w:sz w:val="21"/>
              </w:rPr>
              <w:t>项目进度管理：项目负责人应制定详细的项目进度计划，并根据实际情况进行调整。项目组成员应按照进度计划完成任务，确保项目按时完成。</w:t>
            </w:r>
          </w:p>
          <w:p>
            <w:pPr>
              <w:pStyle w:val="null3"/>
              <w:ind w:firstLine="420"/>
              <w:jc w:val="both"/>
            </w:pPr>
            <w:r>
              <w:rPr>
                <w:rFonts w:ascii="宋体" w:hAnsi="宋体" w:cs="宋体" w:eastAsia="宋体"/>
                <w:sz w:val="21"/>
              </w:rPr>
              <w:t>项目质量管理：项目负责人应制定项目的质量标准和质量保证计划，并监督项目组成员按照计划执行。质量保证组应对项目进行严格的测试和质量检查，确保软件质量符合要求。</w:t>
            </w:r>
          </w:p>
          <w:p>
            <w:pPr>
              <w:pStyle w:val="null3"/>
              <w:ind w:firstLine="420"/>
              <w:jc w:val="both"/>
            </w:pPr>
            <w:r>
              <w:rPr>
                <w:rFonts w:ascii="宋体" w:hAnsi="宋体" w:cs="宋体" w:eastAsia="宋体"/>
                <w:sz w:val="21"/>
              </w:rPr>
              <w:t>项目风险管理：项目负责人应识别项目的潜在风险，并制定相应的应对措施。在项目实施过程中，项目负责人应及时处理和报告风险事件，确保项目的顺利进行。</w:t>
            </w:r>
          </w:p>
          <w:p>
            <w:pPr>
              <w:pStyle w:val="null3"/>
              <w:ind w:firstLine="422"/>
              <w:jc w:val="both"/>
            </w:pPr>
            <w:r>
              <w:rPr>
                <w:rFonts w:ascii="宋体" w:hAnsi="宋体" w:cs="宋体" w:eastAsia="宋体"/>
                <w:sz w:val="21"/>
                <w:b/>
              </w:rPr>
              <w:t>（五）服务实施准备</w:t>
            </w:r>
          </w:p>
          <w:p>
            <w:pPr>
              <w:pStyle w:val="null3"/>
              <w:ind w:firstLine="420"/>
              <w:jc w:val="both"/>
            </w:pPr>
            <w:r>
              <w:rPr>
                <w:rFonts w:ascii="宋体" w:hAnsi="宋体" w:cs="宋体" w:eastAsia="宋体"/>
                <w:sz w:val="21"/>
              </w:rPr>
              <w:t>人员准备：涉及的项目实施人员包括实施单位相关人员以及客户方相关负责人员，确保双方人员充分沟通和协作。</w:t>
            </w:r>
          </w:p>
          <w:p>
            <w:pPr>
              <w:pStyle w:val="null3"/>
              <w:ind w:firstLine="420"/>
              <w:jc w:val="both"/>
            </w:pPr>
            <w:r>
              <w:rPr>
                <w:rFonts w:ascii="宋体" w:hAnsi="宋体" w:cs="宋体" w:eastAsia="宋体"/>
                <w:sz w:val="21"/>
              </w:rPr>
              <w:t>技术准备：明确项目所涉及到的各项技术，如系统配置、环境配置、数据库配置、软件部署等，确保实施人员掌握所需技术。</w:t>
            </w:r>
          </w:p>
          <w:p>
            <w:pPr>
              <w:pStyle w:val="null3"/>
              <w:ind w:firstLine="420"/>
              <w:jc w:val="both"/>
            </w:pPr>
            <w:r>
              <w:rPr>
                <w:rFonts w:ascii="宋体" w:hAnsi="宋体" w:cs="宋体" w:eastAsia="宋体"/>
                <w:sz w:val="21"/>
              </w:rPr>
              <w:t>其他准备：考虑与客户的沟通，以及可能遇到的出行方式、食宿等，确保实施过程的顺利进行。</w:t>
            </w:r>
          </w:p>
          <w:p>
            <w:pPr>
              <w:pStyle w:val="null3"/>
              <w:ind w:firstLine="422"/>
              <w:jc w:val="both"/>
            </w:pPr>
            <w:r>
              <w:rPr>
                <w:rFonts w:ascii="宋体" w:hAnsi="宋体" w:cs="宋体" w:eastAsia="宋体"/>
                <w:sz w:val="21"/>
                <w:b/>
              </w:rPr>
              <w:t>（六）服务实施监督与评估</w:t>
            </w:r>
          </w:p>
          <w:p>
            <w:pPr>
              <w:pStyle w:val="null3"/>
              <w:ind w:firstLine="420"/>
              <w:jc w:val="both"/>
            </w:pPr>
            <w:r>
              <w:rPr>
                <w:rFonts w:ascii="宋体" w:hAnsi="宋体" w:cs="宋体" w:eastAsia="宋体"/>
                <w:sz w:val="21"/>
              </w:rPr>
              <w:t>定期监督项目进展情况，确保项目按计划进行。</w:t>
            </w:r>
          </w:p>
          <w:p>
            <w:pPr>
              <w:pStyle w:val="null3"/>
              <w:ind w:firstLine="420"/>
              <w:jc w:val="both"/>
            </w:pPr>
            <w:r>
              <w:rPr>
                <w:rFonts w:ascii="宋体" w:hAnsi="宋体" w:cs="宋体" w:eastAsia="宋体"/>
                <w:sz w:val="21"/>
              </w:rPr>
              <w:t>对项目质量进行定期评估，确保软件质量符合要求。</w:t>
            </w:r>
          </w:p>
          <w:p>
            <w:pPr>
              <w:pStyle w:val="null3"/>
              <w:ind w:firstLine="420"/>
              <w:jc w:val="both"/>
            </w:pPr>
            <w:r>
              <w:rPr>
                <w:rFonts w:ascii="宋体" w:hAnsi="宋体" w:cs="宋体" w:eastAsia="宋体"/>
                <w:sz w:val="21"/>
              </w:rPr>
              <w:t>收集客户反馈，对服务实施过程进行持续改进。</w:t>
            </w:r>
          </w:p>
          <w:p>
            <w:pPr>
              <w:pStyle w:val="null3"/>
              <w:jc w:val="both"/>
            </w:pPr>
            <w:r>
              <w:rPr>
                <w:rFonts w:ascii="宋体" w:hAnsi="宋体" w:cs="宋体" w:eastAsia="宋体"/>
                <w:sz w:val="21"/>
                <w:b/>
              </w:rPr>
              <w:t>3.1.3.2.2</w:t>
            </w:r>
            <w:r>
              <w:rPr>
                <w:rFonts w:ascii="宋体" w:hAnsi="宋体" w:cs="宋体" w:eastAsia="宋体"/>
                <w:sz w:val="21"/>
                <w:b/>
              </w:rPr>
              <w:t>服务实施要求</w:t>
            </w:r>
          </w:p>
          <w:p>
            <w:pPr>
              <w:pStyle w:val="null3"/>
              <w:ind w:firstLine="420"/>
              <w:jc w:val="both"/>
            </w:pPr>
            <w:r>
              <w:rPr>
                <w:rFonts w:ascii="宋体" w:hAnsi="宋体" w:cs="宋体" w:eastAsia="宋体"/>
                <w:sz w:val="21"/>
              </w:rPr>
              <w:t>服务实施要求包括规定服务管理机构、服务提供机构和服务使用者之间的相互制约关系。</w:t>
            </w:r>
          </w:p>
          <w:p>
            <w:pPr>
              <w:pStyle w:val="null3"/>
              <w:numPr>
                <w:ilvl w:val="0"/>
                <w:numId w:val="1"/>
              </w:numPr>
              <w:ind w:left="240"/>
            </w:pPr>
            <w:r>
              <w:rPr>
                <w:rFonts w:ascii="宋体" w:hAnsi="宋体" w:cs="宋体" w:eastAsia="宋体"/>
                <w:sz w:val="21"/>
              </w:rPr>
              <w:t>服务使用者：共同根据需求提出明确服务需求。</w:t>
            </w:r>
          </w:p>
          <w:p>
            <w:pPr>
              <w:pStyle w:val="null3"/>
              <w:numPr>
                <w:ilvl w:val="0"/>
                <w:numId w:val="1"/>
              </w:numPr>
              <w:ind w:left="240"/>
            </w:pPr>
            <w:r>
              <w:rPr>
                <w:rFonts w:ascii="宋体" w:hAnsi="宋体" w:cs="宋体" w:eastAsia="宋体"/>
                <w:sz w:val="21"/>
              </w:rPr>
              <w:t>服务管理机构：采集服务使用者提出的服务需求，根据总体规划思路，对服务需求进行评估、审核。</w:t>
            </w:r>
          </w:p>
          <w:p>
            <w:pPr>
              <w:pStyle w:val="null3"/>
              <w:numPr>
                <w:ilvl w:val="0"/>
                <w:numId w:val="1"/>
              </w:numPr>
              <w:ind w:left="240"/>
            </w:pPr>
            <w:r>
              <w:rPr>
                <w:rFonts w:ascii="宋体" w:hAnsi="宋体" w:cs="宋体" w:eastAsia="宋体"/>
                <w:sz w:val="21"/>
              </w:rPr>
              <w:t>服务提供机构：调研服务需求，根据服务需求，提供相关服务，包括服务运营、服务实施、培训服务等。</w:t>
            </w:r>
          </w:p>
          <w:p>
            <w:pPr>
              <w:pStyle w:val="null3"/>
              <w:ind w:firstLine="420"/>
              <w:jc w:val="both"/>
            </w:pPr>
            <w:r>
              <w:rPr>
                <w:rFonts w:ascii="宋体" w:hAnsi="宋体" w:cs="宋体" w:eastAsia="宋体"/>
                <w:sz w:val="21"/>
              </w:rPr>
              <w:t>服务提供机构在实施过程中为了确保项目能够按照预定的目标、范围、时间和预算顺利执行而制定的一系列规范和标准。以下是本项目实施要求的详细内容：</w:t>
            </w:r>
          </w:p>
          <w:p>
            <w:pPr>
              <w:pStyle w:val="null3"/>
              <w:ind w:firstLine="422"/>
              <w:jc w:val="both"/>
            </w:pPr>
            <w:r>
              <w:rPr>
                <w:rFonts w:ascii="宋体" w:hAnsi="宋体" w:cs="宋体" w:eastAsia="宋体"/>
                <w:sz w:val="21"/>
                <w:b/>
              </w:rPr>
              <w:t>（一）明确实施目标和范围</w:t>
            </w:r>
          </w:p>
          <w:p>
            <w:pPr>
              <w:pStyle w:val="null3"/>
              <w:ind w:firstLine="420"/>
              <w:jc w:val="both"/>
            </w:pPr>
            <w:r>
              <w:rPr>
                <w:rFonts w:ascii="&quot;times new roman&quot;" w:hAnsi="&quot;times new roman&quot;" w:cs="&quot;times new roman&quot;" w:eastAsia="&quot;times new roman&quot;"/>
                <w:sz w:val="21"/>
              </w:rPr>
              <w:t>1</w:t>
            </w:r>
            <w:r>
              <w:rPr>
                <w:rFonts w:ascii="宋体" w:hAnsi="宋体" w:cs="宋体" w:eastAsia="宋体"/>
                <w:sz w:val="21"/>
              </w:rPr>
              <w:t>、目标确定：</w:t>
            </w:r>
          </w:p>
          <w:p>
            <w:pPr>
              <w:pStyle w:val="null3"/>
              <w:ind w:firstLine="420"/>
              <w:jc w:val="both"/>
            </w:pPr>
            <w:r>
              <w:rPr>
                <w:rFonts w:ascii="宋体" w:hAnsi="宋体" w:cs="宋体" w:eastAsia="宋体"/>
                <w:sz w:val="21"/>
              </w:rPr>
              <w:t>明确软件项目的具体目标，如提高业务效率、优化用户体验、满足特定业务需求等。</w:t>
            </w:r>
          </w:p>
          <w:p>
            <w:pPr>
              <w:pStyle w:val="null3"/>
              <w:ind w:firstLine="420"/>
              <w:jc w:val="both"/>
            </w:pPr>
            <w:r>
              <w:rPr>
                <w:rFonts w:ascii="宋体" w:hAnsi="宋体" w:cs="宋体" w:eastAsia="宋体"/>
                <w:sz w:val="21"/>
              </w:rPr>
              <w:t>确保项目目标与公司的整体战略和业务目标保持一致。</w:t>
            </w:r>
          </w:p>
          <w:p>
            <w:pPr>
              <w:pStyle w:val="null3"/>
              <w:ind w:firstLine="420"/>
              <w:jc w:val="both"/>
            </w:pPr>
            <w:r>
              <w:rPr>
                <w:rFonts w:ascii="&quot;times new roman&quot;" w:hAnsi="&quot;times new roman&quot;" w:cs="&quot;times new roman&quot;" w:eastAsia="&quot;times new roman&quot;"/>
                <w:sz w:val="21"/>
              </w:rPr>
              <w:t>2</w:t>
            </w:r>
            <w:r>
              <w:rPr>
                <w:rFonts w:ascii="宋体" w:hAnsi="宋体" w:cs="宋体" w:eastAsia="宋体"/>
                <w:sz w:val="21"/>
              </w:rPr>
              <w:t>、范围界定：</w:t>
            </w:r>
          </w:p>
          <w:p>
            <w:pPr>
              <w:pStyle w:val="null3"/>
              <w:ind w:firstLine="420"/>
              <w:jc w:val="both"/>
            </w:pPr>
            <w:r>
              <w:rPr>
                <w:rFonts w:ascii="宋体" w:hAnsi="宋体" w:cs="宋体" w:eastAsia="宋体"/>
                <w:sz w:val="21"/>
              </w:rPr>
              <w:t>界定项目所涉及的业务范围、功能模块、技术架构等。</w:t>
            </w:r>
          </w:p>
          <w:p>
            <w:pPr>
              <w:pStyle w:val="null3"/>
              <w:ind w:firstLine="420"/>
              <w:jc w:val="both"/>
            </w:pPr>
            <w:r>
              <w:rPr>
                <w:rFonts w:ascii="宋体" w:hAnsi="宋体" w:cs="宋体" w:eastAsia="宋体"/>
                <w:sz w:val="21"/>
              </w:rPr>
              <w:t>明确项目不包括的内容，避免范围蔓延和不必要的变更。</w:t>
            </w:r>
          </w:p>
          <w:p>
            <w:pPr>
              <w:pStyle w:val="null3"/>
              <w:ind w:firstLine="422"/>
              <w:jc w:val="both"/>
            </w:pPr>
            <w:r>
              <w:rPr>
                <w:rFonts w:ascii="宋体" w:hAnsi="宋体" w:cs="宋体" w:eastAsia="宋体"/>
                <w:sz w:val="21"/>
                <w:b/>
              </w:rPr>
              <w:t>（二）分析实施影响和风险</w:t>
            </w:r>
          </w:p>
          <w:p>
            <w:pPr>
              <w:pStyle w:val="null3"/>
              <w:ind w:firstLine="420"/>
              <w:jc w:val="both"/>
            </w:pPr>
            <w:r>
              <w:rPr>
                <w:rFonts w:ascii="&quot;times new roman&quot;" w:hAnsi="&quot;times new roman&quot;" w:cs="&quot;times new roman&quot;" w:eastAsia="&quot;times new roman&quot;"/>
                <w:sz w:val="21"/>
              </w:rPr>
              <w:t>1</w:t>
            </w:r>
            <w:r>
              <w:rPr>
                <w:rFonts w:ascii="宋体" w:hAnsi="宋体" w:cs="宋体" w:eastAsia="宋体"/>
                <w:sz w:val="21"/>
              </w:rPr>
              <w:t>、影响评估：</w:t>
            </w:r>
          </w:p>
          <w:p>
            <w:pPr>
              <w:pStyle w:val="null3"/>
              <w:ind w:firstLine="420"/>
              <w:jc w:val="both"/>
            </w:pPr>
            <w:r>
              <w:rPr>
                <w:rFonts w:ascii="宋体" w:hAnsi="宋体" w:cs="宋体" w:eastAsia="宋体"/>
                <w:sz w:val="21"/>
              </w:rPr>
              <w:t>分析项目实施对业务流程、人员、技术、资源等方面可能产生的影响。</w:t>
            </w:r>
          </w:p>
          <w:p>
            <w:pPr>
              <w:pStyle w:val="null3"/>
              <w:ind w:firstLine="420"/>
              <w:jc w:val="both"/>
            </w:pPr>
            <w:r>
              <w:rPr>
                <w:rFonts w:ascii="宋体" w:hAnsi="宋体" w:cs="宋体" w:eastAsia="宋体"/>
                <w:sz w:val="21"/>
              </w:rPr>
              <w:t>预测项目实施后可能带来的业务效益和潜在风险。</w:t>
            </w:r>
          </w:p>
          <w:p>
            <w:pPr>
              <w:pStyle w:val="null3"/>
              <w:ind w:firstLine="420"/>
              <w:jc w:val="both"/>
            </w:pPr>
            <w:r>
              <w:rPr>
                <w:rFonts w:ascii="&quot;times new roman&quot;" w:hAnsi="&quot;times new roman&quot;" w:cs="&quot;times new roman&quot;" w:eastAsia="&quot;times new roman&quot;"/>
                <w:sz w:val="21"/>
              </w:rPr>
              <w:t>2</w:t>
            </w:r>
            <w:r>
              <w:rPr>
                <w:rFonts w:ascii="宋体" w:hAnsi="宋体" w:cs="宋体" w:eastAsia="宋体"/>
                <w:sz w:val="21"/>
              </w:rPr>
              <w:t>、风险评估：</w:t>
            </w:r>
          </w:p>
          <w:p>
            <w:pPr>
              <w:pStyle w:val="null3"/>
              <w:ind w:firstLine="420"/>
              <w:jc w:val="both"/>
            </w:pPr>
            <w:r>
              <w:rPr>
                <w:rFonts w:ascii="宋体" w:hAnsi="宋体" w:cs="宋体" w:eastAsia="宋体"/>
                <w:sz w:val="21"/>
              </w:rPr>
              <w:t>识别项目实施过程中可能遇到的风险，如技术风险、人员风险、管理风险等。</w:t>
            </w:r>
          </w:p>
          <w:p>
            <w:pPr>
              <w:pStyle w:val="null3"/>
              <w:ind w:firstLine="420"/>
              <w:jc w:val="both"/>
            </w:pPr>
            <w:r>
              <w:rPr>
                <w:rFonts w:ascii="宋体" w:hAnsi="宋体" w:cs="宋体" w:eastAsia="宋体"/>
                <w:sz w:val="21"/>
              </w:rPr>
              <w:t>制定相应的风险应对策略和预案，确保项目风险得到有效控制。</w:t>
            </w:r>
          </w:p>
          <w:p>
            <w:pPr>
              <w:pStyle w:val="null3"/>
              <w:ind w:firstLine="422"/>
              <w:jc w:val="both"/>
            </w:pPr>
            <w:r>
              <w:rPr>
                <w:rFonts w:ascii="宋体" w:hAnsi="宋体" w:cs="宋体" w:eastAsia="宋体"/>
                <w:sz w:val="21"/>
                <w:b/>
              </w:rPr>
              <w:t>（三）制定详细的实施计划</w:t>
            </w:r>
          </w:p>
          <w:p>
            <w:pPr>
              <w:pStyle w:val="null3"/>
              <w:ind w:firstLine="420"/>
              <w:jc w:val="both"/>
            </w:pPr>
            <w:r>
              <w:rPr>
                <w:rFonts w:ascii="宋体" w:hAnsi="宋体" w:cs="宋体" w:eastAsia="宋体"/>
                <w:sz w:val="21"/>
              </w:rPr>
              <w:t>时间节点：</w:t>
            </w:r>
          </w:p>
          <w:p>
            <w:pPr>
              <w:pStyle w:val="null3"/>
              <w:ind w:firstLine="420"/>
              <w:jc w:val="both"/>
            </w:pPr>
            <w:r>
              <w:rPr>
                <w:rFonts w:ascii="宋体" w:hAnsi="宋体" w:cs="宋体" w:eastAsia="宋体"/>
                <w:sz w:val="21"/>
              </w:rPr>
              <w:t>制定详细的项目时间计划，包括项目启动、需求分析、服务实施、服务运营等关键阶段的时间节点。</w:t>
            </w:r>
          </w:p>
          <w:p>
            <w:pPr>
              <w:pStyle w:val="null3"/>
              <w:ind w:firstLine="420"/>
              <w:jc w:val="both"/>
            </w:pPr>
            <w:r>
              <w:rPr>
                <w:rFonts w:ascii="宋体" w:hAnsi="宋体" w:cs="宋体" w:eastAsia="宋体"/>
                <w:sz w:val="21"/>
              </w:rPr>
              <w:t>确保项目按计划进行，避免延误和赶工。</w:t>
            </w:r>
          </w:p>
          <w:p>
            <w:pPr>
              <w:pStyle w:val="null3"/>
              <w:ind w:firstLine="420"/>
              <w:jc w:val="both"/>
            </w:pPr>
            <w:r>
              <w:rPr>
                <w:rFonts w:ascii="宋体" w:hAnsi="宋体" w:cs="宋体" w:eastAsia="宋体"/>
                <w:sz w:val="21"/>
              </w:rPr>
              <w:t>责任人：</w:t>
            </w:r>
          </w:p>
          <w:p>
            <w:pPr>
              <w:pStyle w:val="null3"/>
              <w:ind w:firstLine="420"/>
              <w:jc w:val="both"/>
            </w:pPr>
            <w:r>
              <w:rPr>
                <w:rFonts w:ascii="宋体" w:hAnsi="宋体" w:cs="宋体" w:eastAsia="宋体"/>
                <w:sz w:val="21"/>
              </w:rPr>
              <w:t>明确项目各阶段的责任人和任务分工，确保项目团队各成员明确自己的职责和任务。</w:t>
            </w:r>
          </w:p>
          <w:p>
            <w:pPr>
              <w:pStyle w:val="null3"/>
              <w:ind w:firstLine="420"/>
              <w:jc w:val="both"/>
            </w:pPr>
            <w:r>
              <w:rPr>
                <w:rFonts w:ascii="宋体" w:hAnsi="宋体" w:cs="宋体" w:eastAsia="宋体"/>
                <w:sz w:val="21"/>
              </w:rPr>
              <w:t>资源配置：</w:t>
            </w:r>
          </w:p>
          <w:p>
            <w:pPr>
              <w:pStyle w:val="null3"/>
              <w:ind w:firstLine="420"/>
              <w:jc w:val="both"/>
            </w:pPr>
            <w:r>
              <w:rPr>
                <w:rFonts w:ascii="宋体" w:hAnsi="宋体" w:cs="宋体" w:eastAsia="宋体"/>
                <w:sz w:val="21"/>
              </w:rPr>
              <w:t>合理配置项目所需的人力、物力、财力等资源，确保项目资源得到充分利用。</w:t>
            </w:r>
          </w:p>
          <w:p>
            <w:pPr>
              <w:pStyle w:val="null3"/>
              <w:ind w:firstLine="422"/>
              <w:jc w:val="both"/>
            </w:pPr>
            <w:r>
              <w:rPr>
                <w:rFonts w:ascii="宋体" w:hAnsi="宋体" w:cs="宋体" w:eastAsia="宋体"/>
                <w:sz w:val="21"/>
                <w:b/>
              </w:rPr>
              <w:t>（四）明确实施的方法和步骤</w:t>
            </w:r>
          </w:p>
          <w:p>
            <w:pPr>
              <w:pStyle w:val="null3"/>
              <w:ind w:firstLine="420"/>
              <w:jc w:val="both"/>
            </w:pPr>
            <w:r>
              <w:rPr>
                <w:rFonts w:ascii="&quot;times new roman&quot;" w:hAnsi="&quot;times new roman&quot;" w:cs="&quot;times new roman&quot;" w:eastAsia="&quot;times new roman&quot;"/>
                <w:sz w:val="21"/>
              </w:rPr>
              <w:t>1.</w:t>
            </w:r>
            <w:r>
              <w:rPr>
                <w:rFonts w:ascii="宋体" w:hAnsi="宋体" w:cs="宋体" w:eastAsia="宋体"/>
                <w:sz w:val="21"/>
              </w:rPr>
              <w:t>实施流程：</w:t>
            </w:r>
          </w:p>
          <w:p>
            <w:pPr>
              <w:pStyle w:val="null3"/>
              <w:ind w:firstLine="420"/>
              <w:jc w:val="both"/>
            </w:pPr>
            <w:r>
              <w:rPr>
                <w:rFonts w:ascii="宋体" w:hAnsi="宋体" w:cs="宋体" w:eastAsia="宋体"/>
                <w:sz w:val="21"/>
              </w:rPr>
              <w:t>制定详细的项目服务实施流程，包括需求分析、服务实现、服务运营等服务阶段的服务工作。</w:t>
            </w:r>
          </w:p>
          <w:p>
            <w:pPr>
              <w:pStyle w:val="null3"/>
              <w:ind w:firstLine="420"/>
              <w:jc w:val="both"/>
            </w:pPr>
            <w:r>
              <w:rPr>
                <w:rFonts w:ascii="&quot;times new roman&quot;" w:hAnsi="&quot;times new roman&quot;" w:cs="&quot;times new roman&quot;" w:eastAsia="&quot;times new roman&quot;"/>
                <w:sz w:val="21"/>
              </w:rPr>
              <w:t>2.</w:t>
            </w:r>
            <w:r>
              <w:rPr>
                <w:rFonts w:ascii="宋体" w:hAnsi="宋体" w:cs="宋体" w:eastAsia="宋体"/>
                <w:sz w:val="21"/>
              </w:rPr>
              <w:t>操作指南</w:t>
            </w:r>
          </w:p>
          <w:p>
            <w:pPr>
              <w:pStyle w:val="null3"/>
              <w:ind w:firstLine="420"/>
              <w:jc w:val="both"/>
            </w:pPr>
            <w:r>
              <w:rPr>
                <w:rFonts w:ascii="宋体" w:hAnsi="宋体" w:cs="宋体" w:eastAsia="宋体"/>
                <w:sz w:val="21"/>
              </w:rPr>
              <w:t>提供项目实施过程中的操作指南和技术文档，确保项目团队能够按照规范进行操作和实施。</w:t>
            </w:r>
          </w:p>
          <w:p>
            <w:pPr>
              <w:pStyle w:val="null3"/>
              <w:ind w:firstLine="422"/>
              <w:jc w:val="both"/>
            </w:pPr>
            <w:r>
              <w:rPr>
                <w:rFonts w:ascii="宋体" w:hAnsi="宋体" w:cs="宋体" w:eastAsia="宋体"/>
                <w:sz w:val="21"/>
                <w:b/>
              </w:rPr>
              <w:t>（五）建立实施监控和评估机制</w:t>
            </w:r>
          </w:p>
          <w:p>
            <w:pPr>
              <w:pStyle w:val="null3"/>
              <w:ind w:firstLine="420"/>
              <w:jc w:val="both"/>
            </w:pPr>
            <w:r>
              <w:rPr>
                <w:rFonts w:ascii="&quot;times new roman&quot;" w:hAnsi="&quot;times new roman&quot;" w:cs="&quot;times new roman&quot;" w:eastAsia="&quot;times new roman&quot;"/>
                <w:sz w:val="21"/>
              </w:rPr>
              <w:t>1.</w:t>
            </w:r>
            <w:r>
              <w:rPr>
                <w:rFonts w:ascii="宋体" w:hAnsi="宋体" w:cs="宋体" w:eastAsia="宋体"/>
                <w:sz w:val="21"/>
              </w:rPr>
              <w:t>监控指标：</w:t>
            </w:r>
          </w:p>
          <w:p>
            <w:pPr>
              <w:pStyle w:val="null3"/>
              <w:ind w:firstLine="420"/>
              <w:jc w:val="both"/>
            </w:pPr>
            <w:r>
              <w:rPr>
                <w:rFonts w:ascii="宋体" w:hAnsi="宋体" w:cs="宋体" w:eastAsia="宋体"/>
                <w:sz w:val="21"/>
              </w:rPr>
              <w:t>制定项目实施过程中的监控指标，如项目进度、质量、成本等，确保项目能够按照预定的目标进行。</w:t>
            </w:r>
          </w:p>
          <w:p>
            <w:pPr>
              <w:pStyle w:val="null3"/>
              <w:ind w:firstLine="420"/>
              <w:jc w:val="both"/>
            </w:pPr>
            <w:r>
              <w:rPr>
                <w:rFonts w:ascii="&quot;times new roman&quot;" w:hAnsi="&quot;times new roman&quot;" w:cs="&quot;times new roman&quot;" w:eastAsia="&quot;times new roman&quot;"/>
                <w:sz w:val="21"/>
              </w:rPr>
              <w:t>2.</w:t>
            </w:r>
            <w:r>
              <w:rPr>
                <w:rFonts w:ascii="宋体" w:hAnsi="宋体" w:cs="宋体" w:eastAsia="宋体"/>
                <w:sz w:val="21"/>
              </w:rPr>
              <w:t>评估标准：</w:t>
            </w:r>
          </w:p>
          <w:p>
            <w:pPr>
              <w:pStyle w:val="null3"/>
              <w:ind w:firstLine="420"/>
              <w:jc w:val="both"/>
            </w:pPr>
            <w:r>
              <w:rPr>
                <w:rFonts w:ascii="宋体" w:hAnsi="宋体" w:cs="宋体" w:eastAsia="宋体"/>
                <w:sz w:val="21"/>
              </w:rPr>
              <w:t>制定项目评估标准，对项目实施过程中的各个环节进行评估和检查，确保项目质量符合要求。</w:t>
            </w:r>
          </w:p>
          <w:p>
            <w:pPr>
              <w:pStyle w:val="null3"/>
              <w:ind w:firstLine="420"/>
              <w:jc w:val="both"/>
            </w:pPr>
            <w:r>
              <w:rPr>
                <w:rFonts w:ascii="&quot;times new roman&quot;" w:hAnsi="&quot;times new roman&quot;" w:cs="&quot;times new roman&quot;" w:eastAsia="&quot;times new roman&quot;"/>
                <w:sz w:val="21"/>
              </w:rPr>
              <w:t>3.</w:t>
            </w:r>
            <w:r>
              <w:rPr>
                <w:rFonts w:ascii="宋体" w:hAnsi="宋体" w:cs="宋体" w:eastAsia="宋体"/>
                <w:sz w:val="21"/>
              </w:rPr>
              <w:t>反馈机制：</w:t>
            </w:r>
          </w:p>
          <w:p>
            <w:pPr>
              <w:pStyle w:val="null3"/>
              <w:ind w:firstLine="420"/>
              <w:jc w:val="both"/>
            </w:pPr>
            <w:r>
              <w:rPr>
                <w:rFonts w:ascii="宋体" w:hAnsi="宋体" w:cs="宋体" w:eastAsia="宋体"/>
                <w:sz w:val="21"/>
              </w:rPr>
              <w:t>建立项目实施过程中的反馈机制，及时收集项目团队成员和客户的意见和建议，对项目进行调整和优化。</w:t>
            </w:r>
          </w:p>
          <w:p>
            <w:pPr>
              <w:pStyle w:val="null3"/>
              <w:ind w:firstLine="422"/>
              <w:jc w:val="both"/>
            </w:pPr>
            <w:r>
              <w:rPr>
                <w:rFonts w:ascii="宋体" w:hAnsi="宋体" w:cs="宋体" w:eastAsia="宋体"/>
                <w:sz w:val="21"/>
                <w:b/>
              </w:rPr>
              <w:t>（六）人员资质和能力要求</w:t>
            </w:r>
          </w:p>
          <w:p>
            <w:pPr>
              <w:pStyle w:val="null3"/>
              <w:ind w:firstLine="420"/>
              <w:jc w:val="both"/>
            </w:pPr>
            <w:r>
              <w:rPr>
                <w:rFonts w:ascii="&quot;times new roman&quot;" w:hAnsi="&quot;times new roman&quot;" w:cs="&quot;times new roman&quot;" w:eastAsia="&quot;times new roman&quot;"/>
                <w:sz w:val="21"/>
              </w:rPr>
              <w:t>1.</w:t>
            </w:r>
            <w:r>
              <w:rPr>
                <w:rFonts w:ascii="宋体" w:hAnsi="宋体" w:cs="宋体" w:eastAsia="宋体"/>
                <w:sz w:val="21"/>
              </w:rPr>
              <w:t>专业技能：</w:t>
            </w:r>
          </w:p>
          <w:p>
            <w:pPr>
              <w:pStyle w:val="null3"/>
              <w:ind w:firstLine="420"/>
              <w:jc w:val="both"/>
            </w:pPr>
            <w:r>
              <w:rPr>
                <w:rFonts w:ascii="宋体" w:hAnsi="宋体" w:cs="宋体" w:eastAsia="宋体"/>
                <w:sz w:val="21"/>
              </w:rPr>
              <w:t>项目团队成员应具备良好的计算机科学和软件工程知识背景，熟悉相关的编程语言和开发工具。</w:t>
            </w:r>
          </w:p>
          <w:p>
            <w:pPr>
              <w:pStyle w:val="null3"/>
              <w:ind w:firstLine="420"/>
              <w:jc w:val="both"/>
            </w:pPr>
            <w:r>
              <w:rPr>
                <w:rFonts w:ascii="&quot;times new roman&quot;" w:hAnsi="&quot;times new roman&quot;" w:cs="&quot;times new roman&quot;" w:eastAsia="&quot;times new roman&quot;"/>
                <w:sz w:val="21"/>
              </w:rPr>
              <w:t>2.</w:t>
            </w:r>
            <w:r>
              <w:rPr>
                <w:rFonts w:ascii="宋体" w:hAnsi="宋体" w:cs="宋体" w:eastAsia="宋体"/>
                <w:sz w:val="21"/>
              </w:rPr>
              <w:t>项目管理能力：</w:t>
            </w:r>
          </w:p>
          <w:p>
            <w:pPr>
              <w:pStyle w:val="null3"/>
              <w:ind w:firstLine="420"/>
              <w:jc w:val="both"/>
            </w:pPr>
            <w:r>
              <w:rPr>
                <w:rFonts w:ascii="宋体" w:hAnsi="宋体" w:cs="宋体" w:eastAsia="宋体"/>
                <w:sz w:val="21"/>
              </w:rPr>
              <w:t>项目经理应具备一定的项目管理经验和能力，能够合理安排和调度团队资源，制定详细的实施计划，并根据项目需求进行有效沟通和协调。</w:t>
            </w:r>
          </w:p>
          <w:p>
            <w:pPr>
              <w:pStyle w:val="null3"/>
              <w:ind w:firstLine="420"/>
              <w:jc w:val="both"/>
            </w:pPr>
            <w:r>
              <w:rPr>
                <w:rFonts w:ascii="&quot;times new roman&quot;" w:hAnsi="&quot;times new roman&quot;" w:cs="&quot;times new roman&quot;" w:eastAsia="&quot;times new roman&quot;"/>
                <w:sz w:val="21"/>
              </w:rPr>
              <w:t>3.</w:t>
            </w:r>
            <w:r>
              <w:rPr>
                <w:rFonts w:ascii="宋体" w:hAnsi="宋体" w:cs="宋体" w:eastAsia="宋体"/>
                <w:sz w:val="21"/>
              </w:rPr>
              <w:t>沟通能力：</w:t>
            </w:r>
          </w:p>
          <w:p>
            <w:pPr>
              <w:pStyle w:val="null3"/>
              <w:ind w:firstLine="420"/>
              <w:jc w:val="both"/>
            </w:pPr>
            <w:r>
              <w:rPr>
                <w:rFonts w:ascii="宋体" w:hAnsi="宋体" w:cs="宋体" w:eastAsia="宋体"/>
                <w:sz w:val="21"/>
              </w:rPr>
              <w:t>项目团队成员应具备良好的沟通能力，能够与项目经理、开发人员、测试人员以及客户保持有效的沟通，确保项目顺利进行。</w:t>
            </w:r>
          </w:p>
          <w:p>
            <w:pPr>
              <w:pStyle w:val="null3"/>
              <w:jc w:val="both"/>
            </w:pPr>
            <w:r>
              <w:rPr>
                <w:rFonts w:ascii="宋体" w:hAnsi="宋体" w:cs="宋体" w:eastAsia="宋体"/>
                <w:sz w:val="21"/>
                <w:b/>
              </w:rPr>
              <w:t>3.1.3.2.3</w:t>
            </w:r>
            <w:r>
              <w:rPr>
                <w:rFonts w:ascii="宋体" w:hAnsi="宋体" w:cs="宋体" w:eastAsia="宋体"/>
                <w:sz w:val="21"/>
                <w:b/>
              </w:rPr>
              <w:t>服务实施人员</w:t>
            </w:r>
          </w:p>
          <w:p>
            <w:pPr>
              <w:pStyle w:val="null3"/>
              <w:ind w:firstLine="420"/>
              <w:jc w:val="both"/>
            </w:pPr>
            <w:r>
              <w:rPr>
                <w:rFonts w:ascii="宋体" w:hAnsi="宋体" w:cs="宋体" w:eastAsia="宋体"/>
                <w:sz w:val="21"/>
              </w:rPr>
              <w:t>服务实施人员是负责软件项目从设计到交付全过程的专业团队。他们通过运用各种技术和工具，确保软件项目能够按照预定的目标、时间表和预算顺利完成。以下是服务机构应组建的服务实施团队以及其服务分工和职责定义：</w:t>
            </w:r>
          </w:p>
          <w:p>
            <w:pPr>
              <w:pStyle w:val="null3"/>
              <w:ind w:firstLine="420"/>
              <w:jc w:val="both"/>
            </w:pPr>
            <w:r>
              <w:rPr>
                <w:rFonts w:ascii="&quot;times new roman&quot;" w:hAnsi="&quot;times new roman&quot;" w:cs="&quot;times new roman&quot;" w:eastAsia="&quot;times new roman&quot;"/>
                <w:sz w:val="21"/>
              </w:rPr>
              <w:t>1</w:t>
            </w:r>
            <w:r>
              <w:rPr>
                <w:rFonts w:ascii="宋体" w:hAnsi="宋体" w:cs="宋体" w:eastAsia="宋体"/>
                <w:sz w:val="21"/>
              </w:rPr>
              <w:t>、项目经理</w:t>
            </w:r>
          </w:p>
          <w:p>
            <w:pPr>
              <w:pStyle w:val="null3"/>
              <w:ind w:firstLine="420"/>
              <w:jc w:val="both"/>
            </w:pPr>
            <w:r>
              <w:rPr>
                <w:rFonts w:ascii="宋体" w:hAnsi="宋体" w:cs="宋体" w:eastAsia="宋体"/>
                <w:sz w:val="21"/>
              </w:rPr>
              <w:t>职责：负责整个软件项目的规划、协调和管理。他们需要具备良好的沟通能力和领导能力，以确保项目按时完成，并与相关利益相关者保持良好的合作关系。</w:t>
            </w:r>
          </w:p>
          <w:p>
            <w:pPr>
              <w:pStyle w:val="null3"/>
              <w:ind w:firstLine="420"/>
              <w:jc w:val="both"/>
            </w:pPr>
            <w:r>
              <w:rPr>
                <w:rFonts w:ascii="宋体" w:hAnsi="宋体" w:cs="宋体" w:eastAsia="宋体"/>
                <w:sz w:val="21"/>
              </w:rPr>
              <w:t>技能：项目管理方法、时间管理、风险管理、团队协作等。</w:t>
            </w:r>
          </w:p>
          <w:p>
            <w:pPr>
              <w:pStyle w:val="null3"/>
              <w:ind w:firstLine="420"/>
              <w:jc w:val="both"/>
            </w:pPr>
            <w:r>
              <w:rPr>
                <w:rFonts w:ascii="&quot;times new roman&quot;" w:hAnsi="&quot;times new roman&quot;" w:cs="&quot;times new roman&quot;" w:eastAsia="&quot;times new roman&quot;"/>
                <w:sz w:val="21"/>
              </w:rPr>
              <w:t>2</w:t>
            </w:r>
            <w:r>
              <w:rPr>
                <w:rFonts w:ascii="宋体" w:hAnsi="宋体" w:cs="宋体" w:eastAsia="宋体"/>
                <w:sz w:val="21"/>
              </w:rPr>
              <w:t>、服务实施人员</w:t>
            </w:r>
          </w:p>
          <w:p>
            <w:pPr>
              <w:pStyle w:val="null3"/>
              <w:ind w:firstLine="420"/>
              <w:jc w:val="both"/>
            </w:pPr>
            <w:r>
              <w:rPr>
                <w:rFonts w:ascii="宋体" w:hAnsi="宋体" w:cs="宋体" w:eastAsia="宋体"/>
                <w:sz w:val="21"/>
              </w:rPr>
              <w:t>职责：根据项目需求进行服务实施。他们需要具备相关类型项目的服务经验，以确保按时交付完成服务的实施。</w:t>
            </w:r>
          </w:p>
          <w:p>
            <w:pPr>
              <w:pStyle w:val="null3"/>
              <w:ind w:firstLine="420"/>
              <w:jc w:val="both"/>
            </w:pPr>
            <w:r>
              <w:rPr>
                <w:rFonts w:ascii="宋体" w:hAnsi="宋体" w:cs="宋体" w:eastAsia="宋体"/>
                <w:sz w:val="21"/>
              </w:rPr>
              <w:t>技能：熟悉异地账户共济业务、政策、异地账户共济经办流程等。</w:t>
            </w:r>
          </w:p>
          <w:p>
            <w:pPr>
              <w:pStyle w:val="null3"/>
              <w:ind w:firstLine="420"/>
              <w:jc w:val="both"/>
            </w:pPr>
            <w:r>
              <w:rPr>
                <w:rFonts w:ascii="&quot;times new roman&quot;" w:hAnsi="&quot;times new roman&quot;" w:cs="&quot;times new roman&quot;" w:eastAsia="&quot;times new roman&quot;"/>
                <w:sz w:val="21"/>
              </w:rPr>
              <w:t>3</w:t>
            </w:r>
            <w:r>
              <w:rPr>
                <w:rFonts w:ascii="宋体" w:hAnsi="宋体" w:cs="宋体" w:eastAsia="宋体"/>
                <w:sz w:val="21"/>
              </w:rPr>
              <w:t>、质量保证人员</w:t>
            </w:r>
          </w:p>
          <w:p>
            <w:pPr>
              <w:pStyle w:val="null3"/>
              <w:ind w:firstLine="420"/>
              <w:jc w:val="both"/>
            </w:pPr>
            <w:r>
              <w:rPr>
                <w:rFonts w:ascii="宋体" w:hAnsi="宋体" w:cs="宋体" w:eastAsia="宋体"/>
                <w:sz w:val="21"/>
              </w:rPr>
              <w:t>职责：对软件项目进行全面的质量控制和测试。他们需要具备良好的软件测试技巧和问题解决能力，以确保软件产品的质量和稳定性。</w:t>
            </w:r>
          </w:p>
          <w:p>
            <w:pPr>
              <w:pStyle w:val="null3"/>
              <w:ind w:firstLine="420"/>
              <w:jc w:val="both"/>
            </w:pPr>
            <w:r>
              <w:rPr>
                <w:rFonts w:ascii="宋体" w:hAnsi="宋体" w:cs="宋体" w:eastAsia="宋体"/>
                <w:sz w:val="21"/>
              </w:rPr>
              <w:t>技能：测试方法、测试用例设计、缺陷管理工具使用等。</w:t>
            </w:r>
          </w:p>
          <w:p>
            <w:pPr>
              <w:pStyle w:val="null3"/>
              <w:ind w:firstLine="420"/>
              <w:jc w:val="both"/>
            </w:pPr>
            <w:r>
              <w:rPr>
                <w:rFonts w:ascii="&quot;times new roman&quot;" w:hAnsi="&quot;times new roman&quot;" w:cs="&quot;times new roman&quot;" w:eastAsia="&quot;times new roman&quot;"/>
                <w:sz w:val="21"/>
              </w:rPr>
              <w:t>4</w:t>
            </w:r>
            <w:r>
              <w:rPr>
                <w:rFonts w:ascii="宋体" w:hAnsi="宋体" w:cs="宋体" w:eastAsia="宋体"/>
                <w:sz w:val="21"/>
              </w:rPr>
              <w:t>、部署和服务人员</w:t>
            </w:r>
          </w:p>
          <w:p>
            <w:pPr>
              <w:pStyle w:val="null3"/>
              <w:ind w:firstLine="420"/>
              <w:jc w:val="both"/>
            </w:pPr>
            <w:r>
              <w:rPr>
                <w:rFonts w:ascii="宋体" w:hAnsi="宋体" w:cs="宋体" w:eastAsia="宋体"/>
                <w:sz w:val="21"/>
              </w:rPr>
              <w:t>职责：将软件产品部署到生产环境，并确保软件的正常运行。他们需要具备良好的系统操作和故障排除能力，以确保软件的高可用性和稳定性。</w:t>
            </w:r>
          </w:p>
          <w:p>
            <w:pPr>
              <w:pStyle w:val="null3"/>
              <w:ind w:firstLine="420"/>
              <w:jc w:val="both"/>
            </w:pPr>
            <w:r>
              <w:rPr>
                <w:rFonts w:ascii="宋体" w:hAnsi="宋体" w:cs="宋体" w:eastAsia="宋体"/>
                <w:sz w:val="21"/>
              </w:rPr>
              <w:t>技能：系统部署、监控与告警、故障排查与恢复等。</w:t>
            </w:r>
          </w:p>
          <w:p>
            <w:pPr>
              <w:pStyle w:val="null3"/>
              <w:jc w:val="both"/>
            </w:pPr>
            <w:r>
              <w:rPr>
                <w:rFonts w:ascii="宋体" w:hAnsi="宋体" w:cs="宋体" w:eastAsia="宋体"/>
                <w:sz w:val="21"/>
                <w:b/>
              </w:rPr>
              <w:t>3.1.3.3</w:t>
            </w:r>
            <w:r>
              <w:rPr>
                <w:rFonts w:ascii="宋体" w:hAnsi="宋体" w:cs="宋体" w:eastAsia="宋体"/>
                <w:sz w:val="21"/>
                <w:b/>
              </w:rPr>
              <w:t>服务涉及人员</w:t>
            </w:r>
          </w:p>
          <w:p>
            <w:pPr>
              <w:pStyle w:val="null3"/>
              <w:ind w:firstLine="420"/>
              <w:jc w:val="both"/>
            </w:pPr>
            <w:r>
              <w:rPr>
                <w:rFonts w:ascii="宋体" w:hAnsi="宋体" w:cs="宋体" w:eastAsia="宋体"/>
                <w:sz w:val="21"/>
              </w:rPr>
              <w:t>本项目服务涉及人员：包括机构用户、公务人员和社会公众三类。即：</w:t>
            </w:r>
          </w:p>
          <w:p>
            <w:pPr>
              <w:pStyle w:val="null3"/>
              <w:ind w:firstLine="420"/>
              <w:jc w:val="both"/>
            </w:pP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）机构用户：省、市</w:t>
            </w:r>
            <w:r>
              <w:rPr>
                <w:rFonts w:ascii="&quot;times new roman&quot;" w:hAnsi="&quot;times new roman&quot;" w:cs="&quot;times new roman&quot;" w:eastAsia="&quot;times new roman&quot;"/>
                <w:sz w:val="21"/>
              </w:rPr>
              <w:t>/</w:t>
            </w:r>
            <w:r>
              <w:rPr>
                <w:rFonts w:ascii="宋体" w:hAnsi="宋体" w:cs="宋体" w:eastAsia="宋体"/>
                <w:sz w:val="21"/>
              </w:rPr>
              <w:t>区县医疗保障局及相关业务处室；</w:t>
            </w:r>
          </w:p>
          <w:p>
            <w:pPr>
              <w:pStyle w:val="null3"/>
              <w:ind w:firstLine="420"/>
              <w:jc w:val="both"/>
            </w:pPr>
            <w:r>
              <w:rPr>
                <w:rFonts w:ascii="宋体" w:hAnsi="宋体" w:cs="宋体" w:eastAsia="宋体"/>
                <w:sz w:val="21"/>
              </w:rPr>
              <w:t>（</w:t>
            </w:r>
            <w:r>
              <w:rPr>
                <w:rFonts w:ascii="&quot;times new roman&quot;" w:hAnsi="&quot;times new roman&quot;" w:cs="&quot;times new roman&quot;" w:eastAsia="&quot;times new roman&quot;"/>
                <w:sz w:val="21"/>
              </w:rPr>
              <w:t>2</w:t>
            </w:r>
            <w:r>
              <w:rPr>
                <w:rFonts w:ascii="宋体" w:hAnsi="宋体" w:cs="宋体" w:eastAsia="宋体"/>
                <w:sz w:val="21"/>
              </w:rPr>
              <w:t>）公务人员：省、市</w:t>
            </w:r>
            <w:r>
              <w:rPr>
                <w:rFonts w:ascii="&quot;times new roman&quot;" w:hAnsi="&quot;times new roman&quot;" w:cs="&quot;times new roman&quot;" w:eastAsia="&quot;times new roman&quot;"/>
                <w:sz w:val="21"/>
              </w:rPr>
              <w:t>/</w:t>
            </w:r>
            <w:r>
              <w:rPr>
                <w:rFonts w:ascii="宋体" w:hAnsi="宋体" w:cs="宋体" w:eastAsia="宋体"/>
                <w:sz w:val="21"/>
              </w:rPr>
              <w:t>区县医疗保障局业务经办中心人员、基金管理中心人员、技术服务中心人员；</w:t>
            </w:r>
          </w:p>
          <w:p>
            <w:pPr>
              <w:pStyle w:val="null3"/>
              <w:ind w:firstLine="420"/>
              <w:jc w:val="both"/>
            </w:pPr>
            <w:r>
              <w:rPr>
                <w:rFonts w:ascii="宋体" w:hAnsi="宋体" w:cs="宋体" w:eastAsia="宋体"/>
                <w:sz w:val="21"/>
              </w:rPr>
              <w:t>（</w:t>
            </w:r>
            <w:r>
              <w:rPr>
                <w:rFonts w:ascii="&quot;times new roman&quot;" w:hAnsi="&quot;times new roman&quot;" w:cs="&quot;times new roman&quot;" w:eastAsia="&quot;times new roman&quot;"/>
                <w:sz w:val="21"/>
              </w:rPr>
              <w:t>3</w:t>
            </w:r>
            <w:r>
              <w:rPr>
                <w:rFonts w:ascii="宋体" w:hAnsi="宋体" w:cs="宋体" w:eastAsia="宋体"/>
                <w:sz w:val="21"/>
              </w:rPr>
              <w:t>）社会公众：职工医保参保人员及其已参保的父母、配偶和子女等。</w:t>
            </w:r>
          </w:p>
          <w:p>
            <w:pPr>
              <w:pStyle w:val="null3"/>
              <w:jc w:val="both"/>
            </w:pPr>
            <w:r>
              <w:rPr>
                <w:rFonts w:ascii="宋体" w:hAnsi="宋体" w:cs="宋体" w:eastAsia="宋体"/>
                <w:sz w:val="21"/>
                <w:b/>
              </w:rPr>
              <w:t>3.1.4</w:t>
            </w:r>
            <w:r>
              <w:rPr>
                <w:rFonts w:ascii="黑体" w:hAnsi="黑体" w:cs="黑体" w:eastAsia="黑体"/>
                <w:sz w:val="21"/>
                <w:b/>
              </w:rPr>
              <w:t>服务组织架构</w:t>
            </w:r>
          </w:p>
          <w:p>
            <w:pPr>
              <w:pStyle w:val="null3"/>
              <w:jc w:val="both"/>
            </w:pPr>
            <w:r>
              <w:rPr>
                <w:rFonts w:ascii="宋体" w:hAnsi="宋体" w:cs="宋体" w:eastAsia="宋体"/>
                <w:sz w:val="21"/>
                <w:b/>
              </w:rPr>
              <w:t>3.1.4.1</w:t>
            </w:r>
            <w:r>
              <w:rPr>
                <w:rFonts w:ascii="宋体" w:hAnsi="宋体" w:cs="宋体" w:eastAsia="宋体"/>
                <w:sz w:val="21"/>
                <w:b/>
              </w:rPr>
              <w:t>服务组织架构</w:t>
            </w:r>
          </w:p>
          <w:p>
            <w:pPr>
              <w:pStyle w:val="null3"/>
              <w:ind w:firstLine="420"/>
              <w:jc w:val="both"/>
            </w:pPr>
            <w:r>
              <w:rPr>
                <w:rFonts w:ascii="宋体" w:hAnsi="宋体" w:cs="宋体" w:eastAsia="宋体"/>
                <w:sz w:val="21"/>
              </w:rPr>
              <w:t>本项目服务组织架构主要包括服务管理机构、服务实施机构和服务监督机构三方。如图所示：</w:t>
            </w:r>
          </w:p>
          <w:p>
            <w:pPr>
              <w:pStyle w:val="null3"/>
              <w:jc w:val="both"/>
            </w:pPr>
            <w:r>
              <w:rPr>
                <w:rFonts w:ascii="黑体" w:hAnsi="黑体" w:cs="黑体" w:eastAsia="黑体"/>
                <w:sz w:val="21"/>
              </w:rPr>
              <w:t>图</w:t>
            </w:r>
            <w:r>
              <w:rPr>
                <w:rFonts w:ascii="黑体" w:hAnsi="黑体" w:cs="黑体" w:eastAsia="黑体"/>
                <w:sz w:val="21"/>
              </w:rPr>
              <w:t>4</w:t>
            </w:r>
            <w:r>
              <w:rPr>
                <w:rFonts w:ascii="黑体" w:hAnsi="黑体" w:cs="黑体" w:eastAsia="黑体"/>
                <w:sz w:val="21"/>
              </w:rPr>
              <w:t>-3</w:t>
            </w:r>
            <w:r>
              <w:rPr>
                <w:rFonts w:ascii="黑体" w:hAnsi="黑体" w:cs="黑体" w:eastAsia="黑体"/>
                <w:sz w:val="21"/>
              </w:rPr>
              <w:t>服务组织架构</w:t>
            </w:r>
          </w:p>
          <w:p>
            <w:pPr>
              <w:pStyle w:val="null3"/>
              <w:jc w:val="both"/>
            </w:pPr>
            <w:r>
              <w:rPr>
                <w:rFonts w:ascii="宋体" w:hAnsi="宋体" w:cs="宋体" w:eastAsia="宋体"/>
                <w:sz w:val="21"/>
                <w:b/>
              </w:rPr>
              <w:t>3.1.4.2</w:t>
            </w:r>
            <w:r>
              <w:rPr>
                <w:rFonts w:ascii="宋体" w:hAnsi="宋体" w:cs="宋体" w:eastAsia="宋体"/>
                <w:sz w:val="21"/>
                <w:b/>
              </w:rPr>
              <w:t>服务实施机构及职责</w:t>
            </w:r>
          </w:p>
          <w:p>
            <w:pPr>
              <w:pStyle w:val="null3"/>
              <w:ind w:firstLine="420"/>
              <w:jc w:val="both"/>
            </w:pPr>
            <w:r>
              <w:rPr>
                <w:rFonts w:ascii="宋体" w:hAnsi="宋体" w:cs="宋体" w:eastAsia="宋体"/>
                <w:sz w:val="21"/>
              </w:rPr>
              <w:t>其中，服务实施机构主要由项目负责人、开发服务小组、测试服务小组、实施服务小组、验收服务小组、运营服务小组等组成。相关职责如下：</w:t>
            </w:r>
          </w:p>
          <w:p>
            <w:pPr>
              <w:pStyle w:val="null3"/>
              <w:ind w:firstLine="420"/>
              <w:jc w:val="both"/>
            </w:pPr>
            <w:r>
              <w:rPr>
                <w:rFonts w:ascii="宋体" w:hAnsi="宋体" w:cs="宋体" w:eastAsia="宋体"/>
                <w:sz w:val="21"/>
              </w:rPr>
              <w:t>项目负责人：作为项目的领导者和管理者，负责项目的整体规划、组织、实施和控制。项目负责人需要具备良好的沟通能力、团队管理能力和项目管理经验，确保项目按时、按质、按量完成。</w:t>
            </w:r>
          </w:p>
          <w:p>
            <w:pPr>
              <w:pStyle w:val="null3"/>
              <w:ind w:firstLine="420"/>
              <w:jc w:val="both"/>
            </w:pPr>
            <w:r>
              <w:rPr>
                <w:rFonts w:ascii="宋体" w:hAnsi="宋体" w:cs="宋体" w:eastAsia="宋体"/>
                <w:sz w:val="21"/>
              </w:rPr>
              <w:t>需求分析服务小组：负责收集和分析用户需求，将用户需求转化为可执行的项目计划。需求小组人员需要与用户进行深入的沟通，准确理解用户的需求。</w:t>
            </w:r>
          </w:p>
          <w:p>
            <w:pPr>
              <w:pStyle w:val="null3"/>
              <w:ind w:firstLine="420"/>
              <w:jc w:val="both"/>
            </w:pPr>
            <w:r>
              <w:rPr>
                <w:rFonts w:ascii="宋体" w:hAnsi="宋体" w:cs="宋体" w:eastAsia="宋体"/>
                <w:sz w:val="21"/>
              </w:rPr>
              <w:t>实施服务小组：基于需求分析结果，提供设计、开发、测试等服务，以及系统部署服务等。</w:t>
            </w:r>
          </w:p>
          <w:p>
            <w:pPr>
              <w:pStyle w:val="null3"/>
              <w:ind w:firstLine="420"/>
              <w:jc w:val="both"/>
            </w:pPr>
            <w:r>
              <w:rPr>
                <w:rFonts w:ascii="宋体" w:hAnsi="宋体" w:cs="宋体" w:eastAsia="宋体"/>
                <w:sz w:val="21"/>
              </w:rPr>
              <w:t>运营监控服务：在项目部署完成后，负责项目的日常维护、性能监控、处故障理和技术支持，以确保软件稳定运行，及时响应用户反馈。</w:t>
            </w:r>
          </w:p>
          <w:p>
            <w:pPr>
              <w:pStyle w:val="null3"/>
              <w:jc w:val="both"/>
            </w:pPr>
            <w:r>
              <w:rPr>
                <w:rFonts w:ascii="宋体" w:hAnsi="宋体" w:cs="宋体" w:eastAsia="宋体"/>
                <w:sz w:val="21"/>
                <w:b/>
              </w:rPr>
              <w:t>3.1.4.3</w:t>
            </w:r>
            <w:r>
              <w:rPr>
                <w:rFonts w:ascii="宋体" w:hAnsi="宋体" w:cs="宋体" w:eastAsia="宋体"/>
                <w:sz w:val="21"/>
                <w:b/>
              </w:rPr>
              <w:t>服务运行机制</w:t>
            </w:r>
          </w:p>
          <w:p>
            <w:pPr>
              <w:pStyle w:val="null3"/>
              <w:ind w:firstLine="420"/>
              <w:jc w:val="both"/>
            </w:pPr>
            <w:r>
              <w:rPr>
                <w:rFonts w:ascii="宋体" w:hAnsi="宋体" w:cs="宋体" w:eastAsia="宋体"/>
                <w:sz w:val="21"/>
              </w:rPr>
              <w:t>本项目的服务运行机制涵盖了从项目启动、需求分析、开发、运营维护到项目监控、风险管理和资源管理的全过程，以确保项目的顺利进行和成功运营。其详细的服务运行机制如下：</w:t>
            </w:r>
          </w:p>
          <w:p>
            <w:pPr>
              <w:pStyle w:val="null3"/>
              <w:ind w:firstLine="422"/>
              <w:jc w:val="both"/>
            </w:pPr>
            <w:r>
              <w:rPr>
                <w:rFonts w:ascii="&quot;times new roman&quot;" w:hAnsi="&quot;times new roman&quot;" w:cs="&quot;times new roman&quot;" w:eastAsia="&quot;times new roman&quot;"/>
                <w:sz w:val="21"/>
                <w:b/>
              </w:rPr>
              <w:t>1.</w:t>
            </w:r>
            <w:r>
              <w:rPr>
                <w:rFonts w:ascii="宋体" w:hAnsi="宋体" w:cs="宋体" w:eastAsia="宋体"/>
                <w:sz w:val="21"/>
                <w:b/>
              </w:rPr>
              <w:t>项目启动与准备阶段</w:t>
            </w:r>
          </w:p>
          <w:p>
            <w:pPr>
              <w:pStyle w:val="null3"/>
              <w:ind w:firstLine="420"/>
              <w:jc w:val="both"/>
            </w:pPr>
            <w:r>
              <w:rPr>
                <w:rFonts w:ascii="宋体" w:hAnsi="宋体" w:cs="宋体" w:eastAsia="宋体"/>
                <w:sz w:val="21"/>
              </w:rPr>
              <w:t>确定项目负责人和项目团队，明确人员角色分工。</w:t>
            </w:r>
          </w:p>
          <w:p>
            <w:pPr>
              <w:pStyle w:val="null3"/>
              <w:ind w:firstLine="420"/>
              <w:jc w:val="both"/>
            </w:pPr>
            <w:r>
              <w:rPr>
                <w:rFonts w:ascii="宋体" w:hAnsi="宋体" w:cs="宋体" w:eastAsia="宋体"/>
                <w:sz w:val="21"/>
              </w:rPr>
              <w:t>制定项目章程，包括交付文档、交付物、日清进度、会议沟通计划、项目变更流程等。</w:t>
            </w:r>
          </w:p>
          <w:p>
            <w:pPr>
              <w:pStyle w:val="null3"/>
              <w:ind w:firstLine="420"/>
              <w:jc w:val="both"/>
            </w:pPr>
            <w:r>
              <w:rPr>
                <w:rFonts w:ascii="宋体" w:hAnsi="宋体" w:cs="宋体" w:eastAsia="宋体"/>
                <w:sz w:val="21"/>
              </w:rPr>
              <w:t>明确项目需求和输出需求文件，确定项目的里程碑和完工标准。</w:t>
            </w:r>
          </w:p>
          <w:p>
            <w:pPr>
              <w:pStyle w:val="null3"/>
              <w:ind w:firstLine="422"/>
              <w:jc w:val="both"/>
            </w:pPr>
            <w:r>
              <w:rPr>
                <w:rFonts w:ascii="&quot;times new roman&quot;" w:hAnsi="&quot;times new roman&quot;" w:cs="&quot;times new roman&quot;" w:eastAsia="&quot;times new roman&quot;"/>
                <w:sz w:val="21"/>
                <w:b/>
              </w:rPr>
              <w:t>2.</w:t>
            </w:r>
            <w:r>
              <w:rPr>
                <w:rFonts w:ascii="宋体" w:hAnsi="宋体" w:cs="宋体" w:eastAsia="宋体"/>
                <w:sz w:val="21"/>
                <w:b/>
              </w:rPr>
              <w:t>需求分析与确认阶段</w:t>
            </w:r>
          </w:p>
          <w:p>
            <w:pPr>
              <w:pStyle w:val="null3"/>
              <w:ind w:firstLine="420"/>
              <w:jc w:val="both"/>
            </w:pPr>
            <w:r>
              <w:rPr>
                <w:rFonts w:ascii="宋体" w:hAnsi="宋体" w:cs="宋体" w:eastAsia="宋体"/>
                <w:sz w:val="21"/>
              </w:rPr>
              <w:t>需求分析：依据需求文件，由项目负责人、产品经理、测试、开发等相关干系人进行评估分析，输出工作说明书。</w:t>
            </w:r>
          </w:p>
          <w:p>
            <w:pPr>
              <w:pStyle w:val="null3"/>
              <w:ind w:firstLine="420"/>
              <w:jc w:val="both"/>
            </w:pPr>
            <w:r>
              <w:rPr>
                <w:rFonts w:ascii="宋体" w:hAnsi="宋体" w:cs="宋体" w:eastAsia="宋体"/>
                <w:sz w:val="21"/>
              </w:rPr>
              <w:t>需求确认：通过</w:t>
            </w:r>
            <w:r>
              <w:rPr>
                <w:rFonts w:ascii="&quot;times new roman&quot;" w:hAnsi="&quot;times new roman&quot;" w:cs="&quot;times new roman&quot;" w:eastAsia="&quot;times new roman&quot;"/>
                <w:sz w:val="21"/>
              </w:rPr>
              <w:t>demo</w:t>
            </w:r>
            <w:r>
              <w:rPr>
                <w:rFonts w:ascii="宋体" w:hAnsi="宋体" w:cs="宋体" w:eastAsia="宋体"/>
                <w:sz w:val="21"/>
              </w:rPr>
              <w:t>的形式（如原型、</w:t>
            </w:r>
            <w:r>
              <w:rPr>
                <w:rFonts w:ascii="&quot;times new roman&quot;" w:hAnsi="&quot;times new roman&quot;" w:cs="&quot;times new roman&quot;" w:eastAsia="&quot;times new roman&quot;"/>
                <w:sz w:val="21"/>
              </w:rPr>
              <w:t>UI</w:t>
            </w:r>
            <w:r>
              <w:rPr>
                <w:rFonts w:ascii="宋体" w:hAnsi="宋体" w:cs="宋体" w:eastAsia="宋体"/>
                <w:sz w:val="21"/>
              </w:rPr>
              <w:t>图）呈现需求，与需求提出方进行沟通确认，并签署书面文件。</w:t>
            </w:r>
          </w:p>
          <w:p>
            <w:pPr>
              <w:pStyle w:val="null3"/>
              <w:ind w:firstLine="420"/>
              <w:jc w:val="both"/>
            </w:pPr>
            <w:r>
              <w:rPr>
                <w:rFonts w:ascii="宋体" w:hAnsi="宋体" w:cs="宋体" w:eastAsia="宋体"/>
                <w:sz w:val="21"/>
              </w:rPr>
              <w:t>需求评审：内部开发需求评审，确定使用的技术、风险点，并据此明确项目计划排期。</w:t>
            </w:r>
          </w:p>
          <w:p>
            <w:pPr>
              <w:pStyle w:val="null3"/>
              <w:ind w:firstLine="422"/>
              <w:jc w:val="both"/>
            </w:pPr>
            <w:r>
              <w:rPr>
                <w:rFonts w:ascii="&quot;times new roman&quot;" w:hAnsi="&quot;times new roman&quot;" w:cs="&quot;times new roman&quot;" w:eastAsia="&quot;times new roman&quot;"/>
                <w:sz w:val="21"/>
                <w:b/>
              </w:rPr>
              <w:t>3</w:t>
            </w:r>
            <w:r>
              <w:rPr>
                <w:rFonts w:ascii="宋体" w:hAnsi="宋体" w:cs="宋体" w:eastAsia="宋体"/>
                <w:sz w:val="21"/>
                <w:b/>
              </w:rPr>
              <w:t>服务实施阶段</w:t>
            </w:r>
          </w:p>
          <w:p>
            <w:pPr>
              <w:pStyle w:val="null3"/>
              <w:ind w:firstLine="420"/>
              <w:jc w:val="both"/>
            </w:pPr>
            <w:r>
              <w:rPr>
                <w:rFonts w:ascii="宋体" w:hAnsi="宋体" w:cs="宋体" w:eastAsia="宋体"/>
                <w:sz w:val="21"/>
              </w:rPr>
              <w:t>进度管理：按照排期计划进行每日任务完成情况汇总和次日工作计划安排。</w:t>
            </w:r>
          </w:p>
          <w:p>
            <w:pPr>
              <w:pStyle w:val="null3"/>
              <w:ind w:firstLine="420"/>
              <w:jc w:val="both"/>
            </w:pPr>
            <w:r>
              <w:rPr>
                <w:rFonts w:ascii="宋体" w:hAnsi="宋体" w:cs="宋体" w:eastAsia="宋体"/>
                <w:sz w:val="21"/>
              </w:rPr>
              <w:t>质量管理：确保代码质量，采用自动化测试和代码审查方法提高代码质量。</w:t>
            </w:r>
          </w:p>
          <w:p>
            <w:pPr>
              <w:pStyle w:val="null3"/>
              <w:ind w:firstLine="420"/>
              <w:jc w:val="both"/>
            </w:pPr>
            <w:r>
              <w:rPr>
                <w:rFonts w:ascii="宋体" w:hAnsi="宋体" w:cs="宋体" w:eastAsia="宋体"/>
                <w:sz w:val="21"/>
              </w:rPr>
              <w:t>变更管理：在项目执行过程中，对于提出的需求变更，需按照变更流程进行评估、记录和确认。</w:t>
            </w:r>
          </w:p>
          <w:p>
            <w:pPr>
              <w:pStyle w:val="null3"/>
              <w:ind w:firstLine="422"/>
              <w:jc w:val="both"/>
            </w:pPr>
            <w:r>
              <w:rPr>
                <w:rFonts w:ascii="&quot;times new roman&quot;" w:hAnsi="&quot;times new roman&quot;" w:cs="&quot;times new roman&quot;" w:eastAsia="&quot;times new roman&quot;"/>
                <w:sz w:val="21"/>
                <w:b/>
              </w:rPr>
              <w:t>4.</w:t>
            </w:r>
            <w:r>
              <w:rPr>
                <w:rFonts w:ascii="宋体" w:hAnsi="宋体" w:cs="宋体" w:eastAsia="宋体"/>
                <w:sz w:val="21"/>
                <w:b/>
              </w:rPr>
              <w:t>运营与维护阶段</w:t>
            </w:r>
          </w:p>
          <w:p>
            <w:pPr>
              <w:pStyle w:val="null3"/>
              <w:ind w:firstLine="420"/>
              <w:jc w:val="both"/>
            </w:pPr>
            <w:r>
              <w:rPr>
                <w:rFonts w:ascii="宋体" w:hAnsi="宋体" w:cs="宋体" w:eastAsia="宋体"/>
                <w:sz w:val="21"/>
              </w:rPr>
              <w:t>技术支持与维护：建立专业的技术支持团队，负责软件项目的技术支持和维护工作，确保软件稳定运行。</w:t>
            </w:r>
          </w:p>
          <w:p>
            <w:pPr>
              <w:pStyle w:val="null3"/>
              <w:ind w:firstLine="420"/>
              <w:jc w:val="both"/>
            </w:pPr>
            <w:r>
              <w:rPr>
                <w:rFonts w:ascii="宋体" w:hAnsi="宋体" w:cs="宋体" w:eastAsia="宋体"/>
                <w:sz w:val="21"/>
              </w:rPr>
              <w:t>用户体验优化：不断优化软件界面和功能，提高用户的操作便利性和体验感。</w:t>
            </w:r>
          </w:p>
          <w:p>
            <w:pPr>
              <w:pStyle w:val="null3"/>
              <w:ind w:firstLine="420"/>
              <w:jc w:val="both"/>
            </w:pPr>
            <w:r>
              <w:rPr>
                <w:rFonts w:ascii="宋体" w:hAnsi="宋体" w:cs="宋体" w:eastAsia="宋体"/>
                <w:sz w:val="21"/>
              </w:rPr>
              <w:t>安全保障：加强软件项目的安全防护，建立健全的安全管理制度，防范各类安全风险。</w:t>
            </w:r>
          </w:p>
          <w:p>
            <w:pPr>
              <w:pStyle w:val="null3"/>
              <w:ind w:firstLine="422"/>
              <w:jc w:val="both"/>
            </w:pPr>
            <w:r>
              <w:rPr>
                <w:rFonts w:ascii="&quot;times new roman&quot;" w:hAnsi="&quot;times new roman&quot;" w:cs="&quot;times new roman&quot;" w:eastAsia="&quot;times new roman&quot;"/>
                <w:sz w:val="21"/>
                <w:b/>
              </w:rPr>
              <w:t>5.</w:t>
            </w:r>
            <w:r>
              <w:rPr>
                <w:rFonts w:ascii="宋体" w:hAnsi="宋体" w:cs="宋体" w:eastAsia="宋体"/>
                <w:sz w:val="21"/>
                <w:b/>
              </w:rPr>
              <w:t>项目监控与风险管理</w:t>
            </w:r>
          </w:p>
          <w:p>
            <w:pPr>
              <w:pStyle w:val="null3"/>
              <w:ind w:firstLine="420"/>
              <w:jc w:val="both"/>
            </w:pPr>
            <w:r>
              <w:rPr>
                <w:rFonts w:ascii="宋体" w:hAnsi="宋体" w:cs="宋体" w:eastAsia="宋体"/>
                <w:sz w:val="21"/>
              </w:rPr>
              <w:t>项目监控：通过定期的项目例会、进度报告等方式，确保项目的整体计划没有偏差。</w:t>
            </w:r>
          </w:p>
          <w:p>
            <w:pPr>
              <w:pStyle w:val="null3"/>
              <w:ind w:firstLine="420"/>
              <w:jc w:val="both"/>
            </w:pPr>
            <w:r>
              <w:rPr>
                <w:rFonts w:ascii="宋体" w:hAnsi="宋体" w:cs="宋体" w:eastAsia="宋体"/>
                <w:sz w:val="21"/>
              </w:rPr>
              <w:t>风险管理：在项目开始之前进行风险评估，识别可能出现的问题和风险，并制定相应的应对措施和计划。</w:t>
            </w:r>
          </w:p>
          <w:p>
            <w:pPr>
              <w:pStyle w:val="null3"/>
              <w:ind w:firstLine="422"/>
              <w:jc w:val="both"/>
            </w:pPr>
            <w:r>
              <w:rPr>
                <w:rFonts w:ascii="&quot;times new roman&quot;" w:hAnsi="&quot;times new roman&quot;" w:cs="&quot;times new roman&quot;" w:eastAsia="&quot;times new roman&quot;"/>
                <w:sz w:val="21"/>
                <w:b/>
              </w:rPr>
              <w:t>6.</w:t>
            </w:r>
            <w:r>
              <w:rPr>
                <w:rFonts w:ascii="宋体" w:hAnsi="宋体" w:cs="宋体" w:eastAsia="宋体"/>
                <w:sz w:val="21"/>
                <w:b/>
              </w:rPr>
              <w:t>资源管理与成本控制</w:t>
            </w:r>
          </w:p>
          <w:p>
            <w:pPr>
              <w:pStyle w:val="null3"/>
              <w:ind w:firstLine="420"/>
              <w:jc w:val="both"/>
            </w:pPr>
            <w:r>
              <w:rPr>
                <w:rFonts w:ascii="宋体" w:hAnsi="宋体" w:cs="宋体" w:eastAsia="宋体"/>
                <w:sz w:val="21"/>
              </w:rPr>
              <w:t>资源管理：合理规划和管理项目所需的人力、物力和财力资源，确保项目所需资源的及时提供和充分利用。</w:t>
            </w:r>
          </w:p>
          <w:p>
            <w:pPr>
              <w:pStyle w:val="null3"/>
              <w:ind w:firstLine="420"/>
              <w:jc w:val="both"/>
            </w:pPr>
            <w:r>
              <w:rPr>
                <w:rFonts w:ascii="宋体" w:hAnsi="宋体" w:cs="宋体" w:eastAsia="宋体"/>
                <w:sz w:val="21"/>
              </w:rPr>
              <w:t>成本控制：合理规划软件项目的运营成本，提高资源利用效率，降低运营成本。</w:t>
            </w:r>
          </w:p>
          <w:p>
            <w:pPr>
              <w:pStyle w:val="null3"/>
              <w:jc w:val="both"/>
            </w:pPr>
            <w:r>
              <w:rPr>
                <w:rFonts w:ascii="宋体" w:hAnsi="宋体" w:cs="宋体" w:eastAsia="宋体"/>
                <w:sz w:val="21"/>
                <w:b/>
              </w:rPr>
              <w:t>3.2</w:t>
            </w:r>
            <w:r>
              <w:rPr>
                <w:rFonts w:ascii="黑体" w:hAnsi="黑体" w:cs="黑体" w:eastAsia="黑体"/>
                <w:sz w:val="21"/>
                <w:b/>
              </w:rPr>
              <w:t>平台运营服务</w:t>
            </w:r>
          </w:p>
          <w:p>
            <w:pPr>
              <w:pStyle w:val="null3"/>
              <w:ind w:firstLine="420"/>
              <w:jc w:val="both"/>
            </w:pPr>
            <w:r>
              <w:rPr>
                <w:rFonts w:ascii="宋体" w:hAnsi="宋体" w:cs="宋体" w:eastAsia="宋体"/>
                <w:sz w:val="21"/>
              </w:rPr>
              <w:t>针对本项目，基于支撑软件提供平台运营服务，包括工具平台部署服务、数据共享交互服务、日常运营服务、相关系统咨询服务。</w:t>
            </w:r>
          </w:p>
          <w:p>
            <w:pPr>
              <w:pStyle w:val="null3"/>
              <w:jc w:val="both"/>
            </w:pPr>
            <w:r>
              <w:rPr>
                <w:rFonts w:ascii="宋体" w:hAnsi="宋体" w:cs="宋体" w:eastAsia="宋体"/>
                <w:sz w:val="21"/>
                <w:b/>
              </w:rPr>
              <w:t>3.2.1</w:t>
            </w:r>
            <w:r>
              <w:rPr>
                <w:rFonts w:ascii="黑体" w:hAnsi="黑体" w:cs="黑体" w:eastAsia="黑体"/>
                <w:sz w:val="21"/>
                <w:b/>
              </w:rPr>
              <w:t>服务内容</w:t>
            </w:r>
          </w:p>
          <w:p>
            <w:pPr>
              <w:pStyle w:val="null3"/>
              <w:jc w:val="both"/>
            </w:pPr>
            <w:r>
              <w:rPr>
                <w:rFonts w:ascii="宋体" w:hAnsi="宋体" w:cs="宋体" w:eastAsia="宋体"/>
                <w:sz w:val="21"/>
                <w:b/>
              </w:rPr>
              <w:t>3.2.1.1</w:t>
            </w:r>
            <w:r>
              <w:rPr>
                <w:rFonts w:ascii="宋体" w:hAnsi="宋体" w:cs="宋体" w:eastAsia="宋体"/>
                <w:sz w:val="21"/>
                <w:b/>
              </w:rPr>
              <w:t>工具平台部署服务</w:t>
            </w:r>
          </w:p>
          <w:p>
            <w:pPr>
              <w:pStyle w:val="null3"/>
              <w:ind w:firstLine="420"/>
              <w:jc w:val="both"/>
            </w:pPr>
            <w:r>
              <w:rPr>
                <w:rFonts w:ascii="宋体" w:hAnsi="宋体" w:cs="宋体" w:eastAsia="宋体"/>
                <w:sz w:val="21"/>
              </w:rPr>
              <w:t>提供工具平台部署服务，基于省医保信息平台现有环境部署，并按照文档说明，对该支撑工具平台进行启动调试，试运行正常后正式上线使用。</w:t>
            </w:r>
          </w:p>
          <w:p>
            <w:pPr>
              <w:pStyle w:val="null3"/>
              <w:jc w:val="both"/>
            </w:pPr>
            <w:r>
              <w:rPr>
                <w:rFonts w:ascii="宋体" w:hAnsi="宋体" w:cs="宋体" w:eastAsia="宋体"/>
                <w:sz w:val="21"/>
                <w:b/>
              </w:rPr>
              <w:t>3.2.1.2</w:t>
            </w:r>
            <w:r>
              <w:rPr>
                <w:rFonts w:ascii="宋体" w:hAnsi="宋体" w:cs="宋体" w:eastAsia="宋体"/>
                <w:sz w:val="21"/>
                <w:b/>
              </w:rPr>
              <w:t>数据共享交互服务</w:t>
            </w:r>
          </w:p>
          <w:p>
            <w:pPr>
              <w:pStyle w:val="null3"/>
              <w:ind w:firstLine="420"/>
              <w:jc w:val="both"/>
            </w:pPr>
            <w:r>
              <w:rPr>
                <w:rFonts w:ascii="宋体" w:hAnsi="宋体" w:cs="宋体" w:eastAsia="宋体"/>
                <w:sz w:val="21"/>
              </w:rPr>
              <w:t>提供的共享交互服务，通过与其他相关系统进行数据对接，监控相关共享数据与交换数据，保证数据的准确性和稳定性。</w:t>
            </w:r>
          </w:p>
          <w:p>
            <w:pPr>
              <w:pStyle w:val="null3"/>
              <w:jc w:val="both"/>
            </w:pPr>
            <w:r>
              <w:rPr>
                <w:rFonts w:ascii="宋体" w:hAnsi="宋体" w:cs="宋体" w:eastAsia="宋体"/>
                <w:sz w:val="21"/>
                <w:b/>
              </w:rPr>
              <w:t>3.2.1.3</w:t>
            </w:r>
            <w:r>
              <w:rPr>
                <w:rFonts w:ascii="宋体" w:hAnsi="宋体" w:cs="宋体" w:eastAsia="宋体"/>
                <w:sz w:val="21"/>
                <w:b/>
              </w:rPr>
              <w:t>数据处理服务</w:t>
            </w:r>
          </w:p>
          <w:p>
            <w:pPr>
              <w:pStyle w:val="null3"/>
              <w:ind w:firstLine="420"/>
              <w:jc w:val="both"/>
            </w:pPr>
            <w:r>
              <w:rPr>
                <w:rFonts w:ascii="宋体" w:hAnsi="宋体" w:cs="宋体" w:eastAsia="宋体"/>
                <w:sz w:val="21"/>
              </w:rPr>
              <w:t>通过与省医保信息平台中的相关应用进行对接，采集其中的账户共济类的基础数据，并对这些基础数据进行整合、分析和标准化处理，形成家庭共济绑定数据、家庭共济结算数据、异地共济拨付数据和异地共济清算数据，以支撑全省异地家庭共济业务的运行。</w:t>
            </w:r>
          </w:p>
          <w:p>
            <w:pPr>
              <w:pStyle w:val="null3"/>
              <w:jc w:val="both"/>
            </w:pPr>
            <w:r>
              <w:rPr>
                <w:rFonts w:ascii="宋体" w:hAnsi="宋体" w:cs="宋体" w:eastAsia="宋体"/>
                <w:sz w:val="21"/>
                <w:b/>
              </w:rPr>
              <w:t>3.2.1.4</w:t>
            </w:r>
            <w:r>
              <w:rPr>
                <w:rFonts w:ascii="宋体" w:hAnsi="宋体" w:cs="宋体" w:eastAsia="宋体"/>
                <w:sz w:val="21"/>
                <w:b/>
              </w:rPr>
              <w:t>日常运营服务</w:t>
            </w:r>
          </w:p>
          <w:p>
            <w:pPr>
              <w:pStyle w:val="null3"/>
              <w:ind w:firstLine="420"/>
              <w:jc w:val="left"/>
            </w:pPr>
            <w:r>
              <w:rPr>
                <w:rFonts w:ascii="宋体" w:hAnsi="宋体" w:cs="宋体" w:eastAsia="宋体"/>
                <w:sz w:val="21"/>
              </w:rPr>
              <w:t>提供</w:t>
            </w:r>
            <w:r>
              <w:rPr>
                <w:rFonts w:ascii="宋体" w:hAnsi="宋体" w:cs="宋体" w:eastAsia="宋体"/>
                <w:sz w:val="21"/>
              </w:rPr>
              <w:t>7*24小时的响应服务和5*8小时的日常运营服务，即实现针对账务共济业务问题受理、常见问题解析视频受理、平台服务问题受理和需求功能新增。此外，保证在任何时候用户单位都能及时找到服务人员。如遇服务人员无法解决的问题或需要，服务商的专业技术人员或二线专家应在2小时内赶到现场支持。系统问题需上报省医保局进行修复，数据问题需纳入本地平台日常运营服务中。</w:t>
            </w:r>
          </w:p>
          <w:p>
            <w:pPr>
              <w:pStyle w:val="null3"/>
              <w:jc w:val="both"/>
            </w:pPr>
            <w:r>
              <w:rPr>
                <w:rFonts w:ascii="宋体" w:hAnsi="宋体" w:cs="宋体" w:eastAsia="宋体"/>
                <w:sz w:val="21"/>
                <w:b/>
              </w:rPr>
              <w:t>3.2.1.5</w:t>
            </w:r>
            <w:r>
              <w:rPr>
                <w:rFonts w:ascii="宋体" w:hAnsi="宋体" w:cs="宋体" w:eastAsia="宋体"/>
                <w:sz w:val="21"/>
                <w:b/>
              </w:rPr>
              <w:t>相关应用升级扩展服务</w:t>
            </w:r>
          </w:p>
          <w:p>
            <w:pPr>
              <w:pStyle w:val="null3"/>
              <w:ind w:firstLine="420"/>
              <w:jc w:val="both"/>
            </w:pPr>
            <w:r>
              <w:rPr>
                <w:rFonts w:ascii="宋体" w:hAnsi="宋体" w:cs="宋体" w:eastAsia="宋体"/>
                <w:sz w:val="21"/>
              </w:rPr>
              <w:t>根据职工基本医疗保险个人账户家庭共济政策要求和业务要求，对陕西省医保信息平台相关应用进行适应性的升级扩展，满足异地就医情况下个人账户家庭共济。主要包括升级需求确认、升级实施、测试等内容。</w:t>
            </w:r>
          </w:p>
          <w:p>
            <w:pPr>
              <w:pStyle w:val="null3"/>
              <w:jc w:val="both"/>
            </w:pPr>
            <w:r>
              <w:rPr>
                <w:rFonts w:ascii="宋体" w:hAnsi="宋体" w:cs="宋体" w:eastAsia="宋体"/>
                <w:sz w:val="21"/>
                <w:b/>
              </w:rPr>
              <w:t>3.2.2</w:t>
            </w:r>
            <w:r>
              <w:rPr>
                <w:rFonts w:ascii="黑体" w:hAnsi="黑体" w:cs="黑体" w:eastAsia="黑体"/>
                <w:sz w:val="21"/>
                <w:b/>
              </w:rPr>
              <w:t>服务范围</w:t>
            </w:r>
          </w:p>
          <w:p>
            <w:pPr>
              <w:pStyle w:val="null3"/>
              <w:ind w:firstLine="420"/>
              <w:jc w:val="both"/>
            </w:pPr>
            <w:r>
              <w:rPr>
                <w:rFonts w:ascii="宋体" w:hAnsi="宋体" w:cs="宋体" w:eastAsia="宋体"/>
                <w:sz w:val="21"/>
              </w:rPr>
              <w:t>服务范围：陕西省医保信息平台，个人账户家庭共济业务所涉及的关联系统，包括异地就医管理子系统、医保业务基础子系统、两定服务子系统、两定机构的</w:t>
            </w:r>
            <w:r>
              <w:rPr>
                <w:rFonts w:ascii="&quot;times new roman&quot;" w:hAnsi="&quot;times new roman&quot;" w:cs="&quot;times new roman&quot;" w:eastAsia="&quot;times new roman&quot;"/>
                <w:sz w:val="21"/>
              </w:rPr>
              <w:t>HIS</w:t>
            </w:r>
            <w:r>
              <w:rPr>
                <w:rFonts w:ascii="宋体" w:hAnsi="宋体" w:cs="宋体" w:eastAsia="宋体"/>
                <w:sz w:val="21"/>
              </w:rPr>
              <w:t>，以及各医保统筹区的医保部门、经办中心以及参保人员。</w:t>
            </w:r>
          </w:p>
          <w:p>
            <w:pPr>
              <w:pStyle w:val="null3"/>
              <w:jc w:val="both"/>
            </w:pPr>
            <w:r>
              <w:rPr>
                <w:rFonts w:ascii="宋体" w:hAnsi="宋体" w:cs="宋体" w:eastAsia="宋体"/>
                <w:sz w:val="21"/>
                <w:b/>
              </w:rPr>
              <w:t>3.2.3</w:t>
            </w:r>
            <w:r>
              <w:rPr>
                <w:rFonts w:ascii="黑体" w:hAnsi="黑体" w:cs="黑体" w:eastAsia="黑体"/>
                <w:sz w:val="21"/>
                <w:b/>
              </w:rPr>
              <w:t>服务要求</w:t>
            </w:r>
          </w:p>
          <w:p>
            <w:pPr>
              <w:pStyle w:val="null3"/>
              <w:ind w:firstLine="420"/>
              <w:jc w:val="both"/>
            </w:pPr>
            <w:r>
              <w:rPr>
                <w:rFonts w:ascii="宋体" w:hAnsi="宋体" w:cs="宋体" w:eastAsia="宋体"/>
                <w:sz w:val="21"/>
              </w:rPr>
              <w:t>1.现场服务：本项目需提供不少于3人的服务人员以保证项目运行。</w:t>
            </w:r>
          </w:p>
          <w:p>
            <w:pPr>
              <w:pStyle w:val="null3"/>
              <w:ind w:firstLine="420"/>
              <w:jc w:val="both"/>
            </w:pPr>
            <w:r>
              <w:rPr>
                <w:rFonts w:ascii="宋体" w:hAnsi="宋体" w:cs="宋体" w:eastAsia="宋体"/>
                <w:sz w:val="21"/>
              </w:rPr>
              <w:t>2.响应时间：收到问题2小时内反馈、根据故障等级和需求分类进行服务时间规划。</w:t>
            </w:r>
          </w:p>
          <w:p>
            <w:pPr>
              <w:pStyle w:val="null3"/>
              <w:jc w:val="both"/>
            </w:pPr>
            <w:r>
              <w:rPr>
                <w:rFonts w:ascii="宋体" w:hAnsi="宋体" w:cs="宋体" w:eastAsia="宋体"/>
                <w:sz w:val="21"/>
                <w:b/>
              </w:rPr>
              <w:t>3.2.4</w:t>
            </w:r>
            <w:r>
              <w:rPr>
                <w:rFonts w:ascii="黑体" w:hAnsi="黑体" w:cs="黑体" w:eastAsia="黑体"/>
                <w:sz w:val="21"/>
                <w:b/>
              </w:rPr>
              <w:t>服务流程</w:t>
            </w:r>
          </w:p>
          <w:p>
            <w:pPr>
              <w:pStyle w:val="null3"/>
              <w:ind w:firstLine="420"/>
              <w:jc w:val="both"/>
            </w:pPr>
            <w:r>
              <w:rPr>
                <w:rFonts w:ascii="&quot;times new roman&quot;" w:hAnsi="&quot;times new roman&quot;" w:cs="&quot;times new roman&quot;" w:eastAsia="&quot;times new roman&quot;"/>
                <w:sz w:val="21"/>
              </w:rPr>
              <w:t>1.</w:t>
            </w:r>
            <w:r>
              <w:rPr>
                <w:rFonts w:ascii="宋体" w:hAnsi="宋体" w:cs="宋体" w:eastAsia="宋体"/>
                <w:sz w:val="21"/>
              </w:rPr>
              <w:t>需求分析</w:t>
            </w:r>
          </w:p>
          <w:p>
            <w:pPr>
              <w:pStyle w:val="null3"/>
              <w:ind w:firstLine="420"/>
              <w:jc w:val="both"/>
            </w:pPr>
            <w:r>
              <w:rPr>
                <w:rFonts w:ascii="宋体" w:hAnsi="宋体" w:cs="宋体" w:eastAsia="宋体"/>
                <w:sz w:val="21"/>
              </w:rPr>
              <w:t>根据省内跨统筹区个人账户家庭共济业务进行调研分析，对平台的运营服务内容进行梳理、归纳。对所确认的需求进行评估，最终确定平台运营服务的内容。</w:t>
            </w:r>
          </w:p>
          <w:p>
            <w:pPr>
              <w:pStyle w:val="null3"/>
              <w:ind w:firstLine="420"/>
              <w:jc w:val="both"/>
            </w:pPr>
            <w:r>
              <w:rPr>
                <w:rFonts w:ascii="&quot;times new roman&quot;" w:hAnsi="&quot;times new roman&quot;" w:cs="&quot;times new roman&quot;" w:eastAsia="&quot;times new roman&quot;"/>
                <w:sz w:val="21"/>
              </w:rPr>
              <w:t>2.</w:t>
            </w:r>
            <w:r>
              <w:rPr>
                <w:rFonts w:ascii="宋体" w:hAnsi="宋体" w:cs="宋体" w:eastAsia="宋体"/>
                <w:sz w:val="21"/>
              </w:rPr>
              <w:t>支撑工具平台部署</w:t>
            </w:r>
          </w:p>
          <w:p>
            <w:pPr>
              <w:pStyle w:val="null3"/>
              <w:ind w:firstLine="420"/>
              <w:jc w:val="both"/>
            </w:pPr>
            <w:r>
              <w:rPr>
                <w:rFonts w:ascii="宋体" w:hAnsi="宋体" w:cs="宋体" w:eastAsia="宋体"/>
                <w:sz w:val="21"/>
              </w:rPr>
              <w:t>基于服务的需要，将完成测试后的支撑软件工具部署在陕西省医保信息平台上的相关医保核心区域，并进行参数适配、联调测试等工作。</w:t>
            </w:r>
          </w:p>
          <w:p>
            <w:pPr>
              <w:pStyle w:val="null3"/>
              <w:ind w:firstLine="420"/>
              <w:jc w:val="both"/>
            </w:pPr>
            <w:r>
              <w:rPr>
                <w:rFonts w:ascii="&quot;times new roman&quot;" w:hAnsi="&quot;times new roman&quot;" w:cs="&quot;times new roman&quot;" w:eastAsia="&quot;times new roman&quot;"/>
                <w:sz w:val="21"/>
              </w:rPr>
              <w:t>3.</w:t>
            </w:r>
            <w:r>
              <w:rPr>
                <w:rFonts w:ascii="宋体" w:hAnsi="宋体" w:cs="宋体" w:eastAsia="宋体"/>
                <w:sz w:val="21"/>
              </w:rPr>
              <w:t>接口对接联调</w:t>
            </w:r>
          </w:p>
          <w:p>
            <w:pPr>
              <w:pStyle w:val="null3"/>
              <w:ind w:firstLine="420"/>
              <w:jc w:val="both"/>
            </w:pPr>
            <w:r>
              <w:rPr>
                <w:rFonts w:ascii="宋体" w:hAnsi="宋体" w:cs="宋体" w:eastAsia="宋体"/>
                <w:sz w:val="21"/>
              </w:rPr>
              <w:t>对部署后的支撑软件工具与省医保信息平台中的相关应用进行接口对接联调，以实现账户共济数据和异地个账下拨、财务数据等数据的对接。</w:t>
            </w:r>
          </w:p>
          <w:p>
            <w:pPr>
              <w:pStyle w:val="null3"/>
              <w:ind w:firstLine="420"/>
              <w:jc w:val="both"/>
            </w:pPr>
            <w:r>
              <w:rPr>
                <w:rFonts w:ascii="&quot;times new roman&quot;" w:hAnsi="&quot;times new roman&quot;" w:cs="&quot;times new roman&quot;" w:eastAsia="&quot;times new roman&quot;"/>
                <w:sz w:val="21"/>
              </w:rPr>
              <w:t>4.</w:t>
            </w:r>
            <w:r>
              <w:rPr>
                <w:rFonts w:ascii="宋体" w:hAnsi="宋体" w:cs="宋体" w:eastAsia="宋体"/>
                <w:sz w:val="21"/>
              </w:rPr>
              <w:t>数据处理服务</w:t>
            </w:r>
          </w:p>
          <w:p>
            <w:pPr>
              <w:pStyle w:val="null3"/>
              <w:ind w:firstLine="420"/>
              <w:jc w:val="both"/>
            </w:pPr>
            <w:r>
              <w:rPr>
                <w:rFonts w:ascii="宋体" w:hAnsi="宋体" w:cs="宋体" w:eastAsia="宋体"/>
                <w:sz w:val="21"/>
              </w:rPr>
              <w:t>对支撑软件工具与相关应用系统的共享交换数据进行整合、分析和标准化处理，并对这些数据进行监控分析，以实时掌握全省及各医保统筹区异地账户共济业务的运行情况。</w:t>
            </w:r>
          </w:p>
          <w:p>
            <w:pPr>
              <w:pStyle w:val="null3"/>
              <w:ind w:firstLine="420"/>
              <w:jc w:val="both"/>
            </w:pPr>
            <w:r>
              <w:rPr>
                <w:rFonts w:ascii="&quot;times new roman&quot;" w:hAnsi="&quot;times new roman&quot;" w:cs="&quot;times new roman&quot;" w:eastAsia="&quot;times new roman&quot;"/>
                <w:sz w:val="21"/>
              </w:rPr>
              <w:t>5.</w:t>
            </w:r>
            <w:r>
              <w:rPr>
                <w:rFonts w:ascii="宋体" w:hAnsi="宋体" w:cs="宋体" w:eastAsia="宋体"/>
                <w:sz w:val="21"/>
              </w:rPr>
              <w:t>日常运营</w:t>
            </w:r>
          </w:p>
          <w:p>
            <w:pPr>
              <w:pStyle w:val="null3"/>
              <w:ind w:firstLine="420"/>
              <w:jc w:val="left"/>
            </w:pPr>
            <w:r>
              <w:rPr>
                <w:rFonts w:ascii="宋体" w:hAnsi="宋体" w:cs="宋体" w:eastAsia="宋体"/>
                <w:sz w:val="21"/>
              </w:rPr>
              <w:t>提供</w:t>
            </w:r>
            <w:r>
              <w:rPr>
                <w:rFonts w:ascii="宋体" w:hAnsi="宋体" w:cs="宋体" w:eastAsia="宋体"/>
                <w:sz w:val="21"/>
              </w:rPr>
              <w:t>5*8小时的日常运营服务，包含针对账务共济业务问题、平台服务问题和需求功能新增。此外，收集用户实际使用中的问题和改进建议，根据反馈和实际情况，及时调整相关服务内容。</w:t>
            </w:r>
          </w:p>
          <w:p>
            <w:pPr>
              <w:pStyle w:val="null3"/>
              <w:ind w:firstLine="420"/>
              <w:jc w:val="both"/>
            </w:pPr>
            <w:r>
              <w:rPr>
                <w:rFonts w:ascii="&quot;times new roman&quot;" w:hAnsi="&quot;times new roman&quot;" w:cs="&quot;times new roman&quot;" w:eastAsia="&quot;times new roman&quot;"/>
                <w:sz w:val="21"/>
              </w:rPr>
              <w:t>6.</w:t>
            </w:r>
            <w:r>
              <w:rPr>
                <w:rFonts w:ascii="宋体" w:hAnsi="宋体" w:cs="宋体" w:eastAsia="宋体"/>
                <w:sz w:val="21"/>
              </w:rPr>
              <w:t>相关应用升级迭代</w:t>
            </w:r>
          </w:p>
          <w:p>
            <w:pPr>
              <w:pStyle w:val="null3"/>
              <w:ind w:firstLine="420"/>
              <w:jc w:val="both"/>
            </w:pPr>
            <w:r>
              <w:rPr>
                <w:rFonts w:ascii="宋体" w:hAnsi="宋体" w:cs="宋体" w:eastAsia="宋体"/>
                <w:sz w:val="21"/>
              </w:rPr>
              <w:t>根据省内异地账户家庭共济政策的变化和新增的业务需求，细化服务事项，对陕西省医保信息平台相关应用进行适应性的升级扩展，满足异地就医情况下个人账户家庭共济。</w:t>
            </w:r>
          </w:p>
          <w:p>
            <w:pPr>
              <w:pStyle w:val="null3"/>
              <w:jc w:val="both"/>
            </w:pPr>
            <w:r>
              <w:rPr>
                <w:rFonts w:ascii="宋体" w:hAnsi="宋体" w:cs="宋体" w:eastAsia="宋体"/>
                <w:sz w:val="21"/>
                <w:b/>
              </w:rPr>
              <w:t>3.2.5</w:t>
            </w:r>
            <w:r>
              <w:rPr>
                <w:rFonts w:ascii="黑体" w:hAnsi="黑体" w:cs="黑体" w:eastAsia="黑体"/>
                <w:sz w:val="21"/>
                <w:b/>
              </w:rPr>
              <w:t>交付物与交付物质量</w:t>
            </w:r>
          </w:p>
          <w:p>
            <w:pPr>
              <w:pStyle w:val="null3"/>
              <w:ind w:firstLine="480"/>
              <w:jc w:val="center"/>
            </w:pPr>
            <w:r>
              <w:rPr>
                <w:rFonts w:ascii="黑体" w:hAnsi="黑体" w:cs="黑体" w:eastAsia="黑体"/>
                <w:sz w:val="21"/>
              </w:rPr>
              <w:t>表</w:t>
            </w:r>
            <w:r>
              <w:rPr>
                <w:rFonts w:ascii="cambria" w:hAnsi="cambria" w:cs="cambria" w:eastAsia="cambria"/>
                <w:sz w:val="21"/>
              </w:rPr>
              <w:t>5-</w:t>
            </w:r>
            <w:r>
              <w:rPr>
                <w:rFonts w:ascii="cambria" w:hAnsi="cambria" w:cs="cambria" w:eastAsia="cambria"/>
                <w:sz w:val="21"/>
              </w:rPr>
              <w:t>1</w:t>
            </w:r>
            <w:r>
              <w:rPr>
                <w:rFonts w:ascii="黑体" w:hAnsi="黑体" w:cs="黑体" w:eastAsia="黑体"/>
                <w:sz w:val="21"/>
              </w:rPr>
              <w:t>交付物与交付物质量</w:t>
            </w:r>
          </w:p>
          <w:tbl>
            <w:tblPr>
              <w:tblInd w:type="dxa" w:w="15"/>
              <w:tblBorders>
                <w:top w:val="none" w:color="000000" w:sz="4"/>
                <w:left w:val="none" w:color="000000" w:sz="4"/>
                <w:bottom w:val="none" w:color="000000" w:sz="4"/>
                <w:right w:val="none" w:color="000000" w:sz="4"/>
                <w:insideH w:val="none"/>
                <w:insideV w:val="none"/>
              </w:tblBorders>
            </w:tblPr>
            <w:tblGrid>
              <w:gridCol w:w="303"/>
              <w:gridCol w:w="699"/>
              <w:gridCol w:w="1492"/>
            </w:tblGrid>
            <w:tr>
              <w:tc>
                <w:tcPr>
                  <w:tcW w:type="dxa" w:w="30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宋体" w:hAnsi="宋体" w:cs="宋体" w:eastAsia="宋体"/>
                      <w:sz w:val="21"/>
                    </w:rPr>
                    <w:t>序号</w:t>
                  </w:r>
                </w:p>
              </w:tc>
              <w:tc>
                <w:tcPr>
                  <w:tcW w:type="dxa" w:w="69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宋体" w:hAnsi="宋体" w:cs="宋体" w:eastAsia="宋体"/>
                      <w:sz w:val="21"/>
                    </w:rPr>
                    <w:t>实施内容</w:t>
                  </w:r>
                </w:p>
              </w:tc>
              <w:tc>
                <w:tcPr>
                  <w:tcW w:type="dxa" w:w="149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pPr>
                  <w:r>
                    <w:rPr>
                      <w:rFonts w:ascii="宋体" w:hAnsi="宋体" w:cs="宋体" w:eastAsia="宋体"/>
                      <w:sz w:val="21"/>
                    </w:rPr>
                    <w:t>交付物</w:t>
                  </w:r>
                </w:p>
              </w:tc>
            </w:tr>
            <w:tr>
              <w:tc>
                <w:tcPr>
                  <w:tcW w:type="dxa" w:w="3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quot;times new roman&quot;" w:hAnsi="&quot;times new roman&quot;" w:cs="&quot;times new roman&quot;" w:eastAsia="&quot;times new roman&quot;"/>
                      <w:sz w:val="21"/>
                    </w:rPr>
                    <w:t>1</w:t>
                  </w:r>
                </w:p>
              </w:tc>
              <w:tc>
                <w:tcPr>
                  <w:tcW w:type="dxa" w:w="6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rPr>
                    <w:t>工具平台部署服务</w:t>
                  </w:r>
                </w:p>
              </w:tc>
              <w:tc>
                <w:tcPr>
                  <w:tcW w:type="dxa" w:w="14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rPr>
                    <w:t>支撑软件工具的部署包及部署发布记录表</w:t>
                  </w:r>
                </w:p>
              </w:tc>
            </w:tr>
            <w:tr>
              <w:tc>
                <w:tcPr>
                  <w:tcW w:type="dxa" w:w="3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quot;times new roman&quot;" w:hAnsi="&quot;times new roman&quot;" w:cs="&quot;times new roman&quot;" w:eastAsia="&quot;times new roman&quot;"/>
                      <w:sz w:val="21"/>
                    </w:rPr>
                    <w:t>2</w:t>
                  </w:r>
                </w:p>
              </w:tc>
              <w:tc>
                <w:tcPr>
                  <w:tcW w:type="dxa" w:w="6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rPr>
                    <w:t>数据共享交互服务</w:t>
                  </w:r>
                </w:p>
              </w:tc>
              <w:tc>
                <w:tcPr>
                  <w:tcW w:type="dxa" w:w="14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rPr>
                    <w:t>数据共享交互记录表（每月至少</w:t>
                  </w:r>
                  <w:r>
                    <w:rPr>
                      <w:rFonts w:ascii="&quot;times new roman&quot;" w:hAnsi="&quot;times new roman&quot;" w:cs="&quot;times new roman&quot;" w:eastAsia="&quot;times new roman&quot;"/>
                      <w:sz w:val="21"/>
                    </w:rPr>
                    <w:t>1</w:t>
                  </w:r>
                  <w:r>
                    <w:rPr>
                      <w:rFonts w:ascii="宋体" w:hAnsi="宋体" w:cs="宋体" w:eastAsia="宋体"/>
                      <w:sz w:val="21"/>
                    </w:rPr>
                    <w:t>次，按需增加）</w:t>
                  </w:r>
                </w:p>
              </w:tc>
            </w:tr>
            <w:tr>
              <w:tc>
                <w:tcPr>
                  <w:tcW w:type="dxa" w:w="3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quot;times new roman&quot;" w:hAnsi="&quot;times new roman&quot;" w:cs="&quot;times new roman&quot;" w:eastAsia="&quot;times new roman&quot;"/>
                      <w:sz w:val="21"/>
                    </w:rPr>
                    <w:t>3</w:t>
                  </w:r>
                </w:p>
              </w:tc>
              <w:tc>
                <w:tcPr>
                  <w:tcW w:type="dxa" w:w="6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rPr>
                    <w:t>数据处理服务</w:t>
                  </w:r>
                </w:p>
              </w:tc>
              <w:tc>
                <w:tcPr>
                  <w:tcW w:type="dxa" w:w="14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rPr>
                    <w:t>数据处理记录表</w:t>
                  </w:r>
                </w:p>
              </w:tc>
            </w:tr>
            <w:tr>
              <w:tc>
                <w:tcPr>
                  <w:tcW w:type="dxa" w:w="3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quot;times new roman&quot;" w:hAnsi="&quot;times new roman&quot;" w:cs="&quot;times new roman&quot;" w:eastAsia="&quot;times new roman&quot;"/>
                      <w:sz w:val="21"/>
                    </w:rPr>
                    <w:t>4</w:t>
                  </w:r>
                </w:p>
              </w:tc>
              <w:tc>
                <w:tcPr>
                  <w:tcW w:type="dxa" w:w="6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rPr>
                    <w:t>日常运营服务</w:t>
                  </w:r>
                </w:p>
              </w:tc>
              <w:tc>
                <w:tcPr>
                  <w:tcW w:type="dxa" w:w="14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rPr>
                    <w:t>运营服务周报</w:t>
                  </w:r>
                </w:p>
              </w:tc>
            </w:tr>
            <w:tr>
              <w:tc>
                <w:tcPr>
                  <w:tcW w:type="dxa" w:w="3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quot;times new roman&quot;" w:hAnsi="&quot;times new roman&quot;" w:cs="&quot;times new roman&quot;" w:eastAsia="&quot;times new roman&quot;"/>
                      <w:sz w:val="21"/>
                    </w:rPr>
                    <w:t>5</w:t>
                  </w:r>
                </w:p>
              </w:tc>
              <w:tc>
                <w:tcPr>
                  <w:tcW w:type="dxa" w:w="6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rPr>
                    <w:t>相关应用升级扩展服务</w:t>
                  </w:r>
                </w:p>
              </w:tc>
              <w:tc>
                <w:tcPr>
                  <w:tcW w:type="dxa" w:w="14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rPr>
                    <w:t>升级记录表</w:t>
                  </w:r>
                </w:p>
              </w:tc>
            </w:tr>
          </w:tbl>
          <w:p>
            <w:pPr>
              <w:pStyle w:val="null3"/>
              <w:ind w:firstLine="420"/>
              <w:jc w:val="both"/>
            </w:pPr>
            <w:r>
              <w:rPr>
                <w:rFonts w:ascii="&quot;times new roman&quot;" w:hAnsi="&quot;times new roman&quot;" w:cs="&quot;times new roman&quot;" w:eastAsia="&quot;times new roman&quot;"/>
                <w:sz w:val="21"/>
              </w:rPr>
              <w:t xml:space="preserve"> </w:t>
            </w:r>
          </w:p>
          <w:p>
            <w:pPr>
              <w:pStyle w:val="null3"/>
              <w:jc w:val="both"/>
            </w:pPr>
            <w:r>
              <w:rPr>
                <w:rFonts w:ascii="宋体" w:hAnsi="宋体" w:cs="宋体" w:eastAsia="宋体"/>
                <w:sz w:val="21"/>
                <w:b/>
              </w:rPr>
              <w:t>3.3</w:t>
            </w:r>
            <w:r>
              <w:rPr>
                <w:rFonts w:ascii="黑体" w:hAnsi="黑体" w:cs="黑体" w:eastAsia="黑体"/>
                <w:sz w:val="21"/>
                <w:b/>
              </w:rPr>
              <w:t>培训服务</w:t>
            </w:r>
          </w:p>
          <w:p>
            <w:pPr>
              <w:pStyle w:val="null3"/>
              <w:jc w:val="both"/>
            </w:pPr>
            <w:r>
              <w:rPr>
                <w:rFonts w:ascii="宋体" w:hAnsi="宋体" w:cs="宋体" w:eastAsia="宋体"/>
                <w:sz w:val="21"/>
                <w:b/>
              </w:rPr>
              <w:t>3.3.1</w:t>
            </w:r>
            <w:r>
              <w:rPr>
                <w:rFonts w:ascii="黑体" w:hAnsi="黑体" w:cs="黑体" w:eastAsia="黑体"/>
                <w:sz w:val="21"/>
                <w:b/>
              </w:rPr>
              <w:t>服务目标</w:t>
            </w:r>
          </w:p>
          <w:p>
            <w:pPr>
              <w:pStyle w:val="null3"/>
              <w:ind w:firstLine="420"/>
              <w:jc w:val="both"/>
            </w:pPr>
            <w:r>
              <w:rPr>
                <w:rFonts w:ascii="宋体" w:hAnsi="宋体" w:cs="宋体" w:eastAsia="宋体"/>
                <w:sz w:val="21"/>
              </w:rPr>
              <w:t>本项目所提供的相关培训服务目标如下：</w:t>
            </w:r>
          </w:p>
          <w:p>
            <w:pPr>
              <w:pStyle w:val="null3"/>
              <w:ind w:firstLine="420"/>
              <w:jc w:val="both"/>
            </w:pPr>
            <w:r>
              <w:rPr>
                <w:rFonts w:ascii="&quot;times new roman&quot;" w:hAnsi="&quot;times new roman&quot;" w:cs="&quot;times new roman&quot;" w:eastAsia="&quot;times new roman&quot;"/>
                <w:sz w:val="21"/>
              </w:rPr>
              <w:t>1.</w:t>
            </w:r>
            <w:r>
              <w:rPr>
                <w:rFonts w:ascii="宋体" w:hAnsi="宋体" w:cs="宋体" w:eastAsia="宋体"/>
                <w:sz w:val="21"/>
              </w:rPr>
              <w:t>使参训人员全面了解和掌握省内跨统筹区职工基本医疗保险个人账户家庭共济的政策背景、目的意义、操作流程及注意事项。</w:t>
            </w:r>
          </w:p>
          <w:p>
            <w:pPr>
              <w:pStyle w:val="null3"/>
              <w:ind w:firstLine="420"/>
              <w:jc w:val="both"/>
            </w:pPr>
            <w:r>
              <w:rPr>
                <w:rFonts w:ascii="&quot;times new roman&quot;" w:hAnsi="&quot;times new roman&quot;" w:cs="&quot;times new roman&quot;" w:eastAsia="&quot;times new roman&quot;"/>
                <w:sz w:val="21"/>
              </w:rPr>
              <w:t>2.</w:t>
            </w:r>
            <w:r>
              <w:rPr>
                <w:rFonts w:ascii="宋体" w:hAnsi="宋体" w:cs="宋体" w:eastAsia="宋体"/>
                <w:sz w:val="21"/>
              </w:rPr>
              <w:t>提高参训人员在实际工作中应用家庭共济政策的能力和效率，确保政策得到有效执行。</w:t>
            </w:r>
          </w:p>
          <w:p>
            <w:pPr>
              <w:pStyle w:val="null3"/>
              <w:ind w:firstLine="420"/>
              <w:jc w:val="both"/>
            </w:pPr>
            <w:r>
              <w:rPr>
                <w:rFonts w:ascii="&quot;times new roman&quot;" w:hAnsi="&quot;times new roman&quot;" w:cs="&quot;times new roman&quot;" w:eastAsia="&quot;times new roman&quot;"/>
                <w:sz w:val="21"/>
              </w:rPr>
              <w:t>3.</w:t>
            </w:r>
            <w:r>
              <w:rPr>
                <w:rFonts w:ascii="宋体" w:hAnsi="宋体" w:cs="宋体" w:eastAsia="宋体"/>
                <w:sz w:val="21"/>
              </w:rPr>
              <w:t>增强经办人员对家庭共济相关平台工具的认知度和满意度，保证医保经办工作顺利开展。</w:t>
            </w:r>
          </w:p>
          <w:p>
            <w:pPr>
              <w:pStyle w:val="null3"/>
              <w:ind w:left="3690"/>
              <w:jc w:val="both"/>
            </w:pPr>
            <w:r>
              <w:rPr>
                <w:rFonts w:ascii="宋体" w:hAnsi="宋体" w:cs="宋体" w:eastAsia="宋体"/>
                <w:sz w:val="21"/>
                <w:b/>
              </w:rPr>
              <w:t>3.3.2</w:t>
            </w:r>
            <w:r>
              <w:rPr>
                <w:rFonts w:ascii="黑体" w:hAnsi="黑体" w:cs="黑体" w:eastAsia="黑体"/>
                <w:sz w:val="21"/>
                <w:b/>
              </w:rPr>
              <w:t>服务内容</w:t>
            </w:r>
          </w:p>
          <w:p>
            <w:pPr>
              <w:pStyle w:val="null3"/>
              <w:ind w:firstLine="420"/>
              <w:jc w:val="both"/>
            </w:pPr>
            <w:r>
              <w:rPr>
                <w:rFonts w:ascii="宋体" w:hAnsi="宋体" w:cs="宋体" w:eastAsia="宋体"/>
                <w:sz w:val="21"/>
              </w:rPr>
              <w:t>针对异地账户共济管理平台和异地账户共济交互平台应用，提供满足省医保局要求的师资、资料等条件，并制定相应的培训方案和计划。</w:t>
            </w:r>
          </w:p>
          <w:p>
            <w:pPr>
              <w:pStyle w:val="null3"/>
              <w:ind w:firstLine="420"/>
              <w:jc w:val="both"/>
            </w:pPr>
            <w:r>
              <w:rPr>
                <w:rFonts w:ascii="宋体" w:hAnsi="宋体" w:cs="宋体" w:eastAsia="宋体"/>
                <w:sz w:val="21"/>
              </w:rPr>
              <w:t>培训时间：由省医保局指定。</w:t>
            </w:r>
          </w:p>
          <w:p>
            <w:pPr>
              <w:pStyle w:val="null3"/>
              <w:ind w:firstLine="420"/>
              <w:jc w:val="both"/>
            </w:pPr>
            <w:r>
              <w:rPr>
                <w:rFonts w:ascii="宋体" w:hAnsi="宋体" w:cs="宋体" w:eastAsia="宋体"/>
                <w:sz w:val="21"/>
              </w:rPr>
              <w:t>培训频次：全省培训不少于</w:t>
            </w:r>
            <w:r>
              <w:rPr>
                <w:rFonts w:ascii="&quot;times new roman&quot;" w:hAnsi="&quot;times new roman&quot;" w:cs="&quot;times new roman&quot;" w:eastAsia="&quot;times new roman&quot;"/>
                <w:sz w:val="21"/>
              </w:rPr>
              <w:t>2</w:t>
            </w:r>
            <w:r>
              <w:rPr>
                <w:rFonts w:ascii="宋体" w:hAnsi="宋体" w:cs="宋体" w:eastAsia="宋体"/>
                <w:sz w:val="21"/>
              </w:rPr>
              <w:t>次。</w:t>
            </w:r>
          </w:p>
          <w:p>
            <w:pPr>
              <w:pStyle w:val="null3"/>
              <w:ind w:firstLine="420"/>
              <w:jc w:val="both"/>
            </w:pPr>
            <w:r>
              <w:rPr>
                <w:rFonts w:ascii="宋体" w:hAnsi="宋体" w:cs="宋体" w:eastAsia="宋体"/>
                <w:sz w:val="21"/>
              </w:rPr>
              <w:t>培训方式：线上云会议（集中培训）。</w:t>
            </w:r>
          </w:p>
          <w:p>
            <w:pPr>
              <w:pStyle w:val="null3"/>
              <w:ind w:firstLine="420"/>
              <w:jc w:val="both"/>
            </w:pPr>
            <w:r>
              <w:rPr>
                <w:rFonts w:ascii="宋体" w:hAnsi="宋体" w:cs="宋体" w:eastAsia="宋体"/>
                <w:sz w:val="21"/>
              </w:rPr>
              <w:t>培训人数：每次不少于</w:t>
            </w:r>
            <w:r>
              <w:rPr>
                <w:rFonts w:ascii="&quot;times new roman&quot;" w:hAnsi="&quot;times new roman&quot;" w:cs="&quot;times new roman&quot;" w:eastAsia="&quot;times new roman&quot;"/>
                <w:sz w:val="21"/>
              </w:rPr>
              <w:t>100</w:t>
            </w:r>
            <w:r>
              <w:rPr>
                <w:rFonts w:ascii="宋体" w:hAnsi="宋体" w:cs="宋体" w:eastAsia="宋体"/>
                <w:sz w:val="21"/>
              </w:rPr>
              <w:t>人。</w:t>
            </w:r>
          </w:p>
          <w:p>
            <w:pPr>
              <w:pStyle w:val="null3"/>
              <w:jc w:val="both"/>
            </w:pPr>
            <w:r>
              <w:rPr>
                <w:rFonts w:ascii="宋体" w:hAnsi="宋体" w:cs="宋体" w:eastAsia="宋体"/>
                <w:sz w:val="21"/>
                <w:b/>
              </w:rPr>
              <w:t>3.3.2.1</w:t>
            </w:r>
            <w:r>
              <w:rPr>
                <w:rFonts w:ascii="宋体" w:hAnsi="宋体" w:cs="宋体" w:eastAsia="宋体"/>
                <w:sz w:val="21"/>
                <w:b/>
              </w:rPr>
              <w:t>对应用部门各级系统应用人员的培训</w:t>
            </w:r>
          </w:p>
          <w:p>
            <w:pPr>
              <w:pStyle w:val="null3"/>
              <w:ind w:firstLine="420"/>
              <w:jc w:val="both"/>
            </w:pPr>
            <w:r>
              <w:rPr>
                <w:rFonts w:ascii="宋体" w:hAnsi="宋体" w:cs="宋体" w:eastAsia="宋体"/>
                <w:sz w:val="21"/>
              </w:rPr>
              <w:t>使应用部门各级系统应用人员能够了解信息系统的建设思想、主要功能和操作规程，能够熟练应用这一系统辅助开展工作，并能结合实际工作需要提出各种改进意见。根据人员对系统的使用特点不同，对应用人员的培训分为两个层次：</w:t>
            </w:r>
          </w:p>
          <w:p>
            <w:pPr>
              <w:pStyle w:val="null3"/>
              <w:ind w:firstLine="420"/>
              <w:jc w:val="both"/>
            </w:pP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）对领导培训的主要目的是使有关主管领导对系统有一定的了解，便于领导进行决策和指挥工作；</w:t>
            </w:r>
          </w:p>
          <w:p>
            <w:pPr>
              <w:pStyle w:val="null3"/>
              <w:ind w:firstLine="420"/>
              <w:jc w:val="both"/>
            </w:pPr>
            <w:r>
              <w:rPr>
                <w:rFonts w:ascii="宋体" w:hAnsi="宋体" w:cs="宋体" w:eastAsia="宋体"/>
                <w:sz w:val="21"/>
              </w:rPr>
              <w:t>（</w:t>
            </w:r>
            <w:r>
              <w:rPr>
                <w:rFonts w:ascii="&quot;times new roman&quot;" w:hAnsi="&quot;times new roman&quot;" w:cs="&quot;times new roman&quot;" w:eastAsia="&quot;times new roman&quot;"/>
                <w:sz w:val="21"/>
              </w:rPr>
              <w:t>2</w:t>
            </w:r>
            <w:r>
              <w:rPr>
                <w:rFonts w:ascii="宋体" w:hAnsi="宋体" w:cs="宋体" w:eastAsia="宋体"/>
                <w:sz w:val="21"/>
              </w:rPr>
              <w:t>）对其他应用人员的培训，主要使他们在各业务环境下能够很好地利用系统完成相应的专业工作，提高工作效率，提高信息的准确性和全面性。</w:t>
            </w:r>
          </w:p>
          <w:p>
            <w:pPr>
              <w:pStyle w:val="null3"/>
              <w:jc w:val="both"/>
            </w:pPr>
            <w:r>
              <w:rPr>
                <w:rFonts w:ascii="宋体" w:hAnsi="宋体" w:cs="宋体" w:eastAsia="宋体"/>
                <w:sz w:val="21"/>
                <w:b/>
              </w:rPr>
              <w:t>3.3.2.2</w:t>
            </w:r>
            <w:r>
              <w:rPr>
                <w:rFonts w:ascii="宋体" w:hAnsi="宋体" w:cs="宋体" w:eastAsia="宋体"/>
                <w:sz w:val="21"/>
                <w:b/>
              </w:rPr>
              <w:t>关联协作系统技术人员培训</w:t>
            </w:r>
          </w:p>
          <w:p>
            <w:pPr>
              <w:pStyle w:val="null3"/>
              <w:spacing w:before="150" w:after="150"/>
              <w:ind w:firstLine="420"/>
              <w:jc w:val="both"/>
            </w:pPr>
            <w:r>
              <w:rPr>
                <w:rFonts w:ascii="宋体" w:hAnsi="宋体" w:cs="宋体" w:eastAsia="宋体"/>
                <w:sz w:val="21"/>
              </w:rPr>
              <w:t>对于省内跨统筹区个人账户共济业务相关联的应用系统开发商、服务商进行接口培训，通过培训掌握接口服务调用方法，能够完成关联系统接口升级，以及与省内跨统筹区职工基本医疗保险个人账户家庭共济平台应用的对接联调。</w:t>
            </w:r>
          </w:p>
          <w:p>
            <w:pPr>
              <w:pStyle w:val="null3"/>
              <w:jc w:val="both"/>
            </w:pPr>
            <w:r>
              <w:rPr>
                <w:rFonts w:ascii="宋体" w:hAnsi="宋体" w:cs="宋体" w:eastAsia="宋体"/>
                <w:sz w:val="21"/>
                <w:b/>
              </w:rPr>
              <w:t>3.3.3</w:t>
            </w:r>
            <w:r>
              <w:rPr>
                <w:rFonts w:ascii="黑体" w:hAnsi="黑体" w:cs="黑体" w:eastAsia="黑体"/>
                <w:sz w:val="21"/>
                <w:b/>
              </w:rPr>
              <w:t>服务范围</w:t>
            </w:r>
          </w:p>
          <w:p>
            <w:pPr>
              <w:pStyle w:val="null3"/>
              <w:ind w:firstLine="420"/>
              <w:jc w:val="both"/>
            </w:pPr>
            <w:r>
              <w:rPr>
                <w:rFonts w:ascii="宋体" w:hAnsi="宋体" w:cs="宋体" w:eastAsia="宋体"/>
                <w:sz w:val="21"/>
              </w:rPr>
              <w:t>服务范围：陕西省省级及各医保统筹区的医保部门、经办中心的相关管理人员、技术人员。</w:t>
            </w:r>
          </w:p>
          <w:p>
            <w:pPr>
              <w:pStyle w:val="null3"/>
              <w:jc w:val="both"/>
            </w:pPr>
            <w:r>
              <w:rPr>
                <w:rFonts w:ascii="宋体" w:hAnsi="宋体" w:cs="宋体" w:eastAsia="宋体"/>
                <w:sz w:val="21"/>
                <w:b/>
              </w:rPr>
              <w:t>3.3.4</w:t>
            </w:r>
            <w:r>
              <w:rPr>
                <w:rFonts w:ascii="黑体" w:hAnsi="黑体" w:cs="黑体" w:eastAsia="黑体"/>
                <w:sz w:val="21"/>
                <w:b/>
              </w:rPr>
              <w:t>服务要求</w:t>
            </w:r>
          </w:p>
          <w:p>
            <w:pPr>
              <w:pStyle w:val="null3"/>
              <w:ind w:firstLine="420"/>
              <w:jc w:val="both"/>
            </w:pPr>
            <w:r>
              <w:rPr>
                <w:rFonts w:ascii="宋体" w:hAnsi="宋体" w:cs="宋体" w:eastAsia="宋体"/>
                <w:sz w:val="21"/>
              </w:rPr>
              <w:t>通过培训服务，让参训人员掌握省内统筹区职工基本医疗账户共济相关系统功能和操作流程，可通过线上或线下培训的方式，配合实操指导完成。</w:t>
            </w:r>
          </w:p>
          <w:p>
            <w:pPr>
              <w:pStyle w:val="null3"/>
              <w:jc w:val="both"/>
            </w:pPr>
            <w:r>
              <w:rPr>
                <w:rFonts w:ascii="宋体" w:hAnsi="宋体" w:cs="宋体" w:eastAsia="宋体"/>
                <w:sz w:val="21"/>
                <w:b/>
              </w:rPr>
              <w:t>3.3.5</w:t>
            </w:r>
            <w:r>
              <w:rPr>
                <w:rFonts w:ascii="黑体" w:hAnsi="黑体" w:cs="黑体" w:eastAsia="黑体"/>
                <w:sz w:val="21"/>
                <w:b/>
              </w:rPr>
              <w:t>服务流程</w:t>
            </w:r>
          </w:p>
          <w:p>
            <w:pPr>
              <w:pStyle w:val="null3"/>
              <w:spacing w:before="150" w:after="150"/>
              <w:ind w:left="480"/>
              <w:jc w:val="both"/>
            </w:pPr>
            <w:r>
              <w:rPr>
                <w:rFonts w:ascii="&quot;times new roman&quot;" w:hAnsi="&quot;times new roman&quot;" w:cs="&quot;times new roman&quot;" w:eastAsia="&quot;times new roman&quot;"/>
                <w:sz w:val="21"/>
                <w:b/>
              </w:rPr>
              <w:t>1.</w:t>
            </w:r>
            <w:r>
              <w:rPr>
                <w:rFonts w:ascii="宋体" w:hAnsi="宋体" w:cs="宋体" w:eastAsia="宋体"/>
                <w:sz w:val="21"/>
                <w:b/>
              </w:rPr>
              <w:t>政策解读</w:t>
            </w:r>
          </w:p>
          <w:p>
            <w:pPr>
              <w:pStyle w:val="null3"/>
              <w:spacing w:before="150" w:after="150"/>
              <w:ind w:firstLine="420"/>
              <w:jc w:val="both"/>
            </w:pPr>
            <w:r>
              <w:rPr>
                <w:rFonts w:ascii="宋体" w:hAnsi="宋体" w:cs="宋体" w:eastAsia="宋体"/>
                <w:sz w:val="21"/>
              </w:rPr>
              <w:t>详细介绍陕西省省内跨统筹区职工基本医疗保险个人账户家庭共济的政策背景、出台依据、主要内容和意义。</w:t>
            </w:r>
          </w:p>
          <w:p>
            <w:pPr>
              <w:pStyle w:val="null3"/>
              <w:spacing w:before="150" w:after="150"/>
              <w:ind w:firstLine="420"/>
              <w:jc w:val="both"/>
            </w:pPr>
            <w:r>
              <w:rPr>
                <w:rFonts w:ascii="宋体" w:hAnsi="宋体" w:cs="宋体" w:eastAsia="宋体"/>
                <w:sz w:val="21"/>
              </w:rPr>
              <w:t>分析政策对参保职工及其家庭的积极影响，提高参训人员对政策重要性的认识。</w:t>
            </w:r>
          </w:p>
          <w:p>
            <w:pPr>
              <w:pStyle w:val="null3"/>
              <w:spacing w:before="150" w:after="150"/>
              <w:ind w:left="480"/>
              <w:jc w:val="both"/>
            </w:pPr>
            <w:r>
              <w:rPr>
                <w:rFonts w:ascii="&quot;times new roman&quot;" w:hAnsi="&quot;times new roman&quot;" w:cs="&quot;times new roman&quot;" w:eastAsia="&quot;times new roman&quot;"/>
                <w:sz w:val="21"/>
                <w:b/>
              </w:rPr>
              <w:t>2.</w:t>
            </w:r>
            <w:r>
              <w:rPr>
                <w:rFonts w:ascii="宋体" w:hAnsi="宋体" w:cs="宋体" w:eastAsia="宋体"/>
                <w:sz w:val="21"/>
                <w:b/>
              </w:rPr>
              <w:t>操作流程与指南</w:t>
            </w:r>
          </w:p>
          <w:p>
            <w:pPr>
              <w:pStyle w:val="null3"/>
              <w:spacing w:before="150" w:after="150"/>
              <w:ind w:firstLine="420"/>
              <w:jc w:val="both"/>
            </w:pPr>
            <w:r>
              <w:rPr>
                <w:rFonts w:ascii="宋体" w:hAnsi="宋体" w:cs="宋体" w:eastAsia="宋体"/>
                <w:sz w:val="21"/>
              </w:rPr>
              <w:t>讲解账户共济服务的具体操作流程，包含账户共济核心系统、异地账户共济清算系统、异地账户共济财务系统等。</w:t>
            </w:r>
          </w:p>
          <w:p>
            <w:pPr>
              <w:pStyle w:val="null3"/>
              <w:spacing w:before="150" w:after="150"/>
              <w:ind w:firstLine="420"/>
              <w:jc w:val="both"/>
            </w:pPr>
            <w:r>
              <w:rPr>
                <w:rFonts w:ascii="宋体" w:hAnsi="宋体" w:cs="宋体" w:eastAsia="宋体"/>
                <w:sz w:val="21"/>
              </w:rPr>
              <w:t>提供详细的操作手册和案例分析，帮助参训人员快速掌握实际操作技能。</w:t>
            </w:r>
          </w:p>
          <w:p>
            <w:pPr>
              <w:pStyle w:val="null3"/>
              <w:spacing w:before="150" w:after="150"/>
              <w:ind w:left="480"/>
              <w:jc w:val="both"/>
            </w:pPr>
            <w:r>
              <w:rPr>
                <w:rFonts w:ascii="&quot;times new roman&quot;" w:hAnsi="&quot;times new roman&quot;" w:cs="&quot;times new roman&quot;" w:eastAsia="&quot;times new roman&quot;"/>
                <w:sz w:val="21"/>
                <w:b/>
              </w:rPr>
              <w:t>3.</w:t>
            </w:r>
            <w:r>
              <w:rPr>
                <w:rFonts w:ascii="宋体" w:hAnsi="宋体" w:cs="宋体" w:eastAsia="宋体"/>
                <w:sz w:val="21"/>
                <w:b/>
              </w:rPr>
              <w:t>问题解答与疑难点剖析</w:t>
            </w:r>
          </w:p>
          <w:p>
            <w:pPr>
              <w:pStyle w:val="null3"/>
              <w:spacing w:before="150" w:after="150"/>
              <w:ind w:firstLine="420"/>
              <w:jc w:val="both"/>
            </w:pPr>
            <w:r>
              <w:rPr>
                <w:rFonts w:ascii="宋体" w:hAnsi="宋体" w:cs="宋体" w:eastAsia="宋体"/>
                <w:sz w:val="21"/>
              </w:rPr>
              <w:t>针对参训人员提出的问题，进行逐一解答和剖析，确保参训人员疑惑得到及时解决。</w:t>
            </w:r>
          </w:p>
          <w:p>
            <w:pPr>
              <w:pStyle w:val="null3"/>
              <w:spacing w:before="150" w:after="150"/>
              <w:ind w:left="480"/>
              <w:jc w:val="both"/>
            </w:pPr>
            <w:r>
              <w:rPr>
                <w:rFonts w:ascii="&quot;times new roman&quot;" w:hAnsi="&quot;times new roman&quot;" w:cs="&quot;times new roman&quot;" w:eastAsia="&quot;times new roman&quot;"/>
                <w:sz w:val="21"/>
                <w:b/>
              </w:rPr>
              <w:t>4.</w:t>
            </w:r>
            <w:r>
              <w:rPr>
                <w:rFonts w:ascii="宋体" w:hAnsi="宋体" w:cs="宋体" w:eastAsia="宋体"/>
                <w:sz w:val="21"/>
                <w:b/>
              </w:rPr>
              <w:t>实操演练与模拟操作</w:t>
            </w:r>
          </w:p>
          <w:p>
            <w:pPr>
              <w:pStyle w:val="null3"/>
              <w:spacing w:before="150" w:after="150"/>
              <w:ind w:firstLine="420"/>
              <w:jc w:val="both"/>
            </w:pPr>
            <w:r>
              <w:rPr>
                <w:rFonts w:ascii="宋体" w:hAnsi="宋体" w:cs="宋体" w:eastAsia="宋体"/>
                <w:sz w:val="21"/>
              </w:rPr>
              <w:t>组织参训人员进行实操演练，模拟家庭共济服务的各个环节，加深理解和记忆。</w:t>
            </w:r>
          </w:p>
          <w:p>
            <w:pPr>
              <w:pStyle w:val="null3"/>
              <w:spacing w:before="150" w:after="150"/>
              <w:ind w:firstLine="420"/>
              <w:jc w:val="both"/>
            </w:pPr>
            <w:r>
              <w:rPr>
                <w:rFonts w:ascii="宋体" w:hAnsi="宋体" w:cs="宋体" w:eastAsia="宋体"/>
                <w:sz w:val="21"/>
              </w:rPr>
              <w:t>鼓励参训人员积极参与，提高实际操作能力和应对突发情况的能力。</w:t>
            </w:r>
          </w:p>
          <w:p>
            <w:pPr>
              <w:pStyle w:val="null3"/>
              <w:jc w:val="both"/>
            </w:pPr>
            <w:r>
              <w:rPr>
                <w:rFonts w:ascii="宋体" w:hAnsi="宋体" w:cs="宋体" w:eastAsia="宋体"/>
                <w:sz w:val="21"/>
                <w:b/>
              </w:rPr>
              <w:t>3.3.6</w:t>
            </w:r>
            <w:r>
              <w:rPr>
                <w:rFonts w:ascii="黑体" w:hAnsi="黑体" w:cs="黑体" w:eastAsia="黑体"/>
                <w:sz w:val="21"/>
                <w:b/>
              </w:rPr>
              <w:t>交付物与交付物质量</w:t>
            </w:r>
          </w:p>
          <w:p>
            <w:pPr>
              <w:pStyle w:val="null3"/>
              <w:jc w:val="center"/>
            </w:pPr>
            <w:r>
              <w:rPr>
                <w:rFonts w:ascii="黑体" w:hAnsi="黑体" w:cs="黑体" w:eastAsia="黑体"/>
                <w:sz w:val="21"/>
              </w:rPr>
              <w:t>表</w:t>
            </w:r>
            <w:r>
              <w:rPr>
                <w:rFonts w:ascii="cambria" w:hAnsi="cambria" w:cs="cambria" w:eastAsia="cambria"/>
                <w:sz w:val="21"/>
              </w:rPr>
              <w:t>5-5</w:t>
            </w:r>
            <w:r>
              <w:rPr>
                <w:rFonts w:ascii="黑体" w:hAnsi="黑体" w:cs="黑体" w:eastAsia="黑体"/>
                <w:sz w:val="21"/>
              </w:rPr>
              <w:t>交付物与交付物质量</w:t>
            </w:r>
          </w:p>
          <w:p>
            <w:pPr>
              <w:pStyle w:val="null3"/>
              <w:ind w:firstLine="420"/>
              <w:jc w:val="both"/>
            </w:pPr>
            <w:r>
              <w:rPr>
                <w:rFonts w:ascii="&quot;times new roman&quot;" w:hAnsi="&quot;times new roman&quot;" w:cs="&quot;times new roman&quot;" w:eastAsia="&quot;times new roman&quot;"/>
                <w:sz w:val="21"/>
              </w:rPr>
              <w:t xml:space="preserve"> </w:t>
            </w:r>
          </w:p>
          <w:tbl>
            <w:tblPr>
              <w:tblBorders>
                <w:top w:val="none" w:color="000000" w:sz="4"/>
                <w:left w:val="none" w:color="000000" w:sz="4"/>
                <w:bottom w:val="none" w:color="000000" w:sz="4"/>
                <w:right w:val="none" w:color="000000" w:sz="4"/>
                <w:insideH w:val="none"/>
                <w:insideV w:val="none"/>
              </w:tblBorders>
            </w:tblPr>
            <w:tblGrid>
              <w:gridCol w:w="1378"/>
              <w:gridCol w:w="1808"/>
            </w:tblGrid>
            <w:tr>
              <w:tc>
                <w:tcPr>
                  <w:tcW w:type="dxa" w:w="13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2"/>
                  </w:pPr>
                  <w:r>
                    <w:rPr>
                      <w:rFonts w:ascii="宋体" w:hAnsi="宋体" w:cs="宋体" w:eastAsia="宋体"/>
                      <w:sz w:val="21"/>
                      <w:b/>
                    </w:rPr>
                    <w:t>交付物</w:t>
                  </w:r>
                </w:p>
              </w:tc>
              <w:tc>
                <w:tcPr>
                  <w:tcW w:type="dxa" w:w="18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pPr>
                  <w:r>
                    <w:rPr>
                      <w:rFonts w:ascii="宋体" w:hAnsi="宋体" w:cs="宋体" w:eastAsia="宋体"/>
                      <w:sz w:val="21"/>
                      <w:b/>
                    </w:rPr>
                    <w:t>交付物标准</w:t>
                  </w:r>
                </w:p>
              </w:tc>
            </w:tr>
            <w:tr>
              <w:tc>
                <w:tcPr>
                  <w:tcW w:type="dxa" w:w="1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《系统培训服务方案》、《培训记录表》、培训资料：《陕西省省内跨统筹区账户共济操作手册》</w:t>
                  </w:r>
                </w:p>
              </w:tc>
              <w:tc>
                <w:tcPr>
                  <w:tcW w:type="dxa" w:w="1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培训服务方案详实，落地性好。培训内容完整全面，培训课件内容准确、逻辑清晰、图文并茂。</w:t>
                  </w:r>
                </w:p>
              </w:tc>
            </w:tr>
          </w:tbl>
          <w:p>
            <w:pPr>
              <w:pStyle w:val="null3"/>
              <w:jc w:val="both"/>
            </w:pPr>
            <w:r>
              <w:rPr>
                <w:rFonts w:ascii="宋体" w:hAnsi="宋体" w:cs="宋体" w:eastAsia="宋体"/>
                <w:sz w:val="21"/>
                <w:b/>
              </w:rPr>
              <w:t>3.4</w:t>
            </w:r>
            <w:r>
              <w:rPr>
                <w:rFonts w:ascii="黑体" w:hAnsi="黑体" w:cs="黑体" w:eastAsia="黑体"/>
                <w:sz w:val="21"/>
                <w:b/>
              </w:rPr>
              <w:t>信息咨询服务</w:t>
            </w:r>
          </w:p>
          <w:p>
            <w:pPr>
              <w:pStyle w:val="null3"/>
              <w:spacing w:before="150" w:after="150"/>
              <w:jc w:val="both"/>
            </w:pPr>
            <w:r>
              <w:rPr>
                <w:rFonts w:ascii="宋体" w:hAnsi="宋体" w:cs="宋体" w:eastAsia="宋体"/>
                <w:sz w:val="21"/>
                <w:b/>
              </w:rPr>
              <w:t>3.4.1</w:t>
            </w:r>
            <w:r>
              <w:rPr>
                <w:rFonts w:ascii="黑体" w:hAnsi="黑体" w:cs="黑体" w:eastAsia="黑体"/>
                <w:sz w:val="21"/>
                <w:b/>
              </w:rPr>
              <w:t>服务内容</w:t>
            </w:r>
          </w:p>
          <w:p>
            <w:pPr>
              <w:pStyle w:val="null3"/>
              <w:jc w:val="both"/>
            </w:pPr>
            <w:r>
              <w:rPr>
                <w:rFonts w:ascii="宋体" w:hAnsi="宋体" w:cs="宋体" w:eastAsia="宋体"/>
                <w:sz w:val="21"/>
                <w:b/>
              </w:rPr>
              <w:t>3.4.1.1</w:t>
            </w:r>
            <w:r>
              <w:rPr>
                <w:rFonts w:ascii="宋体" w:hAnsi="宋体" w:cs="宋体" w:eastAsia="宋体"/>
                <w:sz w:val="21"/>
                <w:b/>
              </w:rPr>
              <w:t>政策咨询</w:t>
            </w:r>
          </w:p>
          <w:p>
            <w:pPr>
              <w:pStyle w:val="null3"/>
              <w:ind w:firstLine="420"/>
              <w:jc w:val="both"/>
            </w:pPr>
            <w:r>
              <w:rPr>
                <w:rFonts w:ascii="宋体" w:hAnsi="宋体" w:cs="宋体" w:eastAsia="宋体"/>
                <w:sz w:val="21"/>
              </w:rPr>
              <w:t>解答关于省内跨统筹区职工医保个人账户家庭共济政策的疑问，包括政策背景、实施目的、适用范围操作流程等</w:t>
            </w:r>
            <w:r>
              <w:rPr>
                <w:rFonts w:ascii="宋体" w:hAnsi="宋体" w:cs="宋体" w:eastAsia="宋体"/>
                <w:sz w:val="21"/>
              </w:rPr>
              <w:t>。</w:t>
            </w:r>
          </w:p>
          <w:p>
            <w:pPr>
              <w:pStyle w:val="null3"/>
              <w:jc w:val="both"/>
            </w:pPr>
            <w:r>
              <w:rPr>
                <w:rFonts w:ascii="宋体" w:hAnsi="宋体" w:cs="宋体" w:eastAsia="宋体"/>
                <w:sz w:val="21"/>
                <w:b/>
              </w:rPr>
              <w:t>3.4.1.2</w:t>
            </w:r>
            <w:r>
              <w:rPr>
                <w:rFonts w:ascii="宋体" w:hAnsi="宋体" w:cs="宋体" w:eastAsia="宋体"/>
                <w:sz w:val="21"/>
                <w:b/>
              </w:rPr>
              <w:t>操作流程指导</w:t>
            </w:r>
          </w:p>
          <w:p>
            <w:pPr>
              <w:pStyle w:val="null3"/>
              <w:ind w:firstLine="420"/>
              <w:jc w:val="both"/>
            </w:pPr>
            <w:r>
              <w:rPr>
                <w:rFonts w:ascii="宋体" w:hAnsi="宋体" w:cs="宋体" w:eastAsia="宋体"/>
                <w:sz w:val="21"/>
              </w:rPr>
              <w:t>提供详细的操作步骤指导，包括账户共济授权备案、账户共济支出顺序调整、账户共济数据接入、账户共济清算等操作</w:t>
            </w:r>
            <w:r>
              <w:rPr>
                <w:rFonts w:ascii="宋体" w:hAnsi="宋体" w:cs="宋体" w:eastAsia="宋体"/>
                <w:sz w:val="21"/>
              </w:rPr>
              <w:t>。</w:t>
            </w:r>
          </w:p>
          <w:p>
            <w:pPr>
              <w:pStyle w:val="null3"/>
              <w:jc w:val="both"/>
            </w:pPr>
            <w:r>
              <w:rPr>
                <w:rFonts w:ascii="宋体" w:hAnsi="宋体" w:cs="宋体" w:eastAsia="宋体"/>
                <w:sz w:val="21"/>
                <w:b/>
              </w:rPr>
              <w:t>3.4.1.3</w:t>
            </w:r>
            <w:r>
              <w:rPr>
                <w:rFonts w:ascii="宋体" w:hAnsi="宋体" w:cs="宋体" w:eastAsia="宋体"/>
                <w:sz w:val="21"/>
                <w:b/>
              </w:rPr>
              <w:t>技术支持</w:t>
            </w:r>
          </w:p>
          <w:p>
            <w:pPr>
              <w:pStyle w:val="null3"/>
              <w:ind w:firstLine="420"/>
              <w:jc w:val="both"/>
            </w:pPr>
            <w:r>
              <w:rPr>
                <w:rFonts w:ascii="宋体" w:hAnsi="宋体" w:cs="宋体" w:eastAsia="宋体"/>
                <w:sz w:val="21"/>
              </w:rPr>
              <w:t>针对使用过程中遇到的技术问题，提供及时的技术支持和解决方案</w:t>
            </w:r>
            <w:r>
              <w:rPr>
                <w:rFonts w:ascii="宋体" w:hAnsi="宋体" w:cs="宋体" w:eastAsia="宋体"/>
                <w:sz w:val="21"/>
              </w:rPr>
              <w:t>。</w:t>
            </w:r>
          </w:p>
          <w:p>
            <w:pPr>
              <w:pStyle w:val="null3"/>
              <w:jc w:val="both"/>
            </w:pPr>
            <w:r>
              <w:rPr>
                <w:rFonts w:ascii="宋体" w:hAnsi="宋体" w:cs="宋体" w:eastAsia="宋体"/>
                <w:sz w:val="21"/>
                <w:b/>
              </w:rPr>
              <w:t>3.4.1.4</w:t>
            </w:r>
            <w:r>
              <w:rPr>
                <w:rFonts w:ascii="宋体" w:hAnsi="宋体" w:cs="宋体" w:eastAsia="宋体"/>
                <w:sz w:val="21"/>
                <w:b/>
              </w:rPr>
              <w:t>疑难问题解答</w:t>
            </w:r>
          </w:p>
          <w:p>
            <w:pPr>
              <w:pStyle w:val="null3"/>
              <w:ind w:firstLine="420"/>
              <w:jc w:val="both"/>
            </w:pPr>
            <w:r>
              <w:rPr>
                <w:rFonts w:ascii="宋体" w:hAnsi="宋体" w:cs="宋体" w:eastAsia="宋体"/>
                <w:sz w:val="21"/>
              </w:rPr>
              <w:t>针对复杂或特殊情况进行个性化解答，确保参保人能够顺利享受家庭共济服务，确保经办人员能够正确办理相关业务。</w:t>
            </w:r>
          </w:p>
          <w:p>
            <w:pPr>
              <w:pStyle w:val="null3"/>
              <w:spacing w:before="150" w:after="150"/>
              <w:jc w:val="both"/>
            </w:pPr>
            <w:r>
              <w:rPr>
                <w:rFonts w:ascii="宋体" w:hAnsi="宋体" w:cs="宋体" w:eastAsia="宋体"/>
                <w:sz w:val="21"/>
                <w:b/>
              </w:rPr>
              <w:t>3.4.2</w:t>
            </w:r>
            <w:r>
              <w:rPr>
                <w:rFonts w:ascii="黑体" w:hAnsi="黑体" w:cs="黑体" w:eastAsia="黑体"/>
                <w:sz w:val="21"/>
                <w:b/>
              </w:rPr>
              <w:t>服务范围</w:t>
            </w:r>
          </w:p>
          <w:p>
            <w:pPr>
              <w:pStyle w:val="null3"/>
              <w:ind w:firstLine="420"/>
              <w:jc w:val="both"/>
            </w:pPr>
            <w:r>
              <w:rPr>
                <w:rFonts w:ascii="宋体" w:hAnsi="宋体" w:cs="宋体" w:eastAsia="宋体"/>
                <w:sz w:val="21"/>
              </w:rPr>
              <w:t>服务范围：针对陕西省内所有统筹区经办人员，辅助经办人员完成跨统筹区的账户共济业务。</w:t>
            </w:r>
          </w:p>
          <w:p>
            <w:pPr>
              <w:pStyle w:val="null3"/>
              <w:spacing w:before="150" w:after="150"/>
              <w:jc w:val="both"/>
            </w:pPr>
            <w:r>
              <w:rPr>
                <w:rFonts w:ascii="宋体" w:hAnsi="宋体" w:cs="宋体" w:eastAsia="宋体"/>
                <w:sz w:val="21"/>
                <w:b/>
              </w:rPr>
              <w:t>3.4.3</w:t>
            </w:r>
            <w:r>
              <w:rPr>
                <w:rFonts w:ascii="黑体" w:hAnsi="黑体" w:cs="黑体" w:eastAsia="黑体"/>
                <w:sz w:val="21"/>
                <w:b/>
              </w:rPr>
              <w:t>服务要求</w:t>
            </w:r>
          </w:p>
          <w:p>
            <w:pPr>
              <w:pStyle w:val="null3"/>
              <w:ind w:firstLine="420"/>
              <w:jc w:val="both"/>
            </w:pPr>
            <w:r>
              <w:rPr>
                <w:rFonts w:ascii="&quot;times new roman&quot;" w:hAnsi="&quot;times new roman&quot;" w:cs="&quot;times new roman&quot;" w:eastAsia="&quot;times new roman&quot;"/>
                <w:sz w:val="21"/>
              </w:rPr>
              <w:t>1.</w:t>
            </w:r>
            <w:r>
              <w:rPr>
                <w:rFonts w:ascii="宋体" w:hAnsi="宋体" w:cs="宋体" w:eastAsia="宋体"/>
                <w:sz w:val="21"/>
              </w:rPr>
              <w:t>咨询服务人员需具备专业的医保政策知识和丰富的服务经验，能够准确解答各类问题</w:t>
            </w:r>
            <w:r>
              <w:rPr>
                <w:rFonts w:ascii="宋体" w:hAnsi="宋体" w:cs="宋体" w:eastAsia="宋体"/>
                <w:sz w:val="21"/>
              </w:rPr>
              <w:t>。</w:t>
            </w:r>
          </w:p>
          <w:p>
            <w:pPr>
              <w:pStyle w:val="null3"/>
              <w:ind w:firstLine="420"/>
              <w:jc w:val="both"/>
            </w:pPr>
            <w:r>
              <w:rPr>
                <w:rFonts w:ascii="&quot;times new roman&quot;" w:hAnsi="&quot;times new roman&quot;" w:cs="&quot;times new roman&quot;" w:eastAsia="&quot;times new roman&quot;"/>
                <w:sz w:val="21"/>
              </w:rPr>
              <w:t>2.</w:t>
            </w:r>
            <w:r>
              <w:rPr>
                <w:rFonts w:ascii="宋体" w:hAnsi="宋体" w:cs="宋体" w:eastAsia="宋体"/>
                <w:sz w:val="21"/>
              </w:rPr>
              <w:t>收到咨询</w:t>
            </w:r>
            <w:r>
              <w:rPr>
                <w:rFonts w:ascii="&quot;times new roman&quot;" w:hAnsi="&quot;times new roman&quot;" w:cs="&quot;times new roman&quot;" w:eastAsia="&quot;times new roman&quot;"/>
                <w:sz w:val="21"/>
              </w:rPr>
              <w:t>2</w:t>
            </w:r>
            <w:r>
              <w:rPr>
                <w:rFonts w:ascii="宋体" w:hAnsi="宋体" w:cs="宋体" w:eastAsia="宋体"/>
                <w:sz w:val="21"/>
              </w:rPr>
              <w:t>小时内反馈、根据故障等级和需求分类进行服务时间规划。</w:t>
            </w:r>
            <w:r>
              <w:rPr>
                <w:rFonts w:ascii="宋体" w:hAnsi="宋体" w:cs="宋体" w:eastAsia="宋体"/>
                <w:sz w:val="21"/>
              </w:rPr>
              <w:t>。</w:t>
            </w:r>
          </w:p>
          <w:p>
            <w:pPr>
              <w:pStyle w:val="null3"/>
              <w:ind w:firstLine="420"/>
              <w:jc w:val="both"/>
            </w:pPr>
            <w:r>
              <w:rPr>
                <w:rFonts w:ascii="&quot;times new roman&quot;" w:hAnsi="&quot;times new roman&quot;" w:cs="&quot;times new roman&quot;" w:eastAsia="&quot;times new roman&quot;"/>
                <w:sz w:val="21"/>
              </w:rPr>
              <w:t>3.</w:t>
            </w:r>
            <w:r>
              <w:rPr>
                <w:rFonts w:ascii="宋体" w:hAnsi="宋体" w:cs="宋体" w:eastAsia="宋体"/>
                <w:sz w:val="21"/>
              </w:rPr>
              <w:t>对待每位咨询者都要保持耐心和细致，确保问题得到全面、准确的解答</w:t>
            </w:r>
            <w:r>
              <w:rPr>
                <w:rFonts w:ascii="宋体" w:hAnsi="宋体" w:cs="宋体" w:eastAsia="宋体"/>
                <w:sz w:val="21"/>
              </w:rPr>
              <w:t>。</w:t>
            </w:r>
          </w:p>
          <w:p>
            <w:pPr>
              <w:pStyle w:val="null3"/>
              <w:ind w:firstLine="420"/>
              <w:jc w:val="both"/>
            </w:pPr>
            <w:r>
              <w:rPr>
                <w:rFonts w:ascii="&quot;times new roman&quot;" w:hAnsi="&quot;times new roman&quot;" w:cs="&quot;times new roman&quot;" w:eastAsia="&quot;times new roman&quot;"/>
                <w:sz w:val="21"/>
              </w:rPr>
              <w:t>4.</w:t>
            </w:r>
            <w:r>
              <w:rPr>
                <w:rFonts w:ascii="宋体" w:hAnsi="宋体" w:cs="宋体" w:eastAsia="宋体"/>
                <w:sz w:val="21"/>
              </w:rPr>
              <w:t>严格遵守信息保密原则，对咨询过程中涉及的个人信息予以严格保护。</w:t>
            </w:r>
          </w:p>
          <w:p>
            <w:pPr>
              <w:pStyle w:val="null3"/>
              <w:ind w:firstLine="420"/>
              <w:jc w:val="both"/>
            </w:pPr>
            <w:r>
              <w:rPr>
                <w:rFonts w:ascii="&quot;times new roman&quot;" w:hAnsi="&quot;times new roman&quot;" w:cs="&quot;times new roman&quot;" w:eastAsia="&quot;times new roman&quot;"/>
                <w:sz w:val="21"/>
              </w:rPr>
              <w:t>5.</w:t>
            </w:r>
            <w:r>
              <w:rPr>
                <w:rFonts w:ascii="宋体" w:hAnsi="宋体" w:cs="宋体" w:eastAsia="宋体"/>
                <w:sz w:val="21"/>
              </w:rPr>
              <w:t>提供不少于</w:t>
            </w:r>
            <w:r>
              <w:rPr>
                <w:rFonts w:ascii="&quot;times new roman&quot;" w:hAnsi="&quot;times new roman&quot;" w:cs="&quot;times new roman&quot;" w:eastAsia="&quot;times new roman&quot;"/>
                <w:sz w:val="21"/>
              </w:rPr>
              <w:t>24</w:t>
            </w:r>
            <w:r>
              <w:rPr>
                <w:rFonts w:ascii="宋体" w:hAnsi="宋体" w:cs="宋体" w:eastAsia="宋体"/>
                <w:sz w:val="21"/>
              </w:rPr>
              <w:t>次的咨询服务。</w:t>
            </w:r>
          </w:p>
          <w:p>
            <w:pPr>
              <w:pStyle w:val="null3"/>
              <w:spacing w:before="150" w:after="150"/>
              <w:jc w:val="both"/>
            </w:pPr>
            <w:r>
              <w:rPr>
                <w:rFonts w:ascii="宋体" w:hAnsi="宋体" w:cs="宋体" w:eastAsia="宋体"/>
                <w:sz w:val="21"/>
                <w:b/>
              </w:rPr>
              <w:t>3.4.4</w:t>
            </w:r>
            <w:r>
              <w:rPr>
                <w:rFonts w:ascii="黑体" w:hAnsi="黑体" w:cs="黑体" w:eastAsia="黑体"/>
                <w:sz w:val="21"/>
                <w:b/>
              </w:rPr>
              <w:t>服务流程</w:t>
            </w:r>
          </w:p>
          <w:p>
            <w:pPr>
              <w:pStyle w:val="null3"/>
              <w:ind w:firstLine="420"/>
              <w:jc w:val="both"/>
            </w:pPr>
            <w:r>
              <w:rPr>
                <w:rFonts w:ascii="&quot;times new roman&quot;" w:hAnsi="&quot;times new roman&quot;" w:cs="&quot;times new roman&quot;" w:eastAsia="&quot;times new roman&quot;"/>
                <w:sz w:val="21"/>
              </w:rPr>
              <w:t>1.</w:t>
            </w:r>
            <w:r>
              <w:rPr>
                <w:rFonts w:ascii="宋体" w:hAnsi="宋体" w:cs="宋体" w:eastAsia="宋体"/>
                <w:sz w:val="21"/>
              </w:rPr>
              <w:t>经办人通过拨打服务电话或通过服务</w:t>
            </w:r>
            <w:r>
              <w:rPr>
                <w:rFonts w:ascii="&quot;times new roman&quot;" w:hAnsi="&quot;times new roman&quot;" w:cs="&quot;times new roman&quot;" w:eastAsia="&quot;times new roman&quot;"/>
                <w:sz w:val="21"/>
              </w:rPr>
              <w:t>QQ</w:t>
            </w:r>
            <w:r>
              <w:rPr>
                <w:rFonts w:ascii="宋体" w:hAnsi="宋体" w:cs="宋体" w:eastAsia="宋体"/>
                <w:sz w:val="21"/>
              </w:rPr>
              <w:t>群和微信群进行咨询。</w:t>
            </w:r>
          </w:p>
          <w:p>
            <w:pPr>
              <w:pStyle w:val="null3"/>
              <w:ind w:firstLine="420"/>
              <w:jc w:val="both"/>
            </w:pPr>
            <w:r>
              <w:rPr>
                <w:rFonts w:ascii="&quot;times new roman&quot;" w:hAnsi="&quot;times new roman&quot;" w:cs="&quot;times new roman&quot;" w:eastAsia="&quot;times new roman&quot;"/>
                <w:sz w:val="21"/>
              </w:rPr>
              <w:t>2.</w:t>
            </w:r>
            <w:r>
              <w:rPr>
                <w:rFonts w:ascii="宋体" w:hAnsi="宋体" w:cs="宋体" w:eastAsia="宋体"/>
                <w:sz w:val="21"/>
              </w:rPr>
              <w:t>咨询者详细说明咨询内容，包括个人基本情况、遇到的问题等。</w:t>
            </w:r>
          </w:p>
          <w:p>
            <w:pPr>
              <w:pStyle w:val="null3"/>
              <w:ind w:firstLine="420"/>
              <w:jc w:val="both"/>
            </w:pPr>
            <w:r>
              <w:rPr>
                <w:rFonts w:ascii="&quot;times new roman&quot;" w:hAnsi="&quot;times new roman&quot;" w:cs="&quot;times new roman&quot;" w:eastAsia="&quot;times new roman&quot;"/>
                <w:sz w:val="21"/>
              </w:rPr>
              <w:t>3.</w:t>
            </w:r>
            <w:r>
              <w:rPr>
                <w:rFonts w:ascii="宋体" w:hAnsi="宋体" w:cs="宋体" w:eastAsia="宋体"/>
                <w:sz w:val="21"/>
              </w:rPr>
              <w:t>服务人员根据咨询内容，提供专业、详细的解答和操作流程指导。</w:t>
            </w:r>
          </w:p>
          <w:p>
            <w:pPr>
              <w:pStyle w:val="null3"/>
              <w:ind w:firstLine="420"/>
              <w:jc w:val="both"/>
            </w:pPr>
            <w:r>
              <w:rPr>
                <w:rFonts w:ascii="&quot;times new roman&quot;" w:hAnsi="&quot;times new roman&quot;" w:cs="&quot;times new roman&quot;" w:eastAsia="&quot;times new roman&quot;"/>
                <w:sz w:val="21"/>
              </w:rPr>
              <w:t>4.</w:t>
            </w:r>
            <w:r>
              <w:rPr>
                <w:rFonts w:ascii="宋体" w:hAnsi="宋体" w:cs="宋体" w:eastAsia="宋体"/>
                <w:sz w:val="21"/>
              </w:rPr>
              <w:t>服务人员的协助下，咨询者完成相关操作或解决遇到的问题。</w:t>
            </w:r>
          </w:p>
          <w:p>
            <w:pPr>
              <w:pStyle w:val="null3"/>
              <w:ind w:firstLine="420"/>
              <w:jc w:val="both"/>
            </w:pPr>
            <w:r>
              <w:rPr>
                <w:rFonts w:ascii="&quot;times new roman&quot;" w:hAnsi="&quot;times new roman&quot;" w:cs="&quot;times new roman&quot;" w:eastAsia="&quot;times new roman&quot;"/>
                <w:sz w:val="21"/>
              </w:rPr>
              <w:t>5.</w:t>
            </w:r>
            <w:r>
              <w:rPr>
                <w:rFonts w:ascii="宋体" w:hAnsi="宋体" w:cs="宋体" w:eastAsia="宋体"/>
                <w:sz w:val="21"/>
              </w:rPr>
              <w:t>服务人员主动收集咨询者的反馈意见，对于未解决的问题进行跟进处理，确保服务质量。</w:t>
            </w:r>
          </w:p>
          <w:p>
            <w:pPr>
              <w:pStyle w:val="null3"/>
              <w:ind w:firstLine="420"/>
              <w:jc w:val="both"/>
            </w:pPr>
            <w:r>
              <w:rPr>
                <w:rFonts w:ascii="&quot;times new roman&quot;" w:hAnsi="&quot;times new roman&quot;" w:cs="&quot;times new roman&quot;" w:eastAsia="&quot;times new roman&quot;"/>
                <w:sz w:val="21"/>
              </w:rPr>
              <w:t>6.</w:t>
            </w:r>
            <w:r>
              <w:rPr>
                <w:rFonts w:ascii="宋体" w:hAnsi="宋体" w:cs="宋体" w:eastAsia="宋体"/>
                <w:sz w:val="21"/>
              </w:rPr>
              <w:t>收集并整理经办人员日常问题以及处理办法，生成《常见咨询问题处理手册》，并及时更新至门户系统，供全省经办人员下载使用。</w:t>
            </w:r>
          </w:p>
          <w:p>
            <w:pPr>
              <w:pStyle w:val="null3"/>
              <w:spacing w:before="150" w:after="150"/>
              <w:jc w:val="both"/>
            </w:pPr>
            <w:r>
              <w:rPr>
                <w:rFonts w:ascii="宋体" w:hAnsi="宋体" w:cs="宋体" w:eastAsia="宋体"/>
                <w:sz w:val="21"/>
                <w:b/>
              </w:rPr>
              <w:t>3.4.5</w:t>
            </w:r>
            <w:r>
              <w:rPr>
                <w:rFonts w:ascii="黑体" w:hAnsi="黑体" w:cs="黑体" w:eastAsia="黑体"/>
                <w:sz w:val="21"/>
                <w:b/>
              </w:rPr>
              <w:t>交付物与交付物质量</w:t>
            </w:r>
          </w:p>
          <w:p>
            <w:pPr>
              <w:pStyle w:val="null3"/>
              <w:jc w:val="center"/>
            </w:pPr>
            <w:r>
              <w:rPr>
                <w:rFonts w:ascii="黑体" w:hAnsi="黑体" w:cs="黑体" w:eastAsia="黑体"/>
                <w:sz w:val="21"/>
              </w:rPr>
              <w:t>表</w:t>
            </w:r>
            <w:r>
              <w:rPr>
                <w:rFonts w:ascii="cambria" w:hAnsi="cambria" w:cs="cambria" w:eastAsia="cambria"/>
                <w:sz w:val="21"/>
              </w:rPr>
              <w:t xml:space="preserve">5-7 </w:t>
            </w:r>
            <w:r>
              <w:rPr>
                <w:rFonts w:ascii="黑体" w:hAnsi="黑体" w:cs="黑体" w:eastAsia="黑体"/>
                <w:sz w:val="21"/>
              </w:rPr>
              <w:t>交付物与交付物质量</w:t>
            </w:r>
          </w:p>
          <w:p>
            <w:pPr>
              <w:pStyle w:val="null3"/>
              <w:ind w:firstLine="420"/>
              <w:jc w:val="both"/>
            </w:pPr>
            <w:r>
              <w:rPr>
                <w:rFonts w:ascii="&quot;times new roman&quot;" w:hAnsi="&quot;times new roman&quot;" w:cs="&quot;times new roman&quot;" w:eastAsia="&quot;times new roman&quot;"/>
                <w:sz w:val="21"/>
              </w:rPr>
              <w:t xml:space="preserve"> </w:t>
            </w:r>
          </w:p>
          <w:tbl>
            <w:tblPr>
              <w:tblBorders>
                <w:top w:val="none" w:color="000000" w:sz="4"/>
                <w:left w:val="none" w:color="000000" w:sz="4"/>
                <w:bottom w:val="none" w:color="000000" w:sz="4"/>
                <w:right w:val="none" w:color="000000" w:sz="4"/>
                <w:insideH w:val="none"/>
                <w:insideV w:val="none"/>
              </w:tblBorders>
            </w:tblPr>
            <w:tblGrid>
              <w:gridCol w:w="1123"/>
              <w:gridCol w:w="2064"/>
            </w:tblGrid>
            <w:tr>
              <w:tc>
                <w:tcPr>
                  <w:tcW w:type="dxa" w:w="11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2"/>
                  </w:pPr>
                  <w:r>
                    <w:rPr>
                      <w:rFonts w:ascii="宋体" w:hAnsi="宋体" w:cs="宋体" w:eastAsia="宋体"/>
                      <w:sz w:val="21"/>
                      <w:b/>
                    </w:rPr>
                    <w:t>交付物</w:t>
                  </w:r>
                </w:p>
              </w:tc>
              <w:tc>
                <w:tcPr>
                  <w:tcW w:type="dxa" w:w="20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pPr>
                  <w:r>
                    <w:rPr>
                      <w:rFonts w:ascii="宋体" w:hAnsi="宋体" w:cs="宋体" w:eastAsia="宋体"/>
                      <w:sz w:val="21"/>
                      <w:b/>
                    </w:rPr>
                    <w:t>交付物标准</w:t>
                  </w:r>
                </w:p>
              </w:tc>
            </w:tr>
            <w:tr>
              <w:tc>
                <w:tcPr>
                  <w:tcW w:type="dxa" w:w="1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《常见咨询问题处理手册》</w:t>
                  </w:r>
                </w:p>
              </w:tc>
              <w:tc>
                <w:tcPr>
                  <w:tcW w:type="dxa" w:w="20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内容详实，落地性好。内容准确、逻辑清晰、图文并茂。</w:t>
                  </w:r>
                </w:p>
              </w:tc>
            </w:tr>
            <w:tr>
              <w:tc>
                <w:tcPr>
                  <w:tcW w:type="dxa" w:w="1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《咨询记录表》</w:t>
                  </w:r>
                </w:p>
              </w:tc>
              <w:tc>
                <w:tcPr>
                  <w:tcW w:type="dxa" w:w="20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记录清晰，详实准确。咨询服务量大于等于</w:t>
                  </w:r>
                  <w:r>
                    <w:rPr>
                      <w:rFonts w:ascii="&quot;times new roman&quot;" w:hAnsi="&quot;times new roman&quot;" w:cs="&quot;times new roman&quot;" w:eastAsia="&quot;times new roman&quot;"/>
                      <w:sz w:val="21"/>
                    </w:rPr>
                    <w:t>24</w:t>
                  </w:r>
                  <w:r>
                    <w:rPr>
                      <w:rFonts w:ascii="宋体" w:hAnsi="宋体" w:cs="宋体" w:eastAsia="宋体"/>
                      <w:sz w:val="21"/>
                    </w:rPr>
                    <w:t>次。</w:t>
                  </w:r>
                </w:p>
              </w:tc>
            </w:tr>
          </w:tbl>
          <w:p>
            <w:pPr>
              <w:pStyle w:val="null3"/>
              <w:ind w:firstLine="420"/>
              <w:jc w:val="both"/>
            </w:pPr>
            <w:r>
              <w:rPr>
                <w:rFonts w:ascii="&quot;times new roman&quot;" w:hAnsi="&quot;times new roman&quot;" w:cs="&quot;times new roman&quot;" w:eastAsia="&quot;times new roman&quot;"/>
                <w:sz w:val="21"/>
              </w:rPr>
              <w:t xml:space="preserve">  </w:t>
            </w:r>
          </w:p>
          <w:p>
            <w:pPr>
              <w:pStyle w:val="null3"/>
              <w:jc w:val="both"/>
            </w:pPr>
            <w:r>
              <w:rPr>
                <w:rFonts w:ascii="宋体" w:hAnsi="宋体" w:cs="宋体" w:eastAsia="宋体"/>
                <w:sz w:val="21"/>
                <w:b/>
              </w:rPr>
              <w:t>3.5</w:t>
            </w:r>
            <w:r>
              <w:rPr>
                <w:rFonts w:ascii="黑体" w:hAnsi="黑体" w:cs="黑体" w:eastAsia="黑体"/>
                <w:sz w:val="21"/>
                <w:b/>
              </w:rPr>
              <w:t>服务考核办法和应用</w:t>
            </w:r>
          </w:p>
          <w:p>
            <w:pPr>
              <w:pStyle w:val="null3"/>
              <w:ind w:firstLine="420"/>
              <w:jc w:val="both"/>
            </w:pPr>
            <w:r>
              <w:rPr>
                <w:rFonts w:ascii="宋体" w:hAnsi="宋体" w:cs="宋体" w:eastAsia="宋体"/>
                <w:sz w:val="21"/>
              </w:rPr>
              <w:t>为保障本项目的服务质量，由项目单位开展对项目服务提供方进行服务考核评估。服务评估内容主要包括服务质量、服务交付、服务管理和服务满意度等方面。按季度服务考核，每周期服务评估分值满分为</w:t>
            </w:r>
            <w:r>
              <w:rPr>
                <w:rFonts w:ascii="&quot;times new roman&quot;" w:hAnsi="&quot;times new roman&quot;" w:cs="&quot;times new roman&quot;" w:eastAsia="&quot;times new roman&quot;"/>
                <w:sz w:val="21"/>
              </w:rPr>
              <w:t>100</w:t>
            </w:r>
            <w:r>
              <w:rPr>
                <w:rFonts w:ascii="宋体" w:hAnsi="宋体" w:cs="宋体" w:eastAsia="宋体"/>
                <w:sz w:val="21"/>
              </w:rPr>
              <w:t>分，并分为四个评估等级。由项目单位常态化开展日常服务记录。每个服务考核周期对期间的日常服务记录进行汇总，阶段性地对周期内的服务进行综合考核评价，形成阶段性服务考核结果。</w:t>
            </w:r>
          </w:p>
          <w:p>
            <w:pPr>
              <w:pStyle w:val="null3"/>
              <w:ind w:firstLine="420"/>
              <w:jc w:val="both"/>
            </w:pPr>
            <w:r>
              <w:rPr>
                <w:rFonts w:ascii="宋体" w:hAnsi="宋体" w:cs="宋体" w:eastAsia="宋体"/>
                <w:sz w:val="21"/>
              </w:rPr>
              <w:t>项目单位根据阶段性服务评估分值按下表确定对应阶段的服务费用付款比例：</w:t>
            </w:r>
          </w:p>
          <w:p>
            <w:pPr>
              <w:pStyle w:val="null3"/>
              <w:jc w:val="center"/>
            </w:pPr>
            <w:r>
              <w:rPr>
                <w:rFonts w:ascii="黑体" w:hAnsi="黑体" w:cs="黑体" w:eastAsia="黑体"/>
                <w:sz w:val="21"/>
              </w:rPr>
              <w:t>表</w:t>
            </w:r>
            <w:r>
              <w:rPr>
                <w:rFonts w:ascii="arial" w:hAnsi="arial" w:cs="arial" w:eastAsia="arial"/>
                <w:sz w:val="21"/>
              </w:rPr>
              <w:t>5-9</w:t>
            </w:r>
            <w:r>
              <w:rPr>
                <w:rFonts w:ascii="黑体" w:hAnsi="黑体" w:cs="黑体" w:eastAsia="黑体"/>
                <w:sz w:val="21"/>
              </w:rPr>
              <w:t>服务考核结果应用表</w:t>
            </w:r>
          </w:p>
          <w:p>
            <w:pPr>
              <w:pStyle w:val="null3"/>
              <w:ind w:firstLine="420"/>
              <w:jc w:val="both"/>
            </w:pPr>
            <w:r>
              <w:rPr>
                <w:rFonts w:ascii="&quot;times new roman&quot;" w:hAnsi="&quot;times new roman&quot;" w:cs="&quot;times new roman&quot;" w:eastAsia="&quot;times new roman&quot;"/>
                <w:sz w:val="21"/>
              </w:rPr>
              <w:t xml:space="preserve"> </w:t>
            </w:r>
          </w:p>
          <w:tbl>
            <w:tblPr>
              <w:tblBorders>
                <w:top w:val="none" w:color="000000" w:sz="4"/>
                <w:left w:val="none" w:color="000000" w:sz="4"/>
                <w:bottom w:val="none" w:color="000000" w:sz="4"/>
                <w:right w:val="none" w:color="000000" w:sz="4"/>
                <w:insideH w:val="none"/>
                <w:insideV w:val="none"/>
              </w:tblBorders>
            </w:tblPr>
            <w:tblGrid>
              <w:gridCol w:w="890"/>
              <w:gridCol w:w="339"/>
              <w:gridCol w:w="1955"/>
            </w:tblGrid>
            <w:tr>
              <w:tc>
                <w:tcPr>
                  <w:tcW w:type="dxa" w:w="8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服务考评分值</w:t>
                  </w:r>
                </w:p>
              </w:tc>
              <w:tc>
                <w:tcPr>
                  <w:tcW w:type="dxa" w:w="3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等级</w:t>
                  </w:r>
                </w:p>
              </w:tc>
              <w:tc>
                <w:tcPr>
                  <w:tcW w:type="dxa" w:w="19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付款比例（</w:t>
                  </w:r>
                  <w:r>
                    <w:rPr>
                      <w:rFonts w:ascii="宋体" w:hAnsi="宋体" w:cs="宋体" w:eastAsia="宋体"/>
                      <w:sz w:val="21"/>
                      <w:b/>
                    </w:rPr>
                    <w:t>%）</w:t>
                  </w:r>
                </w:p>
              </w:tc>
            </w:tr>
            <w:tr>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≥90</w:t>
                  </w:r>
                  <w:r>
                    <w:rPr>
                      <w:rFonts w:ascii="&quot;times new roman&quot;" w:hAnsi="&quot;times new roman&quot;" w:cs="&quot;times new roman&quot;" w:eastAsia="&quot;times new roman&quot;"/>
                      <w:sz w:val="21"/>
                    </w:rPr>
                    <w:t xml:space="preserve"> </w:t>
                  </w:r>
                  <w:r>
                    <w:rPr>
                      <w:rFonts w:ascii="宋体" w:hAnsi="宋体" w:cs="宋体" w:eastAsia="宋体"/>
                      <w:sz w:val="21"/>
                    </w:rPr>
                    <w:t>分</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A</w:t>
                  </w:r>
                </w:p>
              </w:tc>
              <w:tc>
                <w:tcPr>
                  <w:tcW w:type="dxa" w:w="1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r>
                    <w:rPr>
                      <w:rFonts w:ascii="宋体" w:hAnsi="宋体" w:cs="宋体" w:eastAsia="宋体"/>
                      <w:sz w:val="21"/>
                    </w:rPr>
                    <w:t>00</w:t>
                  </w:r>
                  <w:r>
                    <w:rPr>
                      <w:rFonts w:ascii="宋体" w:hAnsi="宋体" w:cs="宋体" w:eastAsia="宋体"/>
                      <w:sz w:val="21"/>
                    </w:rPr>
                    <w:t>%</w:t>
                  </w:r>
                </w:p>
              </w:tc>
            </w:tr>
            <w:tr>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≥80</w:t>
                  </w:r>
                  <w:r>
                    <w:rPr>
                      <w:rFonts w:ascii="&quot;times new roman&quot;" w:hAnsi="&quot;times new roman&quot;" w:cs="&quot;times new roman&quot;" w:eastAsia="&quot;times new roman&quot;"/>
                      <w:sz w:val="21"/>
                    </w:rPr>
                    <w:t xml:space="preserve"> </w:t>
                  </w:r>
                  <w:r>
                    <w:rPr>
                      <w:rFonts w:ascii="宋体" w:hAnsi="宋体" w:cs="宋体" w:eastAsia="宋体"/>
                      <w:sz w:val="21"/>
                    </w:rPr>
                    <w:t>分，</w:t>
                  </w:r>
                  <w:r>
                    <w:rPr>
                      <w:rFonts w:ascii="宋体" w:hAnsi="宋体" w:cs="宋体" w:eastAsia="宋体"/>
                      <w:sz w:val="21"/>
                    </w:rPr>
                    <w:t>&lt;</w:t>
                  </w:r>
                  <w:r>
                    <w:rPr>
                      <w:rFonts w:ascii="宋体" w:hAnsi="宋体" w:cs="宋体" w:eastAsia="宋体"/>
                      <w:sz w:val="21"/>
                    </w:rPr>
                    <w:t>90</w:t>
                  </w:r>
                  <w:r>
                    <w:rPr>
                      <w:rFonts w:ascii="&quot;times new roman&quot;" w:hAnsi="&quot;times new roman&quot;" w:cs="&quot;times new roman&quot;" w:eastAsia="&quot;times new roman&quot;"/>
                      <w:sz w:val="21"/>
                    </w:rPr>
                    <w:t xml:space="preserve"> </w:t>
                  </w:r>
                  <w:r>
                    <w:rPr>
                      <w:rFonts w:ascii="宋体" w:hAnsi="宋体" w:cs="宋体" w:eastAsia="宋体"/>
                      <w:sz w:val="21"/>
                    </w:rPr>
                    <w:t>分</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B</w:t>
                  </w:r>
                </w:p>
              </w:tc>
              <w:tc>
                <w:tcPr>
                  <w:tcW w:type="dxa" w:w="1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95</w:t>
                  </w:r>
                  <w:r>
                    <w:rPr>
                      <w:rFonts w:ascii="宋体" w:hAnsi="宋体" w:cs="宋体" w:eastAsia="宋体"/>
                      <w:sz w:val="21"/>
                    </w:rPr>
                    <w:t>%</w:t>
                  </w:r>
                </w:p>
              </w:tc>
            </w:tr>
            <w:tr>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≥60</w:t>
                  </w:r>
                  <w:r>
                    <w:rPr>
                      <w:rFonts w:ascii="&quot;times new roman&quot;" w:hAnsi="&quot;times new roman&quot;" w:cs="&quot;times new roman&quot;" w:eastAsia="&quot;times new roman&quot;"/>
                      <w:sz w:val="21"/>
                    </w:rPr>
                    <w:t xml:space="preserve"> </w:t>
                  </w:r>
                  <w:r>
                    <w:rPr>
                      <w:rFonts w:ascii="宋体" w:hAnsi="宋体" w:cs="宋体" w:eastAsia="宋体"/>
                      <w:sz w:val="21"/>
                    </w:rPr>
                    <w:t>分，</w:t>
                  </w:r>
                  <w:r>
                    <w:rPr>
                      <w:rFonts w:ascii="宋体" w:hAnsi="宋体" w:cs="宋体" w:eastAsia="宋体"/>
                      <w:sz w:val="21"/>
                    </w:rPr>
                    <w:t>&lt;</w:t>
                  </w:r>
                  <w:r>
                    <w:rPr>
                      <w:rFonts w:ascii="宋体" w:hAnsi="宋体" w:cs="宋体" w:eastAsia="宋体"/>
                      <w:sz w:val="21"/>
                    </w:rPr>
                    <w:t>8</w:t>
                  </w:r>
                  <w:r>
                    <w:rPr>
                      <w:rFonts w:ascii="宋体" w:hAnsi="宋体" w:cs="宋体" w:eastAsia="宋体"/>
                      <w:sz w:val="21"/>
                    </w:rPr>
                    <w:t>0 分</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C</w:t>
                  </w:r>
                </w:p>
              </w:tc>
              <w:tc>
                <w:tcPr>
                  <w:tcW w:type="dxa" w:w="1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90</w:t>
                  </w:r>
                  <w:r>
                    <w:rPr>
                      <w:rFonts w:ascii="宋体" w:hAnsi="宋体" w:cs="宋体" w:eastAsia="宋体"/>
                      <w:sz w:val="21"/>
                    </w:rPr>
                    <w:t>%</w:t>
                  </w:r>
                </w:p>
              </w:tc>
            </w:tr>
            <w:tr>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&lt;60 分</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D</w:t>
                  </w:r>
                </w:p>
              </w:tc>
              <w:tc>
                <w:tcPr>
                  <w:tcW w:type="dxa" w:w="1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应先进行整改，在下一评估周期内完成整改，评估分值</w:t>
                  </w:r>
                  <w:r>
                    <w:rPr>
                      <w:rFonts w:ascii="宋体" w:hAnsi="宋体" w:cs="宋体" w:eastAsia="宋体"/>
                      <w:sz w:val="21"/>
                    </w:rPr>
                    <w:t>≥</w:t>
                  </w:r>
                  <w:r>
                    <w:rPr>
                      <w:rFonts w:ascii="宋体" w:hAnsi="宋体" w:cs="宋体" w:eastAsia="宋体"/>
                      <w:sz w:val="21"/>
                    </w:rPr>
                    <w:t>60</w:t>
                  </w:r>
                  <w:r>
                    <w:rPr>
                      <w:rFonts w:ascii="宋体" w:hAnsi="宋体" w:cs="宋体" w:eastAsia="宋体"/>
                      <w:sz w:val="21"/>
                    </w:rPr>
                    <w:t>分，付款比例为</w:t>
                  </w:r>
                  <w:r>
                    <w:rPr>
                      <w:rFonts w:ascii="宋体" w:hAnsi="宋体" w:cs="宋体" w:eastAsia="宋体"/>
                      <w:sz w:val="21"/>
                    </w:rPr>
                    <w:t>80%</w:t>
                  </w:r>
                  <w:r>
                    <w:rPr>
                      <w:rFonts w:ascii="宋体" w:hAnsi="宋体" w:cs="宋体" w:eastAsia="宋体"/>
                      <w:sz w:val="21"/>
                    </w:rPr>
                    <w:t>；整改后评估仍</w:t>
                  </w:r>
                  <w:r>
                    <w:rPr>
                      <w:rFonts w:ascii="宋体" w:hAnsi="宋体" w:cs="宋体" w:eastAsia="宋体"/>
                      <w:sz w:val="21"/>
                    </w:rPr>
                    <w:t>&lt;60</w:t>
                  </w:r>
                  <w:r>
                    <w:rPr>
                      <w:rFonts w:ascii="宋体" w:hAnsi="宋体" w:cs="宋体" w:eastAsia="宋体"/>
                      <w:sz w:val="21"/>
                    </w:rPr>
                    <w:t>分的，付款比例由项目单位和项目服务提供方协商，最低可为</w:t>
                  </w:r>
                  <w:r>
                    <w:rPr>
                      <w:rFonts w:ascii="宋体" w:hAnsi="宋体" w:cs="宋体" w:eastAsia="宋体"/>
                      <w:sz w:val="21"/>
                    </w:rPr>
                    <w:t>0</w:t>
                  </w:r>
                  <w:r>
                    <w:rPr>
                      <w:rFonts w:ascii="宋体" w:hAnsi="宋体" w:cs="宋体" w:eastAsia="宋体"/>
                      <w:sz w:val="21"/>
                    </w:rPr>
                    <w:t>。</w:t>
                  </w:r>
                </w:p>
              </w:tc>
            </w:tr>
          </w:tbl>
          <w:p>
            <w:pPr>
              <w:pStyle w:val="null3"/>
              <w:ind w:firstLine="420"/>
              <w:jc w:val="both"/>
            </w:pPr>
            <w:r>
              <w:rPr>
                <w:rFonts w:ascii="&quot;times new roman&quot;" w:hAnsi="&quot;times new roman&quot;" w:cs="&quot;times new roman&quot;" w:eastAsia="&quot;times new roman&quot;"/>
                <w:sz w:val="21"/>
              </w:rPr>
              <w:t xml:space="preserve"> </w:t>
            </w:r>
          </w:p>
          <w:p>
            <w:pPr>
              <w:pStyle w:val="null3"/>
              <w:jc w:val="both"/>
            </w:pPr>
            <w:r>
              <w:rPr>
                <w:rFonts w:ascii="宋体" w:hAnsi="宋体" w:cs="宋体" w:eastAsia="宋体"/>
                <w:sz w:val="21"/>
                <w:b/>
              </w:rPr>
              <w:t>3.5.1</w:t>
            </w:r>
            <w:r>
              <w:rPr>
                <w:rFonts w:ascii="黑体" w:hAnsi="黑体" w:cs="黑体" w:eastAsia="黑体"/>
                <w:sz w:val="21"/>
                <w:b/>
              </w:rPr>
              <w:t>平台运营服务质量考核</w:t>
            </w:r>
          </w:p>
          <w:p>
            <w:pPr>
              <w:pStyle w:val="null3"/>
              <w:ind w:firstLine="480"/>
            </w:pPr>
            <w:r>
              <w:rPr>
                <w:rFonts w:ascii="宋体" w:hAnsi="宋体" w:cs="宋体" w:eastAsia="宋体"/>
                <w:sz w:val="21"/>
              </w:rPr>
              <w:t>针对项目服务方进行考核：</w:t>
            </w:r>
          </w:p>
          <w:p>
            <w:pPr>
              <w:pStyle w:val="null3"/>
              <w:ind w:firstLine="420"/>
              <w:jc w:val="center"/>
            </w:pPr>
            <w:r>
              <w:rPr>
                <w:rFonts w:ascii="黑体" w:hAnsi="黑体" w:cs="黑体" w:eastAsia="黑体"/>
                <w:sz w:val="21"/>
              </w:rPr>
              <w:t>表</w:t>
            </w:r>
            <w:r>
              <w:rPr>
                <w:rFonts w:ascii="黑体" w:hAnsi="黑体" w:cs="黑体" w:eastAsia="黑体"/>
                <w:sz w:val="21"/>
              </w:rPr>
              <w:t>5-10</w:t>
            </w:r>
            <w:r>
              <w:rPr>
                <w:rFonts w:ascii="黑体" w:hAnsi="黑体" w:cs="黑体" w:eastAsia="黑体"/>
                <w:sz w:val="21"/>
              </w:rPr>
              <w:t>平台运营服务考核评估指标体系表</w:t>
            </w:r>
          </w:p>
          <w:p>
            <w:pPr>
              <w:pStyle w:val="null3"/>
              <w:ind w:firstLine="420"/>
              <w:jc w:val="both"/>
            </w:pPr>
            <w:r>
              <w:rPr>
                <w:rFonts w:ascii="&quot;times new roman&quot;" w:hAnsi="&quot;times new roman&quot;" w:cs="&quot;times new roman&quot;" w:eastAsia="&quot;times new roman&quot;"/>
                <w:sz w:val="21"/>
              </w:rPr>
              <w:t xml:space="preserve"> </w:t>
            </w:r>
          </w:p>
          <w:tbl>
            <w:tblPr>
              <w:tblBorders>
                <w:top w:val="none" w:color="000000" w:sz="4"/>
                <w:left w:val="none" w:color="000000" w:sz="4"/>
                <w:bottom w:val="none" w:color="000000" w:sz="4"/>
                <w:right w:val="none" w:color="000000" w:sz="4"/>
                <w:insideH w:val="none"/>
                <w:insideV w:val="none"/>
              </w:tblBorders>
            </w:tblPr>
            <w:tblGrid>
              <w:gridCol w:w="141"/>
              <w:gridCol w:w="203"/>
              <w:gridCol w:w="148"/>
              <w:gridCol w:w="221"/>
              <w:gridCol w:w="333"/>
              <w:gridCol w:w="568"/>
              <w:gridCol w:w="261"/>
              <w:gridCol w:w="217"/>
              <w:gridCol w:w="318"/>
              <w:gridCol w:w="141"/>
            </w:tblGrid>
            <w:tr>
              <w:tc>
                <w:tcPr>
                  <w:tcW w:type="dxa" w:w="1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序号</w:t>
                  </w:r>
                </w:p>
              </w:tc>
              <w:tc>
                <w:tcPr>
                  <w:tcW w:type="dxa" w:w="2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服务类别</w:t>
                  </w:r>
                </w:p>
              </w:tc>
              <w:tc>
                <w:tcPr>
                  <w:tcW w:type="dxa" w:w="1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考核类别</w:t>
                  </w:r>
                </w:p>
              </w:tc>
              <w:tc>
                <w:tcPr>
                  <w:tcW w:type="dxa" w:w="2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考核指标</w:t>
                  </w:r>
                </w:p>
              </w:tc>
              <w:tc>
                <w:tcPr>
                  <w:tcW w:type="dxa" w:w="3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考核指标说明</w:t>
                  </w:r>
                </w:p>
              </w:tc>
              <w:tc>
                <w:tcPr>
                  <w:tcW w:type="dxa" w:w="5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考核标准</w:t>
                  </w:r>
                </w:p>
              </w:tc>
              <w:tc>
                <w:tcPr>
                  <w:tcW w:type="dxa" w:w="2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指标权重</w:t>
                  </w:r>
                </w:p>
              </w:tc>
              <w:tc>
                <w:tcPr>
                  <w:tcW w:type="dxa" w:w="2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考核周期</w:t>
                  </w:r>
                </w:p>
              </w:tc>
              <w:tc>
                <w:tcPr>
                  <w:tcW w:type="dxa" w:w="3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分值</w:t>
                  </w:r>
                </w:p>
              </w:tc>
              <w:tc>
                <w:tcPr>
                  <w:tcW w:type="dxa" w:w="1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得分</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20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平台运营服务</w:t>
                  </w:r>
                </w:p>
              </w:tc>
              <w:tc>
                <w:tcPr>
                  <w:tcW w:type="dxa" w:w="14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服务交付</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工具平台部署服务</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软件支撑工具能按时间部署</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由于服务方原因，软件支撑工具未能及时部署，每延迟</w:t>
                  </w:r>
                  <w:r>
                    <w:rPr>
                      <w:rFonts w:ascii="宋体" w:hAnsi="宋体" w:cs="宋体" w:eastAsia="宋体"/>
                      <w:sz w:val="21"/>
                    </w:rPr>
                    <w:t>3个工作日扣3分，总分100分。</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20</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每季度</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A:90-100</w:t>
                  </w:r>
                  <w:r>
                    <w:br/>
                  </w:r>
                  <w:r>
                    <w:rPr>
                      <w:rFonts w:ascii="宋体" w:hAnsi="宋体" w:cs="宋体" w:eastAsia="宋体"/>
                      <w:sz w:val="21"/>
                    </w:rPr>
                    <w:t>B:80-89</w:t>
                  </w:r>
                  <w:r>
                    <w:br/>
                  </w:r>
                  <w:r>
                    <w:rPr>
                      <w:rFonts w:ascii="宋体" w:hAnsi="宋体" w:cs="宋体" w:eastAsia="宋体"/>
                      <w:sz w:val="21"/>
                    </w:rPr>
                    <w:t>C:60-79</w:t>
                  </w:r>
                  <w:r>
                    <w:br/>
                  </w:r>
                  <w:r>
                    <w:rPr>
                      <w:rFonts w:ascii="宋体" w:hAnsi="宋体" w:cs="宋体" w:eastAsia="宋体"/>
                      <w:sz w:val="21"/>
                    </w:rPr>
                    <w:t>D:0-59</w:t>
                  </w:r>
                </w:p>
              </w:tc>
              <w:tc>
                <w:tcPr>
                  <w:tcW w:type="dxa" w:w="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w:t>
                  </w:r>
                </w:p>
              </w:tc>
              <w:tc>
                <w:tcPr>
                  <w:tcW w:type="dxa" w:w="203"/>
                  <w:vMerge/>
                  <w:tcBorders>
                    <w:top w:val="none" w:color="000000" w:sz="4"/>
                    <w:left w:val="none" w:color="000000" w:sz="4"/>
                    <w:bottom w:val="single" w:color="000000" w:sz="4"/>
                    <w:right w:val="single" w:color="000000" w:sz="4"/>
                  </w:tcBorders>
                </w:tcPr>
                <w:p/>
              </w:tc>
              <w:tc>
                <w:tcPr>
                  <w:tcW w:type="dxa" w:w="148"/>
                  <w:vMerge/>
                  <w:tcBorders>
                    <w:top w:val="none" w:color="000000" w:sz="4"/>
                    <w:left w:val="none" w:color="000000" w:sz="4"/>
                    <w:bottom w:val="single" w:color="000000" w:sz="4"/>
                    <w:right w:val="single" w:color="000000" w:sz="4"/>
                  </w:tcBorders>
                </w:tcP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数据共享交互服务</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数据共享交互的实时性、准确性</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由于服务方原因，相关接口的数据未能及时共享或数据传输错误，不能即时上报国家局，每项扣</w:t>
                  </w:r>
                  <w:r>
                    <w:rPr>
                      <w:rFonts w:ascii="宋体" w:hAnsi="宋体" w:cs="宋体" w:eastAsia="宋体"/>
                      <w:sz w:val="21"/>
                    </w:rPr>
                    <w:t>2分，总分100分，扣完为止。</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15</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每季度</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A:90-100</w:t>
                  </w:r>
                  <w:r>
                    <w:br/>
                  </w:r>
                  <w:r>
                    <w:rPr>
                      <w:rFonts w:ascii="宋体" w:hAnsi="宋体" w:cs="宋体" w:eastAsia="宋体"/>
                      <w:sz w:val="21"/>
                    </w:rPr>
                    <w:t>B:80-89</w:t>
                  </w:r>
                  <w:r>
                    <w:br/>
                  </w:r>
                  <w:r>
                    <w:rPr>
                      <w:rFonts w:ascii="宋体" w:hAnsi="宋体" w:cs="宋体" w:eastAsia="宋体"/>
                      <w:sz w:val="21"/>
                    </w:rPr>
                    <w:t>C:60-79</w:t>
                  </w:r>
                  <w:r>
                    <w:br/>
                  </w:r>
                  <w:r>
                    <w:rPr>
                      <w:rFonts w:ascii="宋体" w:hAnsi="宋体" w:cs="宋体" w:eastAsia="宋体"/>
                      <w:sz w:val="21"/>
                    </w:rPr>
                    <w:t>D:0-59</w:t>
                  </w:r>
                </w:p>
              </w:tc>
              <w:tc>
                <w:tcPr>
                  <w:tcW w:type="dxa" w:w="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w:t>
                  </w:r>
                </w:p>
              </w:tc>
              <w:tc>
                <w:tcPr>
                  <w:tcW w:type="dxa" w:w="203"/>
                  <w:vMerge/>
                  <w:tcBorders>
                    <w:top w:val="none" w:color="000000" w:sz="4"/>
                    <w:left w:val="none" w:color="000000" w:sz="4"/>
                    <w:bottom w:val="single" w:color="000000" w:sz="4"/>
                    <w:right w:val="single" w:color="000000" w:sz="4"/>
                  </w:tcBorders>
                </w:tcPr>
                <w:p/>
              </w:tc>
              <w:tc>
                <w:tcPr>
                  <w:tcW w:type="dxa" w:w="148"/>
                  <w:vMerge/>
                  <w:tcBorders>
                    <w:top w:val="none" w:color="000000" w:sz="4"/>
                    <w:left w:val="none" w:color="000000" w:sz="4"/>
                    <w:bottom w:val="single" w:color="000000" w:sz="4"/>
                    <w:right w:val="single" w:color="000000" w:sz="4"/>
                  </w:tcBorders>
                </w:tcP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数据处理服务</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数据处理服务的完整性、及时性、准确性</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由于服务方原因，数据未能及时、准确的处理，每延迟</w:t>
                  </w:r>
                  <w:r>
                    <w:rPr>
                      <w:rFonts w:ascii="宋体" w:hAnsi="宋体" w:cs="宋体" w:eastAsia="宋体"/>
                      <w:sz w:val="21"/>
                    </w:rPr>
                    <w:t>1个工作日扣4分，总分100分。</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15</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每季度</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A:90-100</w:t>
                  </w:r>
                  <w:r>
                    <w:br/>
                  </w:r>
                  <w:r>
                    <w:rPr>
                      <w:rFonts w:ascii="宋体" w:hAnsi="宋体" w:cs="宋体" w:eastAsia="宋体"/>
                      <w:sz w:val="21"/>
                    </w:rPr>
                    <w:t>B:80-89</w:t>
                  </w:r>
                  <w:r>
                    <w:br/>
                  </w:r>
                  <w:r>
                    <w:rPr>
                      <w:rFonts w:ascii="宋体" w:hAnsi="宋体" w:cs="宋体" w:eastAsia="宋体"/>
                      <w:sz w:val="21"/>
                    </w:rPr>
                    <w:t>C:60-79</w:t>
                  </w:r>
                  <w:r>
                    <w:br/>
                  </w:r>
                  <w:r>
                    <w:rPr>
                      <w:rFonts w:ascii="宋体" w:hAnsi="宋体" w:cs="宋体" w:eastAsia="宋体"/>
                      <w:sz w:val="21"/>
                    </w:rPr>
                    <w:t>D:0-59</w:t>
                  </w:r>
                </w:p>
              </w:tc>
              <w:tc>
                <w:tcPr>
                  <w:tcW w:type="dxa" w:w="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w:t>
                  </w:r>
                </w:p>
              </w:tc>
              <w:tc>
                <w:tcPr>
                  <w:tcW w:type="dxa" w:w="203"/>
                  <w:vMerge/>
                  <w:tcBorders>
                    <w:top w:val="none" w:color="000000" w:sz="4"/>
                    <w:left w:val="none" w:color="000000" w:sz="4"/>
                    <w:bottom w:val="single" w:color="000000" w:sz="4"/>
                    <w:right w:val="single" w:color="000000" w:sz="4"/>
                  </w:tcBorders>
                </w:tcPr>
                <w:p/>
              </w:tc>
              <w:tc>
                <w:tcPr>
                  <w:tcW w:type="dxa" w:w="148"/>
                  <w:vMerge/>
                  <w:tcBorders>
                    <w:top w:val="none" w:color="000000" w:sz="4"/>
                    <w:left w:val="none" w:color="000000" w:sz="4"/>
                    <w:bottom w:val="single" w:color="000000" w:sz="4"/>
                    <w:right w:val="single" w:color="000000" w:sz="4"/>
                  </w:tcBorders>
                </w:tcP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日常运营服务</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日常运营服务的及时性</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由于运营服务方原因，未及时响应用户故障问题，并按规定时间解决问题每次扣</w:t>
                  </w:r>
                  <w:r>
                    <w:rPr>
                      <w:rFonts w:ascii="宋体" w:hAnsi="宋体" w:cs="宋体" w:eastAsia="宋体"/>
                      <w:sz w:val="21"/>
                    </w:rPr>
                    <w:t>2分，总分100分。</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20</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每季度</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A:90-100</w:t>
                  </w:r>
                  <w:r>
                    <w:br/>
                  </w:r>
                  <w:r>
                    <w:rPr>
                      <w:rFonts w:ascii="宋体" w:hAnsi="宋体" w:cs="宋体" w:eastAsia="宋体"/>
                      <w:sz w:val="21"/>
                    </w:rPr>
                    <w:t>B:80-89</w:t>
                  </w:r>
                  <w:r>
                    <w:br/>
                  </w:r>
                  <w:r>
                    <w:rPr>
                      <w:rFonts w:ascii="宋体" w:hAnsi="宋体" w:cs="宋体" w:eastAsia="宋体"/>
                      <w:sz w:val="21"/>
                    </w:rPr>
                    <w:t>C:60-79</w:t>
                  </w:r>
                  <w:r>
                    <w:br/>
                  </w:r>
                  <w:r>
                    <w:rPr>
                      <w:rFonts w:ascii="宋体" w:hAnsi="宋体" w:cs="宋体" w:eastAsia="宋体"/>
                      <w:sz w:val="21"/>
                    </w:rPr>
                    <w:t>D:0-59</w:t>
                  </w:r>
                </w:p>
              </w:tc>
              <w:tc>
                <w:tcPr>
                  <w:tcW w:type="dxa" w:w="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5</w:t>
                  </w:r>
                </w:p>
              </w:tc>
              <w:tc>
                <w:tcPr>
                  <w:tcW w:type="dxa" w:w="203"/>
                  <w:vMerge/>
                  <w:tcBorders>
                    <w:top w:val="none" w:color="000000" w:sz="4"/>
                    <w:left w:val="none" w:color="000000" w:sz="4"/>
                    <w:bottom w:val="single" w:color="000000" w:sz="4"/>
                    <w:right w:val="single" w:color="000000" w:sz="4"/>
                  </w:tcBorders>
                </w:tcPr>
                <w:p/>
              </w:tc>
              <w:tc>
                <w:tcPr>
                  <w:tcW w:type="dxa" w:w="148"/>
                  <w:vMerge/>
                  <w:tcBorders>
                    <w:top w:val="none" w:color="000000" w:sz="4"/>
                    <w:left w:val="none" w:color="000000" w:sz="4"/>
                    <w:bottom w:val="single" w:color="000000" w:sz="4"/>
                    <w:right w:val="single" w:color="000000" w:sz="4"/>
                  </w:tcBorders>
                </w:tcP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相关应用升级扩展服务</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根据政策变化、用户需求变更等的调整，进行相关应用升级扩展服务的及时性、合理性</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服务方可根据异地账户共济政策变化、用户需求变更等，及时、合理的对陕西省医保信息平台相关应用进行适应性的升级扩展，每次未响应扣</w:t>
                  </w:r>
                  <w:r>
                    <w:rPr>
                      <w:rFonts w:ascii="宋体" w:hAnsi="宋体" w:cs="宋体" w:eastAsia="宋体"/>
                      <w:sz w:val="21"/>
                    </w:rPr>
                    <w:t>1分，总分100分。</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20</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每季度</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A:90-100</w:t>
                  </w:r>
                  <w:r>
                    <w:br/>
                  </w:r>
                  <w:r>
                    <w:rPr>
                      <w:rFonts w:ascii="宋体" w:hAnsi="宋体" w:cs="宋体" w:eastAsia="宋体"/>
                      <w:sz w:val="21"/>
                    </w:rPr>
                    <w:t>B:80-89</w:t>
                  </w:r>
                  <w:r>
                    <w:br/>
                  </w:r>
                  <w:r>
                    <w:rPr>
                      <w:rFonts w:ascii="宋体" w:hAnsi="宋体" w:cs="宋体" w:eastAsia="宋体"/>
                      <w:sz w:val="21"/>
                    </w:rPr>
                    <w:t>C:60-79</w:t>
                  </w:r>
                  <w:r>
                    <w:br/>
                  </w:r>
                  <w:r>
                    <w:rPr>
                      <w:rFonts w:ascii="宋体" w:hAnsi="宋体" w:cs="宋体" w:eastAsia="宋体"/>
                      <w:sz w:val="21"/>
                    </w:rPr>
                    <w:t>D:0-59</w:t>
                  </w:r>
                </w:p>
              </w:tc>
              <w:tc>
                <w:tcPr>
                  <w:tcW w:type="dxa" w:w="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6</w:t>
                  </w:r>
                </w:p>
              </w:tc>
              <w:tc>
                <w:tcPr>
                  <w:tcW w:type="dxa" w:w="203"/>
                  <w:vMerge/>
                  <w:tcBorders>
                    <w:top w:val="none" w:color="000000" w:sz="4"/>
                    <w:left w:val="none" w:color="000000" w:sz="4"/>
                    <w:bottom w:val="single" w:color="000000" w:sz="4"/>
                    <w:right w:val="single" w:color="000000" w:sz="4"/>
                  </w:tcBorders>
                </w:tcP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用户满意度</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服务对象满意度</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考核期对使用支撑软件人员进行满意度，按满意，一般，不满意等级划分。</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按百分比模式进行，根据调研服务对象的数量，满意人员占比进行计算，全部人员满意为</w:t>
                  </w:r>
                  <w:r>
                    <w:rPr>
                      <w:rFonts w:ascii="宋体" w:hAnsi="宋体" w:cs="宋体" w:eastAsia="宋体"/>
                      <w:sz w:val="21"/>
                    </w:rPr>
                    <w:t>100分。</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10</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每季度</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A:90-100</w:t>
                  </w:r>
                  <w:r>
                    <w:br/>
                  </w:r>
                  <w:r>
                    <w:rPr>
                      <w:rFonts w:ascii="宋体" w:hAnsi="宋体" w:cs="宋体" w:eastAsia="宋体"/>
                      <w:sz w:val="21"/>
                    </w:rPr>
                    <w:t>B:80-89</w:t>
                  </w:r>
                  <w:r>
                    <w:br/>
                  </w:r>
                  <w:r>
                    <w:rPr>
                      <w:rFonts w:ascii="宋体" w:hAnsi="宋体" w:cs="宋体" w:eastAsia="宋体"/>
                      <w:sz w:val="21"/>
                    </w:rPr>
                    <w:t>C:60-79</w:t>
                  </w:r>
                  <w:r>
                    <w:br/>
                  </w:r>
                  <w:r>
                    <w:rPr>
                      <w:rFonts w:ascii="宋体" w:hAnsi="宋体" w:cs="宋体" w:eastAsia="宋体"/>
                      <w:sz w:val="21"/>
                    </w:rPr>
                    <w:t>D:0-59</w:t>
                  </w:r>
                </w:p>
              </w:tc>
              <w:tc>
                <w:tcPr>
                  <w:tcW w:type="dxa" w:w="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both"/>
            </w:pPr>
            <w:r>
              <w:rPr>
                <w:rFonts w:ascii="宋体" w:hAnsi="宋体" w:cs="宋体" w:eastAsia="宋体"/>
                <w:sz w:val="21"/>
                <w:b/>
              </w:rPr>
              <w:t>3.5.2</w:t>
            </w:r>
            <w:r>
              <w:rPr>
                <w:rFonts w:ascii="黑体" w:hAnsi="黑体" w:cs="黑体" w:eastAsia="黑体"/>
                <w:sz w:val="21"/>
                <w:b/>
              </w:rPr>
              <w:t>培训服务质量考核</w:t>
            </w:r>
          </w:p>
          <w:p>
            <w:pPr>
              <w:pStyle w:val="null3"/>
              <w:ind w:firstLine="420"/>
              <w:jc w:val="both"/>
            </w:pPr>
            <w:r>
              <w:rPr>
                <w:rFonts w:ascii="宋体" w:hAnsi="宋体" w:cs="宋体" w:eastAsia="宋体"/>
                <w:sz w:val="21"/>
              </w:rPr>
              <w:t>针对项目服务方进行考核：</w:t>
            </w:r>
          </w:p>
          <w:p>
            <w:pPr>
              <w:pStyle w:val="null3"/>
              <w:ind w:firstLine="420"/>
              <w:jc w:val="center"/>
            </w:pPr>
            <w:r>
              <w:rPr>
                <w:rFonts w:ascii="黑体" w:hAnsi="黑体" w:cs="黑体" w:eastAsia="黑体"/>
                <w:sz w:val="21"/>
              </w:rPr>
              <w:t>表</w:t>
            </w:r>
            <w:r>
              <w:rPr>
                <w:rFonts w:ascii="黑体" w:hAnsi="黑体" w:cs="黑体" w:eastAsia="黑体"/>
                <w:sz w:val="21"/>
              </w:rPr>
              <w:t xml:space="preserve">5-11 </w:t>
            </w:r>
            <w:r>
              <w:rPr>
                <w:rFonts w:ascii="黑体" w:hAnsi="黑体" w:cs="黑体" w:eastAsia="黑体"/>
                <w:sz w:val="21"/>
              </w:rPr>
              <w:t>培训服务考核评估指标体系表</w:t>
            </w:r>
          </w:p>
          <w:tbl>
            <w:tblPr>
              <w:tblBorders>
                <w:top w:val="none" w:color="000000" w:sz="4"/>
                <w:left w:val="none" w:color="000000" w:sz="4"/>
                <w:bottom w:val="none" w:color="000000" w:sz="4"/>
                <w:right w:val="none" w:color="000000" w:sz="4"/>
                <w:insideH w:val="none"/>
                <w:insideV w:val="none"/>
              </w:tblBorders>
            </w:tblPr>
            <w:tblGrid>
              <w:gridCol w:w="137"/>
              <w:gridCol w:w="198"/>
              <w:gridCol w:w="144"/>
              <w:gridCol w:w="217"/>
              <w:gridCol w:w="498"/>
              <w:gridCol w:w="563"/>
              <w:gridCol w:w="206"/>
              <w:gridCol w:w="137"/>
              <w:gridCol w:w="354"/>
              <w:gridCol w:w="97"/>
            </w:tblGrid>
            <w:tr>
              <w:tc>
                <w:tcPr>
                  <w:tcW w:type="dxa" w:w="1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序号</w:t>
                  </w:r>
                </w:p>
              </w:tc>
              <w:tc>
                <w:tcPr>
                  <w:tcW w:type="dxa" w:w="1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服务类别</w:t>
                  </w:r>
                </w:p>
              </w:tc>
              <w:tc>
                <w:tcPr>
                  <w:tcW w:type="dxa" w:w="1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考核类别</w:t>
                  </w:r>
                </w:p>
              </w:tc>
              <w:tc>
                <w:tcPr>
                  <w:tcW w:type="dxa" w:w="2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考核指标</w:t>
                  </w:r>
                </w:p>
              </w:tc>
              <w:tc>
                <w:tcPr>
                  <w:tcW w:type="dxa" w:w="4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考核指标说明</w:t>
                  </w:r>
                </w:p>
              </w:tc>
              <w:tc>
                <w:tcPr>
                  <w:tcW w:type="dxa" w:w="5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考核标准</w:t>
                  </w:r>
                </w:p>
              </w:tc>
              <w:tc>
                <w:tcPr>
                  <w:tcW w:type="dxa" w:w="2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指标权重</w:t>
                  </w:r>
                </w:p>
              </w:tc>
              <w:tc>
                <w:tcPr>
                  <w:tcW w:type="dxa" w:w="1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考核周期</w:t>
                  </w:r>
                </w:p>
              </w:tc>
              <w:tc>
                <w:tcPr>
                  <w:tcW w:type="dxa" w:w="3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分值</w:t>
                  </w:r>
                </w:p>
              </w:tc>
              <w:tc>
                <w:tcPr>
                  <w:tcW w:type="dxa" w:w="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得分</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19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培训服务</w:t>
                  </w:r>
                </w:p>
              </w:tc>
              <w:tc>
                <w:tcPr>
                  <w:tcW w:type="dxa" w:w="14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培训内容</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对应用部门各级系统应用人员的培训</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对应用部门各级系统应用人员的培训课程内容是否全面覆盖，结构清晰，逻辑性强，案例丰富，易于理解。</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按培训目标对应用部门各级系统应用人员进行培训，并对培训人员进行培训考核，以考核通过人员占比进行计算，全部通过为</w:t>
                  </w:r>
                  <w:r>
                    <w:rPr>
                      <w:rFonts w:ascii="宋体" w:hAnsi="宋体" w:cs="宋体" w:eastAsia="宋体"/>
                      <w:sz w:val="21"/>
                    </w:rPr>
                    <w:t>100分。</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35</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每次</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A:90-100</w:t>
                  </w:r>
                  <w:r>
                    <w:br/>
                  </w:r>
                  <w:r>
                    <w:rPr>
                      <w:rFonts w:ascii="宋体" w:hAnsi="宋体" w:cs="宋体" w:eastAsia="宋体"/>
                      <w:sz w:val="21"/>
                    </w:rPr>
                    <w:t>B:80-89</w:t>
                  </w:r>
                  <w:r>
                    <w:br/>
                  </w:r>
                  <w:r>
                    <w:rPr>
                      <w:rFonts w:ascii="宋体" w:hAnsi="宋体" w:cs="宋体" w:eastAsia="宋体"/>
                      <w:sz w:val="21"/>
                    </w:rPr>
                    <w:t>C:60-79</w:t>
                  </w:r>
                  <w:r>
                    <w:br/>
                  </w:r>
                  <w:r>
                    <w:rPr>
                      <w:rFonts w:ascii="宋体" w:hAnsi="宋体" w:cs="宋体" w:eastAsia="宋体"/>
                      <w:sz w:val="21"/>
                    </w:rPr>
                    <w:t>D:0-59</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w:t>
                  </w:r>
                </w:p>
              </w:tc>
              <w:tc>
                <w:tcPr>
                  <w:tcW w:type="dxa" w:w="198"/>
                  <w:vMerge/>
                  <w:tcBorders>
                    <w:top w:val="none" w:color="000000" w:sz="4"/>
                    <w:left w:val="none" w:color="000000" w:sz="4"/>
                    <w:bottom w:val="single" w:color="000000" w:sz="4"/>
                    <w:right w:val="single" w:color="000000" w:sz="4"/>
                  </w:tcBorders>
                </w:tcPr>
                <w:p/>
              </w:tc>
              <w:tc>
                <w:tcPr>
                  <w:tcW w:type="dxa" w:w="144"/>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关联协作系统技术人员培训</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关联协作系统技术人员对培训内容的理解程度和应用能力。</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按培训目标对关联协作系统技术人员进行培训，并对关联协作系统技术人员进行培训考核，以考核通过人员占比进行计算，全部通过为</w:t>
                  </w:r>
                  <w:r>
                    <w:rPr>
                      <w:rFonts w:ascii="宋体" w:hAnsi="宋体" w:cs="宋体" w:eastAsia="宋体"/>
                      <w:sz w:val="21"/>
                    </w:rPr>
                    <w:t>100分。</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35</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每次</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A:90-100</w:t>
                  </w:r>
                  <w:r>
                    <w:br/>
                  </w:r>
                  <w:r>
                    <w:rPr>
                      <w:rFonts w:ascii="宋体" w:hAnsi="宋体" w:cs="宋体" w:eastAsia="宋体"/>
                      <w:sz w:val="21"/>
                    </w:rPr>
                    <w:t>B:80-89</w:t>
                  </w:r>
                  <w:r>
                    <w:br/>
                  </w:r>
                  <w:r>
                    <w:rPr>
                      <w:rFonts w:ascii="宋体" w:hAnsi="宋体" w:cs="宋体" w:eastAsia="宋体"/>
                      <w:sz w:val="21"/>
                    </w:rPr>
                    <w:t>C:60-79</w:t>
                  </w:r>
                  <w:r>
                    <w:br/>
                  </w:r>
                  <w:r>
                    <w:rPr>
                      <w:rFonts w:ascii="宋体" w:hAnsi="宋体" w:cs="宋体" w:eastAsia="宋体"/>
                      <w:sz w:val="21"/>
                    </w:rPr>
                    <w:t>D:0-59</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w:t>
                  </w:r>
                </w:p>
              </w:tc>
              <w:tc>
                <w:tcPr>
                  <w:tcW w:type="dxa" w:w="198"/>
                  <w:vMerge/>
                  <w:tcBorders>
                    <w:top w:val="none" w:color="000000" w:sz="4"/>
                    <w:left w:val="none" w:color="000000" w:sz="4"/>
                    <w:bottom w:val="single" w:color="000000" w:sz="4"/>
                    <w:right w:val="single" w:color="000000" w:sz="4"/>
                  </w:tcBorders>
                </w:tcP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用户满意度</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受训对象满意度</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受训人员对培训内容、培训讲师、培训环境、培训资料等的满意度。</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按百分比模式进行，根据调研对象数量，满意人员占比进行计算，全部人员满意为</w:t>
                  </w:r>
                  <w:r>
                    <w:rPr>
                      <w:rFonts w:ascii="宋体" w:hAnsi="宋体" w:cs="宋体" w:eastAsia="宋体"/>
                      <w:sz w:val="21"/>
                    </w:rPr>
                    <w:t>100分。</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30</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每次</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A:90-100</w:t>
                  </w:r>
                  <w:r>
                    <w:br/>
                  </w:r>
                  <w:r>
                    <w:rPr>
                      <w:rFonts w:ascii="宋体" w:hAnsi="宋体" w:cs="宋体" w:eastAsia="宋体"/>
                      <w:sz w:val="21"/>
                    </w:rPr>
                    <w:t>B:80-89</w:t>
                  </w:r>
                  <w:r>
                    <w:br/>
                  </w:r>
                  <w:r>
                    <w:rPr>
                      <w:rFonts w:ascii="宋体" w:hAnsi="宋体" w:cs="宋体" w:eastAsia="宋体"/>
                      <w:sz w:val="21"/>
                    </w:rPr>
                    <w:t>C:60-79</w:t>
                  </w:r>
                  <w:r>
                    <w:br/>
                  </w:r>
                  <w:r>
                    <w:rPr>
                      <w:rFonts w:ascii="宋体" w:hAnsi="宋体" w:cs="宋体" w:eastAsia="宋体"/>
                      <w:sz w:val="21"/>
                    </w:rPr>
                    <w:t>D:0-59</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宋体" w:hAnsi="宋体" w:cs="宋体" w:eastAsia="宋体"/>
                <w:sz w:val="21"/>
                <w:b/>
              </w:rPr>
              <w:t>3.5.3</w:t>
            </w:r>
            <w:r>
              <w:rPr>
                <w:rFonts w:ascii="黑体" w:hAnsi="黑体" w:cs="黑体" w:eastAsia="黑体"/>
                <w:sz w:val="21"/>
                <w:b/>
              </w:rPr>
              <w:t>信息咨询服务质量考核</w:t>
            </w:r>
          </w:p>
          <w:p>
            <w:pPr>
              <w:pStyle w:val="null3"/>
              <w:ind w:firstLine="480"/>
            </w:pPr>
            <w:r>
              <w:rPr>
                <w:rFonts w:ascii="宋体" w:hAnsi="宋体" w:cs="宋体" w:eastAsia="宋体"/>
                <w:sz w:val="21"/>
              </w:rPr>
              <w:t>针对项目服务方进行考核：</w:t>
            </w:r>
          </w:p>
          <w:p>
            <w:pPr>
              <w:pStyle w:val="null3"/>
              <w:jc w:val="center"/>
            </w:pPr>
            <w:r>
              <w:rPr>
                <w:rFonts w:ascii="黑体" w:hAnsi="黑体" w:cs="黑体" w:eastAsia="黑体"/>
                <w:sz w:val="21"/>
              </w:rPr>
              <w:t>表</w:t>
            </w:r>
            <w:r>
              <w:rPr>
                <w:rFonts w:ascii="黑体" w:hAnsi="黑体" w:cs="黑体" w:eastAsia="黑体"/>
                <w:sz w:val="21"/>
              </w:rPr>
              <w:t>5-12</w:t>
            </w:r>
            <w:r>
              <w:rPr>
                <w:rFonts w:ascii="黑体" w:hAnsi="黑体" w:cs="黑体" w:eastAsia="黑体"/>
                <w:sz w:val="21"/>
              </w:rPr>
              <w:t>信息咨询服务考核评估指标体系表</w:t>
            </w:r>
          </w:p>
          <w:tbl>
            <w:tblPr>
              <w:tblBorders>
                <w:top w:val="none" w:color="000000" w:sz="4"/>
                <w:left w:val="none" w:color="000000" w:sz="4"/>
                <w:bottom w:val="none" w:color="000000" w:sz="4"/>
                <w:right w:val="none" w:color="000000" w:sz="4"/>
                <w:insideH w:val="none"/>
                <w:insideV w:val="none"/>
              </w:tblBorders>
            </w:tblPr>
            <w:tblGrid>
              <w:gridCol w:w="141"/>
              <w:gridCol w:w="181"/>
              <w:gridCol w:w="141"/>
              <w:gridCol w:w="318"/>
              <w:gridCol w:w="379"/>
              <w:gridCol w:w="643"/>
              <w:gridCol w:w="141"/>
              <w:gridCol w:w="141"/>
              <w:gridCol w:w="325"/>
              <w:gridCol w:w="141"/>
            </w:tblGrid>
            <w:tr>
              <w:tc>
                <w:tcPr>
                  <w:tcW w:type="dxa" w:w="1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序号</w:t>
                  </w:r>
                </w:p>
              </w:tc>
              <w:tc>
                <w:tcPr>
                  <w:tcW w:type="dxa" w:w="1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服务类别</w:t>
                  </w:r>
                </w:p>
              </w:tc>
              <w:tc>
                <w:tcPr>
                  <w:tcW w:type="dxa" w:w="1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考核类别</w:t>
                  </w:r>
                </w:p>
              </w:tc>
              <w:tc>
                <w:tcPr>
                  <w:tcW w:type="dxa" w:w="3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考核指标</w:t>
                  </w:r>
                </w:p>
              </w:tc>
              <w:tc>
                <w:tcPr>
                  <w:tcW w:type="dxa" w:w="3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考核指标说明</w:t>
                  </w:r>
                </w:p>
              </w:tc>
              <w:tc>
                <w:tcPr>
                  <w:tcW w:type="dxa" w:w="6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考核标准</w:t>
                  </w:r>
                </w:p>
              </w:tc>
              <w:tc>
                <w:tcPr>
                  <w:tcW w:type="dxa" w:w="1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指标权重</w:t>
                  </w:r>
                </w:p>
              </w:tc>
              <w:tc>
                <w:tcPr>
                  <w:tcW w:type="dxa" w:w="1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考核周期</w:t>
                  </w:r>
                </w:p>
              </w:tc>
              <w:tc>
                <w:tcPr>
                  <w:tcW w:type="dxa" w:w="3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分值</w:t>
                  </w:r>
                </w:p>
              </w:tc>
              <w:tc>
                <w:tcPr>
                  <w:tcW w:type="dxa" w:w="1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得分</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18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信息咨询服务</w:t>
                  </w:r>
                </w:p>
              </w:tc>
              <w:tc>
                <w:tcPr>
                  <w:tcW w:type="dxa" w:w="1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服务效率</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政策咨询</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在约定的响应时间内成功解决用户问题的比例。</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一次性实际解决的问题占所有问题的比率不低于</w:t>
                  </w:r>
                  <w:r>
                    <w:rPr>
                      <w:rFonts w:ascii="宋体" w:hAnsi="宋体" w:cs="宋体" w:eastAsia="宋体"/>
                      <w:sz w:val="21"/>
                    </w:rPr>
                    <w:t>95%，根据未达到比例进行相应扣减，满分100。</w:t>
                  </w:r>
                </w:p>
              </w:tc>
              <w:tc>
                <w:tcPr>
                  <w:tcW w:type="dxa" w:w="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20</w:t>
                  </w:r>
                </w:p>
              </w:tc>
              <w:tc>
                <w:tcPr>
                  <w:tcW w:type="dxa" w:w="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每季度</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A:90-100</w:t>
                  </w:r>
                  <w:r>
                    <w:br/>
                  </w:r>
                  <w:r>
                    <w:rPr>
                      <w:rFonts w:ascii="宋体" w:hAnsi="宋体" w:cs="宋体" w:eastAsia="宋体"/>
                      <w:sz w:val="21"/>
                    </w:rPr>
                    <w:t>B:80-89</w:t>
                  </w:r>
                  <w:r>
                    <w:br/>
                  </w:r>
                  <w:r>
                    <w:rPr>
                      <w:rFonts w:ascii="宋体" w:hAnsi="宋体" w:cs="宋体" w:eastAsia="宋体"/>
                      <w:sz w:val="21"/>
                    </w:rPr>
                    <w:t>C:60-79</w:t>
                  </w:r>
                  <w:r>
                    <w:br/>
                  </w:r>
                  <w:r>
                    <w:rPr>
                      <w:rFonts w:ascii="宋体" w:hAnsi="宋体" w:cs="宋体" w:eastAsia="宋体"/>
                      <w:sz w:val="21"/>
                    </w:rPr>
                    <w:t>D:0-59</w:t>
                  </w:r>
                </w:p>
              </w:tc>
              <w:tc>
                <w:tcPr>
                  <w:tcW w:type="dxa" w:w="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w:t>
                  </w:r>
                </w:p>
              </w:tc>
              <w:tc>
                <w:tcPr>
                  <w:tcW w:type="dxa" w:w="18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操作流程引导</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提供操作流程的详细程度、规范性、有效性。</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无法通过操作流程引导使用户业务办事效率提升的数量，产生投诉，每增加一个，扣</w:t>
                  </w:r>
                  <w:r>
                    <w:rPr>
                      <w:rFonts w:ascii="宋体" w:hAnsi="宋体" w:cs="宋体" w:eastAsia="宋体"/>
                      <w:sz w:val="21"/>
                    </w:rPr>
                    <w:t>2分，满分100分。</w:t>
                  </w:r>
                </w:p>
              </w:tc>
              <w:tc>
                <w:tcPr>
                  <w:tcW w:type="dxa" w:w="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20</w:t>
                  </w:r>
                </w:p>
              </w:tc>
              <w:tc>
                <w:tcPr>
                  <w:tcW w:type="dxa" w:w="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每季度</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A:90-100</w:t>
                  </w:r>
                  <w:r>
                    <w:br/>
                  </w:r>
                  <w:r>
                    <w:rPr>
                      <w:rFonts w:ascii="宋体" w:hAnsi="宋体" w:cs="宋体" w:eastAsia="宋体"/>
                      <w:sz w:val="21"/>
                    </w:rPr>
                    <w:t>B:80-89</w:t>
                  </w:r>
                  <w:r>
                    <w:br/>
                  </w:r>
                  <w:r>
                    <w:rPr>
                      <w:rFonts w:ascii="宋体" w:hAnsi="宋体" w:cs="宋体" w:eastAsia="宋体"/>
                      <w:sz w:val="21"/>
                    </w:rPr>
                    <w:t>C:60-79</w:t>
                  </w:r>
                  <w:r>
                    <w:br/>
                  </w:r>
                  <w:r>
                    <w:rPr>
                      <w:rFonts w:ascii="宋体" w:hAnsi="宋体" w:cs="宋体" w:eastAsia="宋体"/>
                      <w:sz w:val="21"/>
                    </w:rPr>
                    <w:t>D:0-59</w:t>
                  </w:r>
                </w:p>
              </w:tc>
              <w:tc>
                <w:tcPr>
                  <w:tcW w:type="dxa" w:w="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w:t>
                  </w:r>
                </w:p>
              </w:tc>
              <w:tc>
                <w:tcPr>
                  <w:tcW w:type="dxa" w:w="18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技术支持</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提供技术支持的及时性和准确性。</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按技术支持的及时性程度设定响应时间标准，如电话技术咨询</w:t>
                  </w:r>
                  <w:r>
                    <w:rPr>
                      <w:rFonts w:ascii="宋体" w:hAnsi="宋体" w:cs="宋体" w:eastAsia="宋体"/>
                      <w:sz w:val="21"/>
                    </w:rPr>
                    <w:t>10分钟内响应并准确答复；远程技术指导20分钟内响应并回复；现场技术指导1小时内容响应并回复。产生超时及投诉每个扣减2分，满分100分。</w:t>
                  </w:r>
                </w:p>
              </w:tc>
              <w:tc>
                <w:tcPr>
                  <w:tcW w:type="dxa" w:w="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20</w:t>
                  </w:r>
                </w:p>
              </w:tc>
              <w:tc>
                <w:tcPr>
                  <w:tcW w:type="dxa" w:w="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每季度</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A:90-100</w:t>
                  </w:r>
                  <w:r>
                    <w:br/>
                  </w:r>
                  <w:r>
                    <w:rPr>
                      <w:rFonts w:ascii="宋体" w:hAnsi="宋体" w:cs="宋体" w:eastAsia="宋体"/>
                      <w:sz w:val="21"/>
                    </w:rPr>
                    <w:t>B:80-89</w:t>
                  </w:r>
                  <w:r>
                    <w:br/>
                  </w:r>
                  <w:r>
                    <w:rPr>
                      <w:rFonts w:ascii="宋体" w:hAnsi="宋体" w:cs="宋体" w:eastAsia="宋体"/>
                      <w:sz w:val="21"/>
                    </w:rPr>
                    <w:t>C:60-79</w:t>
                  </w:r>
                  <w:r>
                    <w:br/>
                  </w:r>
                  <w:r>
                    <w:rPr>
                      <w:rFonts w:ascii="宋体" w:hAnsi="宋体" w:cs="宋体" w:eastAsia="宋体"/>
                      <w:sz w:val="21"/>
                    </w:rPr>
                    <w:t>D:0-59</w:t>
                  </w:r>
                </w:p>
              </w:tc>
              <w:tc>
                <w:tcPr>
                  <w:tcW w:type="dxa" w:w="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w:t>
                  </w:r>
                </w:p>
              </w:tc>
              <w:tc>
                <w:tcPr>
                  <w:tcW w:type="dxa" w:w="18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疑难问题解答</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用户提出问题到首次回复的时间间隔。</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按咨询疑难问题的紧急程度设定响应时间标准，如常规问题</w:t>
                  </w:r>
                  <w:r>
                    <w:rPr>
                      <w:rFonts w:ascii="宋体" w:hAnsi="宋体" w:cs="宋体" w:eastAsia="宋体"/>
                      <w:sz w:val="21"/>
                    </w:rPr>
                    <w:t>0.5小时内回复并解决，紧急问题2小时内回复并解决。若超时或产生投诉每个扣减2分，满分100分。</w:t>
                  </w:r>
                </w:p>
              </w:tc>
              <w:tc>
                <w:tcPr>
                  <w:tcW w:type="dxa" w:w="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20</w:t>
                  </w:r>
                </w:p>
              </w:tc>
              <w:tc>
                <w:tcPr>
                  <w:tcW w:type="dxa" w:w="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每季度</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A:90-100</w:t>
                  </w:r>
                  <w:r>
                    <w:br/>
                  </w:r>
                  <w:r>
                    <w:rPr>
                      <w:rFonts w:ascii="宋体" w:hAnsi="宋体" w:cs="宋体" w:eastAsia="宋体"/>
                      <w:sz w:val="21"/>
                    </w:rPr>
                    <w:t>B:80-89</w:t>
                  </w:r>
                  <w:r>
                    <w:br/>
                  </w:r>
                  <w:r>
                    <w:rPr>
                      <w:rFonts w:ascii="宋体" w:hAnsi="宋体" w:cs="宋体" w:eastAsia="宋体"/>
                      <w:sz w:val="21"/>
                    </w:rPr>
                    <w:t>C:60-79</w:t>
                  </w:r>
                  <w:r>
                    <w:br/>
                  </w:r>
                  <w:r>
                    <w:rPr>
                      <w:rFonts w:ascii="宋体" w:hAnsi="宋体" w:cs="宋体" w:eastAsia="宋体"/>
                      <w:sz w:val="21"/>
                    </w:rPr>
                    <w:t>D:0-59</w:t>
                  </w:r>
                </w:p>
              </w:tc>
              <w:tc>
                <w:tcPr>
                  <w:tcW w:type="dxa" w:w="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5</w:t>
                  </w:r>
                </w:p>
              </w:tc>
              <w:tc>
                <w:tcPr>
                  <w:tcW w:type="dxa" w:w="181"/>
                  <w:vMerge/>
                  <w:tcBorders>
                    <w:top w:val="none" w:color="000000" w:sz="4"/>
                    <w:left w:val="none" w:color="000000" w:sz="4"/>
                    <w:bottom w:val="single" w:color="000000" w:sz="4"/>
                    <w:right w:val="single" w:color="000000" w:sz="4"/>
                  </w:tcBorders>
                </w:tcPr>
                <w:p/>
              </w:tc>
              <w:tc>
                <w:tcPr>
                  <w:tcW w:type="dxa" w:w="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用户满意度</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服务对象满意度</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考核期对项目服务对象满意度进行调研，按满意，一般，不满意等级划分。</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按百分比模式进行，根据调研对象数量，满意人员占比进行计算，全部人员满意为</w:t>
                  </w:r>
                  <w:r>
                    <w:rPr>
                      <w:rFonts w:ascii="宋体" w:hAnsi="宋体" w:cs="宋体" w:eastAsia="宋体"/>
                      <w:sz w:val="21"/>
                    </w:rPr>
                    <w:t>100分。</w:t>
                  </w:r>
                </w:p>
              </w:tc>
              <w:tc>
                <w:tcPr>
                  <w:tcW w:type="dxa" w:w="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20</w:t>
                  </w:r>
                </w:p>
              </w:tc>
              <w:tc>
                <w:tcPr>
                  <w:tcW w:type="dxa" w:w="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每季度</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A:90-100</w:t>
                  </w:r>
                  <w:r>
                    <w:br/>
                  </w:r>
                  <w:r>
                    <w:rPr>
                      <w:rFonts w:ascii="宋体" w:hAnsi="宋体" w:cs="宋体" w:eastAsia="宋体"/>
                      <w:sz w:val="21"/>
                    </w:rPr>
                    <w:t>B:80-89</w:t>
                  </w:r>
                  <w:r>
                    <w:br/>
                  </w:r>
                  <w:r>
                    <w:rPr>
                      <w:rFonts w:ascii="宋体" w:hAnsi="宋体" w:cs="宋体" w:eastAsia="宋体"/>
                      <w:sz w:val="21"/>
                    </w:rPr>
                    <w:t>C:60-79</w:t>
                  </w:r>
                  <w:r>
                    <w:br/>
                  </w:r>
                  <w:r>
                    <w:rPr>
                      <w:rFonts w:ascii="宋体" w:hAnsi="宋体" w:cs="宋体" w:eastAsia="宋体"/>
                      <w:sz w:val="21"/>
                    </w:rPr>
                    <w:t>D:0-59</w:t>
                  </w:r>
                </w:p>
              </w:tc>
              <w:tc>
                <w:tcPr>
                  <w:tcW w:type="dxa" w:w="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both"/>
            </w:pPr>
            <w:r>
              <w:rPr>
                <w:rFonts w:ascii="&quot;times new roman&quot;" w:hAnsi="&quot;times new roman&quot;" w:cs="&quot;times new roman&quot;" w:eastAsia="&quot;times new roman&quot;"/>
                <w:sz w:val="21"/>
              </w:rPr>
              <w:t xml:space="preserve"> </w:t>
            </w:r>
          </w:p>
          <w:p>
            <w:pPr>
              <w:pStyle w:val="null3"/>
              <w:jc w:val="both"/>
            </w:pPr>
            <w:r>
              <w:rPr>
                <w:rFonts w:ascii="宋体" w:hAnsi="宋体" w:cs="宋体" w:eastAsia="宋体"/>
                <w:sz w:val="21"/>
                <w:b/>
              </w:rPr>
              <w:t>3.6</w:t>
            </w:r>
            <w:r>
              <w:rPr>
                <w:rFonts w:ascii="黑体" w:hAnsi="黑体" w:cs="黑体" w:eastAsia="黑体"/>
                <w:sz w:val="21"/>
                <w:b/>
              </w:rPr>
              <w:t>其他服务要求</w:t>
            </w:r>
          </w:p>
          <w:p>
            <w:pPr>
              <w:pStyle w:val="null3"/>
              <w:jc w:val="both"/>
            </w:pPr>
            <w:r>
              <w:rPr>
                <w:rFonts w:ascii="宋体" w:hAnsi="宋体" w:cs="宋体" w:eastAsia="宋体"/>
                <w:sz w:val="21"/>
              </w:rPr>
              <w:t>驻场服务：本项目需提供不少于</w:t>
            </w:r>
            <w:r>
              <w:rPr>
                <w:rFonts w:ascii="&quot;times new roman&quot;" w:hAnsi="&quot;times new roman&quot;" w:cs="&quot;times new roman&quot;" w:eastAsia="&quot;times new roman&quot;"/>
                <w:sz w:val="21"/>
              </w:rPr>
              <w:t>3</w:t>
            </w:r>
            <w:r>
              <w:rPr>
                <w:rFonts w:ascii="宋体" w:hAnsi="宋体" w:cs="宋体" w:eastAsia="宋体"/>
                <w:sz w:val="21"/>
              </w:rPr>
              <w:t>人的服务人员以保证项目运行。</w:t>
            </w:r>
          </w:p>
          <w:p>
            <w:pPr>
              <w:pStyle w:val="null3"/>
              <w:jc w:val="both"/>
            </w:pPr>
          </w:p>
        </w:tc>
      </w:tr>
    </w:tbl>
    <w:p>
      <w:pPr>
        <w:pStyle w:val="null3"/>
        <w:outlineLvl w:val="2"/>
      </w:pPr>
      <w:r>
        <w:rPr>
          <w:sz w:val="28"/>
          <w:b/>
        </w:rPr>
        <w:t>3.2.3人员配置要求</w:t>
      </w:r>
    </w:p>
    <w:p>
      <w:pPr>
        <w:pStyle w:val="null3"/>
      </w:pPr>
      <w:r>
        <w:rPr/>
        <w:t>采购包1：</w:t>
      </w:r>
    </w:p>
    <w:p>
      <w:pPr>
        <w:pStyle w:val="null3"/>
      </w:pPr>
      <w:r>
        <w:rPr/>
        <w:t>满足项目所需要求</w:t>
      </w:r>
    </w:p>
    <w:p>
      <w:pPr>
        <w:pStyle w:val="null3"/>
        <w:outlineLvl w:val="2"/>
      </w:pPr>
      <w:r>
        <w:rPr>
          <w:sz w:val="28"/>
          <w:b/>
        </w:rPr>
        <w:t>3.2.4设施设备要求</w:t>
      </w:r>
    </w:p>
    <w:p>
      <w:pPr>
        <w:pStyle w:val="null3"/>
      </w:pPr>
      <w:r>
        <w:rPr/>
        <w:t>采购包1：</w:t>
      </w:r>
    </w:p>
    <w:p>
      <w:pPr>
        <w:pStyle w:val="null3"/>
      </w:pPr>
      <w:r>
        <w:rPr/>
        <w:t>满足项目所需要求</w:t>
      </w:r>
    </w:p>
    <w:p>
      <w:pPr>
        <w:pStyle w:val="null3"/>
        <w:outlineLvl w:val="2"/>
      </w:pPr>
      <w:r>
        <w:rPr>
          <w:sz w:val="28"/>
          <w:b/>
        </w:rPr>
        <w:t>3.2.5其他要求</w:t>
      </w:r>
    </w:p>
    <w:p>
      <w:pPr>
        <w:pStyle w:val="null3"/>
      </w:pPr>
      <w:r>
        <w:rPr/>
        <w:t>采购包1：</w:t>
      </w:r>
    </w:p>
    <w:p>
      <w:pPr>
        <w:pStyle w:val="null3"/>
      </w:pPr>
      <w:r>
        <w:rPr/>
        <w:t>/</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本项目整体服务期限为1年，包括完成平台运营服务、培训服务和信息咨询服务，以及支撑工具软件的开发、部署及试运行工作。服务期从合同签订之日起开始计算。</w:t>
      </w:r>
    </w:p>
    <w:p>
      <w:pPr>
        <w:pStyle w:val="null3"/>
        <w:outlineLvl w:val="3"/>
      </w:pPr>
      <w:r>
        <w:rPr>
          <w:sz w:val="24"/>
          <w:b/>
        </w:rPr>
        <w:t>3.3.2服务地点</w:t>
      </w:r>
    </w:p>
    <w:p>
      <w:pPr>
        <w:pStyle w:val="null3"/>
      </w:pPr>
      <w:r>
        <w:rPr/>
        <w:t>采购包1：</w:t>
      </w:r>
    </w:p>
    <w:p>
      <w:pPr>
        <w:pStyle w:val="null3"/>
      </w:pPr>
      <w:r>
        <w:rPr/>
        <w:t>陕西省医疗保障技术服务中心</w:t>
      </w:r>
    </w:p>
    <w:p>
      <w:pPr>
        <w:pStyle w:val="null3"/>
        <w:outlineLvl w:val="3"/>
      </w:pPr>
      <w:r>
        <w:rPr>
          <w:sz w:val="24"/>
          <w:b/>
        </w:rPr>
        <w:t>3.3.3考核（验收）标准和方法</w:t>
      </w:r>
    </w:p>
    <w:p>
      <w:pPr>
        <w:pStyle w:val="null3"/>
      </w:pPr>
      <w:r>
        <w:rPr/>
        <w:t>采购包1：</w:t>
      </w:r>
    </w:p>
    <w:p>
      <w:pPr>
        <w:pStyle w:val="null3"/>
      </w:pPr>
      <w:r>
        <w:rPr/>
        <w:t>/</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初验合格后并符合前期服务考核要求</w:t>
      </w:r>
      <w:r>
        <w:rPr/>
        <w:t xml:space="preserve"> ，达到付款条件起 </w:t>
      </w:r>
      <w:r>
        <w:rPr/>
        <w:t>30</w:t>
      </w:r>
      <w:r>
        <w:rPr/>
        <w:t xml:space="preserve"> 日内，支付合同总金额的 </w:t>
      </w:r>
      <w:r>
        <w:rPr/>
        <w:t>60.00</w:t>
      </w:r>
      <w:r>
        <w:rPr/>
        <w:t>%。</w:t>
      </w:r>
    </w:p>
    <w:p>
      <w:pPr>
        <w:pStyle w:val="null3"/>
      </w:pPr>
      <w:r>
        <w:rPr/>
        <w:t>采购包1：</w:t>
      </w:r>
      <w:r>
        <w:rPr/>
        <w:t xml:space="preserve"> 付款条件说明： </w:t>
      </w:r>
      <w:r>
        <w:rPr/>
        <w:t>终验合格后并符合前期服务考核要求</w:t>
      </w:r>
      <w:r>
        <w:rPr/>
        <w:t xml:space="preserve"> ，达到付款条件起 </w:t>
      </w:r>
      <w:r>
        <w:rPr/>
        <w:t>30</w:t>
      </w:r>
      <w:r>
        <w:rPr/>
        <w:t xml:space="preserve"> 日内，支付合同总金额的 </w:t>
      </w:r>
      <w:r>
        <w:rPr/>
        <w:t>40.00</w:t>
      </w:r>
      <w:r>
        <w:rPr/>
        <w:t>%。</w:t>
      </w:r>
    </w:p>
    <w:p>
      <w:pPr>
        <w:pStyle w:val="null3"/>
        <w:outlineLvl w:val="3"/>
      </w:pPr>
      <w:r>
        <w:rPr>
          <w:sz w:val="24"/>
          <w:b/>
        </w:rPr>
        <w:t>3.3.6违约责任及解决争议的方法</w:t>
      </w:r>
    </w:p>
    <w:p>
      <w:pPr>
        <w:pStyle w:val="null3"/>
      </w:pPr>
      <w:r>
        <w:rPr/>
        <w:t>采购包1：</w:t>
      </w:r>
    </w:p>
    <w:p>
      <w:pPr>
        <w:pStyle w:val="null3"/>
      </w:pPr>
      <w:r>
        <w:rPr/>
        <w:t>/</w:t>
      </w:r>
    </w:p>
    <w:p>
      <w:pPr>
        <w:pStyle w:val="null3"/>
        <w:outlineLvl w:val="2"/>
      </w:pPr>
      <w:r>
        <w:rPr>
          <w:sz w:val="28"/>
          <w:b/>
        </w:rPr>
        <w:t>3.4其他要求</w:t>
      </w:r>
    </w:p>
    <w:p>
      <w:pPr>
        <w:pStyle w:val="null3"/>
      </w:pPr>
      <w:r>
        <w:rPr/>
        <w:t>/</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响应文件封面 服务内容及服务邀请应答表 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服务内容及服务邀请应答表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有效的主体资格证明</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响应文件递交截止日前一年内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社会保障资金缴存证明</w:t>
            </w:r>
          </w:p>
        </w:tc>
        <w:tc>
          <w:tcPr>
            <w:tcW w:type="dxa" w:w="3322"/>
          </w:tcPr>
          <w:p>
            <w:pPr>
              <w:pStyle w:val="null3"/>
            </w:pPr>
            <w:r>
              <w:rPr/>
              <w:t>提供响应文件递交截止日前一年内已缴存的至少一个月的社会保障资金缴存单据或社保机构开具的社会保险参保缴费情况证明，依法不需要缴存社会保障资金的单位应提供相关证明材料。</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具有履行合同所必需的设备和专业技术能力的承诺函</w:t>
            </w:r>
          </w:p>
        </w:tc>
        <w:tc>
          <w:tcPr>
            <w:tcW w:type="dxa" w:w="3322"/>
          </w:tcPr>
          <w:p>
            <w:pPr>
              <w:pStyle w:val="null3"/>
            </w:pPr>
            <w:r>
              <w:rPr/>
              <w:t>提供具有履行合同所必需的设备和专业技术能力的承诺函。</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法定代表人授权书</w:t>
            </w:r>
          </w:p>
        </w:tc>
        <w:tc>
          <w:tcPr>
            <w:tcW w:type="dxa" w:w="3322"/>
          </w:tcPr>
          <w:p>
            <w:pPr>
              <w:pStyle w:val="null3"/>
            </w:pPr>
            <w:r>
              <w:rPr/>
              <w:t>法定代表人授权书及被授权人身份证明。（法定代表人直接投标只须提交其身份证明）</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联合体投标</w:t>
            </w:r>
          </w:p>
        </w:tc>
        <w:tc>
          <w:tcPr>
            <w:tcW w:type="dxa" w:w="3322"/>
          </w:tcPr>
          <w:p>
            <w:pPr>
              <w:pStyle w:val="null3"/>
            </w:pPr>
            <w:r>
              <w:rPr/>
              <w:t>本项目不接受联合体投标。</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响应文件中的项目名称、项目编号</w:t>
            </w:r>
          </w:p>
        </w:tc>
        <w:tc>
          <w:tcPr>
            <w:tcW w:type="dxa" w:w="3322"/>
          </w:tcPr>
          <w:p>
            <w:pPr>
              <w:pStyle w:val="null3"/>
            </w:pPr>
            <w:r>
              <w:rPr/>
              <w:t>与所投项目名称、项目编号完全一致</w:t>
            </w:r>
          </w:p>
        </w:tc>
        <w:tc>
          <w:tcPr>
            <w:tcW w:type="dxa" w:w="1661"/>
          </w:tcPr>
          <w:p>
            <w:pPr>
              <w:pStyle w:val="null3"/>
            </w:pPr>
            <w:r>
              <w:rPr/>
              <w:t>响应文件封面</w:t>
            </w:r>
          </w:p>
        </w:tc>
      </w:tr>
      <w:tr>
        <w:tc>
          <w:tcPr>
            <w:tcW w:type="dxa" w:w="831"/>
          </w:tcPr>
          <w:p>
            <w:pPr>
              <w:pStyle w:val="null3"/>
            </w:pPr>
            <w:r>
              <w:rPr/>
              <w:t>3</w:t>
            </w:r>
          </w:p>
        </w:tc>
        <w:tc>
          <w:tcPr>
            <w:tcW w:type="dxa" w:w="2492"/>
          </w:tcPr>
          <w:p>
            <w:pPr>
              <w:pStyle w:val="null3"/>
            </w:pPr>
            <w:r>
              <w:rPr/>
              <w:t>响应文件的签署盖章</w:t>
            </w:r>
          </w:p>
        </w:tc>
        <w:tc>
          <w:tcPr>
            <w:tcW w:type="dxa" w:w="3322"/>
          </w:tcPr>
          <w:p>
            <w:pPr>
              <w:pStyle w:val="null3"/>
            </w:pPr>
            <w:r>
              <w:rPr/>
              <w:t>符合磋商文件签署盖章要求</w:t>
            </w:r>
          </w:p>
        </w:tc>
        <w:tc>
          <w:tcPr>
            <w:tcW w:type="dxa" w:w="1661"/>
          </w:tcPr>
          <w:p>
            <w:pPr>
              <w:pStyle w:val="null3"/>
            </w:pPr>
            <w:r>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t>4</w:t>
            </w:r>
          </w:p>
        </w:tc>
        <w:tc>
          <w:tcPr>
            <w:tcW w:type="dxa" w:w="2492"/>
          </w:tcPr>
          <w:p>
            <w:pPr>
              <w:pStyle w:val="null3"/>
            </w:pPr>
            <w:r>
              <w:rPr/>
              <w:t>响应文件的计量单位、语言、报价 货币</w:t>
            </w:r>
          </w:p>
        </w:tc>
        <w:tc>
          <w:tcPr>
            <w:tcW w:type="dxa" w:w="3322"/>
          </w:tcPr>
          <w:p>
            <w:pPr>
              <w:pStyle w:val="null3"/>
            </w:pPr>
            <w:r>
              <w:rPr/>
              <w:t>计量单位、语言、报价货币符合磋商文件规定</w:t>
            </w:r>
          </w:p>
        </w:tc>
        <w:tc>
          <w:tcPr>
            <w:tcW w:type="dxa" w:w="1661"/>
          </w:tcPr>
          <w:p>
            <w:pPr>
              <w:pStyle w:val="null3"/>
            </w:pPr>
            <w:r>
              <w:rPr/>
              <w:t>标的清单 报价表</w:t>
            </w:r>
          </w:p>
        </w:tc>
      </w:tr>
      <w:tr>
        <w:tc>
          <w:tcPr>
            <w:tcW w:type="dxa" w:w="831"/>
          </w:tcPr>
          <w:p>
            <w:pPr>
              <w:pStyle w:val="null3"/>
            </w:pPr>
            <w:r>
              <w:rPr/>
              <w:t>5</w:t>
            </w:r>
          </w:p>
        </w:tc>
        <w:tc>
          <w:tcPr>
            <w:tcW w:type="dxa" w:w="2492"/>
          </w:tcPr>
          <w:p>
            <w:pPr>
              <w:pStyle w:val="null3"/>
            </w:pPr>
            <w:r>
              <w:rPr/>
              <w:t>投标报价</w:t>
            </w:r>
          </w:p>
        </w:tc>
        <w:tc>
          <w:tcPr>
            <w:tcW w:type="dxa" w:w="3322"/>
          </w:tcPr>
          <w:p>
            <w:pPr>
              <w:pStyle w:val="null3"/>
            </w:pPr>
            <w:r>
              <w:rPr/>
              <w:t>投标报价唯一，未超出采购预算或磋商文件规定的最高限价</w:t>
            </w:r>
          </w:p>
        </w:tc>
        <w:tc>
          <w:tcPr>
            <w:tcW w:type="dxa" w:w="1661"/>
          </w:tcPr>
          <w:p>
            <w:pPr>
              <w:pStyle w:val="null3"/>
            </w:pPr>
            <w:r>
              <w:rPr/>
              <w:t>标的清单 报价表</w:t>
            </w:r>
          </w:p>
        </w:tc>
      </w:tr>
      <w:tr>
        <w:tc>
          <w:tcPr>
            <w:tcW w:type="dxa" w:w="831"/>
          </w:tcPr>
          <w:p>
            <w:pPr>
              <w:pStyle w:val="null3"/>
            </w:pPr>
            <w:r>
              <w:rPr/>
              <w:t>6</w:t>
            </w:r>
          </w:p>
        </w:tc>
        <w:tc>
          <w:tcPr>
            <w:tcW w:type="dxa" w:w="2492"/>
          </w:tcPr>
          <w:p>
            <w:pPr>
              <w:pStyle w:val="null3"/>
            </w:pPr>
            <w:r>
              <w:rPr/>
              <w:t>投标文件关键内容</w:t>
            </w:r>
          </w:p>
        </w:tc>
        <w:tc>
          <w:tcPr>
            <w:tcW w:type="dxa" w:w="3322"/>
          </w:tcPr>
          <w:p>
            <w:pPr>
              <w:pStyle w:val="null3"/>
            </w:pPr>
            <w:r>
              <w:rPr/>
              <w:t>关键内容未出现字迹模糊或无法辨认的</w:t>
            </w:r>
          </w:p>
        </w:tc>
        <w:tc>
          <w:tcPr>
            <w:tcW w:type="dxa" w:w="1661"/>
          </w:tcPr>
          <w:p>
            <w:pPr>
              <w:pStyle w:val="null3"/>
            </w:pPr>
            <w:r>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t>7</w:t>
            </w:r>
          </w:p>
        </w:tc>
        <w:tc>
          <w:tcPr>
            <w:tcW w:type="dxa" w:w="2492"/>
          </w:tcPr>
          <w:p>
            <w:pPr>
              <w:pStyle w:val="null3"/>
            </w:pPr>
            <w:r>
              <w:rPr/>
              <w:t>服务期</w:t>
            </w:r>
          </w:p>
        </w:tc>
        <w:tc>
          <w:tcPr>
            <w:tcW w:type="dxa" w:w="3322"/>
          </w:tcPr>
          <w:p>
            <w:pPr>
              <w:pStyle w:val="null3"/>
            </w:pPr>
            <w:r>
              <w:rPr/>
              <w:t>符合竞争性磋商文件要求</w:t>
            </w:r>
          </w:p>
        </w:tc>
        <w:tc>
          <w:tcPr>
            <w:tcW w:type="dxa" w:w="1661"/>
          </w:tcPr>
          <w:p>
            <w:pPr>
              <w:pStyle w:val="null3"/>
            </w:pPr>
            <w:r>
              <w:rPr/>
              <w:t>标的清单 报价表 响应函</w:t>
            </w:r>
          </w:p>
        </w:tc>
      </w:tr>
      <w:tr>
        <w:tc>
          <w:tcPr>
            <w:tcW w:type="dxa" w:w="831"/>
          </w:tcPr>
          <w:p>
            <w:pPr>
              <w:pStyle w:val="null3"/>
            </w:pPr>
            <w:r>
              <w:rPr/>
              <w:t>8</w:t>
            </w:r>
          </w:p>
        </w:tc>
        <w:tc>
          <w:tcPr>
            <w:tcW w:type="dxa" w:w="2492"/>
          </w:tcPr>
          <w:p>
            <w:pPr>
              <w:pStyle w:val="null3"/>
            </w:pPr>
            <w:r>
              <w:rPr/>
              <w:t>磋商有效期</w:t>
            </w:r>
          </w:p>
        </w:tc>
        <w:tc>
          <w:tcPr>
            <w:tcW w:type="dxa" w:w="3322"/>
          </w:tcPr>
          <w:p>
            <w:pPr>
              <w:pStyle w:val="null3"/>
            </w:pPr>
            <w:r>
              <w:rPr/>
              <w:t>文件递交截止之日后90日历日。</w:t>
            </w:r>
          </w:p>
        </w:tc>
        <w:tc>
          <w:tcPr>
            <w:tcW w:type="dxa" w:w="1661"/>
          </w:tcPr>
          <w:p>
            <w:pPr>
              <w:pStyle w:val="null3"/>
            </w:pPr>
            <w:r>
              <w:rPr/>
              <w:t>响应函</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项目理解</w:t>
            </w:r>
          </w:p>
        </w:tc>
        <w:tc>
          <w:tcPr>
            <w:tcW w:type="dxa" w:w="2492"/>
          </w:tcPr>
          <w:p>
            <w:pPr>
              <w:pStyle w:val="null3"/>
            </w:pPr>
            <w:r>
              <w:rPr/>
              <w:t>根据供应商对本项目建设背景、建设目标、业务需求及建设依据的理解情况进行赋分。 1、对本项目的背景分析全面、准确，项目目标及工作内容贴合项目采购需求，计10分； 2、对本项目的背景分析较全面、准确，项目目标及工作内容较能贴合项目采购需求，计8分； 3、对本项目的背景分析全面性、准确性一般，项目目标及工作内容基本能满足项目采购需求，计6分； 4、对本项目的背景分析简单，项目目标及工作内容不清晰，计4分； 5、对本项目的背景分析不足，项目目标及工作内容与采购需求偏差较大，计2分； 4、未提供的计0分。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服务方案</w:t>
            </w:r>
          </w:p>
        </w:tc>
        <w:tc>
          <w:tcPr>
            <w:tcW w:type="dxa" w:w="2492"/>
          </w:tcPr>
          <w:p>
            <w:pPr>
              <w:pStyle w:val="null3"/>
            </w:pPr>
            <w:r>
              <w:rPr/>
              <w:t>供应商根据本项目需求对数据入库流程提供详细、准确、合理的服务方案。 1、服务方案合理、针对性强、架构清晰完整，计10分； 2、服务方案较合理、针对性较强、架构比较清晰完整，计8分； 3、服务方案基本合理、针对性一般、架构基本清晰，计6分； 4、服务方案具有合理性但针对性不强、架构不够清晰，计4分； 5、服务方案合理性及针对性较差、架构模糊，计2分； 6、未提供方案计0分。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平台运维方案</w:t>
            </w:r>
          </w:p>
        </w:tc>
        <w:tc>
          <w:tcPr>
            <w:tcW w:type="dxa" w:w="2492"/>
          </w:tcPr>
          <w:p>
            <w:pPr>
              <w:pStyle w:val="null3"/>
            </w:pPr>
            <w:r>
              <w:rPr/>
              <w:t>供应商根据本项目需求对平台运维方案进行评审，提供详实、准确的平台运维方案。 1、方案合理、针对性强、架构清晰完整，计10分； 2、方案较合理、针对性较强、架构比较清晰完整，计8分； 3、方案基本合理、针对性一般、架构基本清晰，计6分； 4、方案合理性一般、针对性不强、架构不够清晰，计4分； 5、方案合理性、针对性较差、架构模糊，计2分； 6、未提供方案计0分。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进度控制、质量保障及安全管理</w:t>
            </w:r>
          </w:p>
        </w:tc>
        <w:tc>
          <w:tcPr>
            <w:tcW w:type="dxa" w:w="2492"/>
          </w:tcPr>
          <w:p>
            <w:pPr>
              <w:pStyle w:val="null3"/>
            </w:pPr>
            <w:r>
              <w:rPr/>
              <w:t>对项目进度控制、质量保障、安全管理提供合理可行的实施方案。 1、方案内容完整、科学合理、针对性、可操作性强，计10分； 2、方案内容较完整、合理，针对性、可操作性较强，计8分； 3、方案内容基本完整、合理、针对性、可操作性一般，计6分； 4、方案内容简单，具有一定合理性及可操作性，但不具备针对性，计4分； 5、服务方案内容欠缺，合理性及可操作性较差，不利于项目实施，计2分； 6、未提供方案计0分。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实施组织机构</w:t>
            </w:r>
          </w:p>
        </w:tc>
        <w:tc>
          <w:tcPr>
            <w:tcW w:type="dxa" w:w="2492"/>
          </w:tcPr>
          <w:p>
            <w:pPr>
              <w:pStyle w:val="null3"/>
            </w:pPr>
            <w:r>
              <w:rPr/>
              <w:t>针对本项目有具体的实施组织机构、项目团队有明确的组织形式、人员配备，职责任务明确，能确保项目顺利实施。 1、方案合理全面、针对性强，计10分； 2、方案完整、有针对性，计8分； 3、方案不合理、不具备针对性，计5分； 4、未提供方案计0分。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驻场人员</w:t>
            </w:r>
          </w:p>
        </w:tc>
        <w:tc>
          <w:tcPr>
            <w:tcW w:type="dxa" w:w="2492"/>
          </w:tcPr>
          <w:p>
            <w:pPr>
              <w:pStyle w:val="null3"/>
            </w:pPr>
            <w:r>
              <w:rPr/>
              <w:t>供应商根据本项目提供本地化驻场服务，每提供1名驻场人员计2分，最多计6分；不提供不计分。 注：提供驻场人员履历信息及磋商前六个月内任意一个月的社保缴纳证明，未提供或提供不全计0分。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保密措施</w:t>
            </w:r>
          </w:p>
        </w:tc>
        <w:tc>
          <w:tcPr>
            <w:tcW w:type="dxa" w:w="2492"/>
          </w:tcPr>
          <w:p>
            <w:pPr>
              <w:pStyle w:val="null3"/>
            </w:pPr>
            <w:r>
              <w:rPr/>
              <w:t>提供针对本项目的保密承诺及保密措施。 1、措施完整，科学合理，清晰明确，针对性强，计8分； 2、措施较完整，可行性、针对性一般，计5分； 3、措施简单，不具备针对性，计3分； 4、未提供的计0分。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售后服务</w:t>
            </w:r>
          </w:p>
        </w:tc>
        <w:tc>
          <w:tcPr>
            <w:tcW w:type="dxa" w:w="2492"/>
          </w:tcPr>
          <w:p>
            <w:pPr>
              <w:pStyle w:val="null3"/>
            </w:pPr>
            <w:r>
              <w:rPr/>
              <w:t>供应商针对本项目具有相应的保障措施，提供详细的售后服务方案及售后服务承诺等。 1、方案和承诺充实详细、具体可行，针对性强，计8分； 2、方案和承诺合理可行，有针对性，计5分； 3、方案和承诺简单，不利于项目实施，计3分； 4、未提供方案计0分。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培训方案</w:t>
            </w:r>
          </w:p>
        </w:tc>
        <w:tc>
          <w:tcPr>
            <w:tcW w:type="dxa" w:w="2492"/>
          </w:tcPr>
          <w:p>
            <w:pPr>
              <w:pStyle w:val="null3"/>
            </w:pPr>
            <w:r>
              <w:rPr/>
              <w:t>供应商针对本项目具有可行的技术培训方案，培训采购人指定的技术人员和管理人员，制定培训课程计划表，培训内容应包括系统操作、排除简单故障等各个方面，培训的具体日期及人数由采购人确定。 1、具有完善的培训方案，内容完整、合理，针对性强，计8分； 2、内容基本完整、合理，针对性一般，计5分； 3、内容简单、模糊，针对性差的，计3分； 4、未提供方案计0分。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提供供应商2021年1月1日至今同类项目合同（以合同签订日期为准），每提供1个计2分，最高计10分。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价格分统一采用低价优先法计算，即满足磋商文件要求且磋商价格最低的磋商报价为磋商基准价，其价格分为满分。其他供应商的价格分统一按照下列公式计算： 磋商报价得分=(磋商基准价／磋商报价)×价格权值×100 计算分数时四舍五入取小数点后两位。</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监狱企业的证明文件</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