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numPr>
          <w:ilvl w:val="0"/>
          <w:numId w:val="0"/>
        </w:numPr>
        <w:spacing w:line="360" w:lineRule="auto"/>
        <w:ind w:left="0" w:leftChars="0" w:right="0" w:rightChars="0" w:firstLine="0" w:firstLineChars="0"/>
        <w:jc w:val="center"/>
        <w:outlineLvl w:val="9"/>
        <w:rPr>
          <w:rFonts w:hint="default" w:ascii="Times New Roman" w:hAnsi="Times New Roman" w:eastAsia="黑体" w:cs="Times New Roman"/>
          <w:b/>
          <w:bCs/>
          <w:color w:val="auto"/>
          <w:kern w:val="44"/>
          <w:sz w:val="28"/>
          <w:szCs w:val="28"/>
          <w:highlight w:val="none"/>
        </w:rPr>
      </w:pPr>
      <w:bookmarkStart w:id="0" w:name="OLE_LINK1"/>
      <w:bookmarkStart w:id="1" w:name="OLE_LINK2"/>
      <w:bookmarkStart w:id="2" w:name="OLE_LINK4"/>
      <w:bookmarkStart w:id="3" w:name="OLE_LINK7"/>
      <w:bookmarkStart w:id="4" w:name="OLE_LINK8"/>
      <w:bookmarkStart w:id="5" w:name="OLE_LINK5"/>
      <w:bookmarkStart w:id="6" w:name="OLE_LINK3"/>
      <w:bookmarkStart w:id="7" w:name="OLE_LINK6"/>
      <w:bookmarkStart w:id="8" w:name="OLE_LINK9"/>
      <w:r>
        <w:rPr>
          <w:rFonts w:hint="eastAsia" w:ascii="宋体" w:hAnsi="宋体" w:eastAsia="宋体" w:cs="宋体"/>
          <w:b/>
          <w:bCs/>
          <w:color w:val="auto"/>
          <w:kern w:val="44"/>
          <w:sz w:val="28"/>
          <w:szCs w:val="28"/>
          <w:lang w:val="en-US" w:eastAsia="zh-CN" w:bidi="ar-SA"/>
        </w:rPr>
        <w:t>第1章</w:t>
      </w:r>
      <w:r>
        <w:rPr>
          <w:rFonts w:hint="eastAsia" w:ascii="宋体" w:hAnsi="宋体" w:cs="宋体"/>
          <w:b/>
          <w:bCs/>
          <w:color w:val="auto"/>
          <w:kern w:val="44"/>
          <w:sz w:val="28"/>
          <w:szCs w:val="28"/>
          <w:lang w:val="en-US" w:eastAsia="zh-CN" w:bidi="ar-SA"/>
        </w:rPr>
        <w:t xml:space="preserve">  </w:t>
      </w:r>
      <w:r>
        <w:rPr>
          <w:rFonts w:hint="eastAsia" w:ascii="黑体" w:hAnsi="宋体" w:eastAsia="黑体" w:cs="黑体"/>
          <w:b/>
          <w:bCs/>
          <w:color w:val="auto"/>
          <w:kern w:val="44"/>
          <w:sz w:val="28"/>
          <w:szCs w:val="28"/>
          <w:highlight w:val="none"/>
        </w:rPr>
        <w:t>需求分析</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9" w:name="_Toc180513483"/>
      <w:bookmarkEnd w:id="9"/>
      <w:r>
        <w:rPr>
          <w:rFonts w:hint="eastAsia" w:ascii="宋体" w:hAnsi="宋体" w:eastAsia="宋体" w:cs="宋体"/>
          <w:b/>
          <w:bCs/>
          <w:color w:val="auto"/>
          <w:kern w:val="2"/>
          <w:sz w:val="21"/>
          <w:szCs w:val="21"/>
          <w:lang w:val="en-US" w:eastAsia="zh-CN" w:bidi="ar-SA"/>
        </w:rPr>
        <w:t>1.1</w:t>
      </w:r>
      <w:r>
        <w:rPr>
          <w:rFonts w:hint="eastAsia" w:ascii="黑体" w:hAnsi="宋体" w:eastAsia="黑体" w:cs="黑体"/>
          <w:b/>
          <w:bCs/>
          <w:color w:val="auto"/>
          <w:sz w:val="21"/>
          <w:szCs w:val="21"/>
          <w:highlight w:val="none"/>
        </w:rPr>
        <w:t>项目背景</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2021</w:t>
      </w:r>
      <w:r>
        <w:rPr>
          <w:rFonts w:hint="eastAsia" w:ascii="宋体" w:hAnsi="宋体" w:eastAsia="宋体" w:cs="宋体"/>
          <w:color w:val="auto"/>
          <w:kern w:val="0"/>
          <w:sz w:val="21"/>
          <w:szCs w:val="21"/>
          <w:highlight w:val="none"/>
          <w:lang w:val="en-US" w:eastAsia="zh-CN" w:bidi="ar"/>
        </w:rPr>
        <w:t>年</w:t>
      </w:r>
      <w:r>
        <w:rPr>
          <w:rFonts w:hint="default" w:ascii="Times New Roman" w:hAnsi="Times New Roman" w:eastAsia="宋体" w:cs="Times New Roman"/>
          <w:color w:val="auto"/>
          <w:kern w:val="0"/>
          <w:sz w:val="21"/>
          <w:szCs w:val="21"/>
          <w:highlight w:val="none"/>
          <w:lang w:val="en-US" w:eastAsia="zh-CN" w:bidi="ar"/>
        </w:rPr>
        <w:t>4</w:t>
      </w:r>
      <w:r>
        <w:rPr>
          <w:rFonts w:hint="eastAsia" w:ascii="宋体" w:hAnsi="宋体" w:eastAsia="宋体" w:cs="宋体"/>
          <w:color w:val="auto"/>
          <w:kern w:val="0"/>
          <w:sz w:val="21"/>
          <w:szCs w:val="21"/>
          <w:highlight w:val="none"/>
          <w:lang w:val="en-US" w:eastAsia="zh-CN" w:bidi="ar"/>
        </w:rPr>
        <w:t>月，国务院办公厅发布了《关于建立健全职工基本医疗保险门诊共济保障机制的指导意见》，明确各省级人民政府要按照要求，统筹安排，科学决策，推动医保个人账户家庭共济的实施。这一政策的出台，为各地开展家庭账户共济提供了明确的指导和方向。</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2022</w:t>
      </w:r>
      <w:r>
        <w:rPr>
          <w:rFonts w:hint="eastAsia" w:ascii="宋体" w:hAnsi="宋体" w:eastAsia="宋体" w:cs="宋体"/>
          <w:color w:val="auto"/>
          <w:kern w:val="0"/>
          <w:sz w:val="21"/>
          <w:szCs w:val="21"/>
          <w:highlight w:val="none"/>
          <w:lang w:val="en-US" w:eastAsia="zh-CN" w:bidi="ar"/>
        </w:rPr>
        <w:t>年</w:t>
      </w: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月，陕西省人民政府办公厅发布了《陕西省人民政府办公厅关于印发建立健全职工基本医疗保险门诊共济保障机制实施方案的通知》（陕政办发〔</w:t>
      </w:r>
      <w:r>
        <w:rPr>
          <w:rFonts w:hint="default" w:ascii="Times New Roman" w:hAnsi="Times New Roman" w:eastAsia="宋体" w:cs="Times New Roman"/>
          <w:color w:val="auto"/>
          <w:kern w:val="0"/>
          <w:sz w:val="21"/>
          <w:szCs w:val="21"/>
          <w:highlight w:val="none"/>
          <w:lang w:val="en-US" w:eastAsia="zh-CN" w:bidi="ar"/>
        </w:rPr>
        <w:t>2022</w:t>
      </w:r>
      <w:r>
        <w:rPr>
          <w:rFonts w:hint="eastAsia" w:ascii="宋体" w:hAnsi="宋体" w:eastAsia="宋体" w:cs="宋体"/>
          <w:color w:val="auto"/>
          <w:kern w:val="0"/>
          <w:sz w:val="21"/>
          <w:szCs w:val="21"/>
          <w:highlight w:val="none"/>
          <w:lang w:val="en-US" w:eastAsia="zh-CN" w:bidi="ar"/>
        </w:rPr>
        <w:t>〕</w:t>
      </w: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号），通知提出要规范个人账户支付范围，其个人账户主要用于支付参保人员在定点医疗机构或定点零售药店发生的政策范围内自付费用，可以用于支付参保人员本人及其配偶、父母、子女在定点医疗机构就医发生的由个人负担的医疗费用，以及在定点零售药店购买药品、医疗器械、医用耗材发生的由个人负担的费用。推进落实个人账户用于配偶、父母、子女参加城乡居民基本医疗保险等的个人缴费。</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为了进一步放宽职工医保个人账户共济范围，提升共济效能，陕西省应按照党中央、国务院统一部署，加快医疗保障重点领域和关键环节改革，通过陕西省省内跨统筹区</w:t>
      </w:r>
      <w:r>
        <w:rPr>
          <w:rFonts w:hint="eastAsia" w:ascii="宋体" w:hAnsi="宋体" w:cs="宋体"/>
          <w:color w:val="auto"/>
          <w:kern w:val="0"/>
          <w:sz w:val="21"/>
          <w:szCs w:val="21"/>
          <w:highlight w:val="none"/>
          <w:lang w:val="en-US" w:eastAsia="zh-CN" w:bidi="ar"/>
        </w:rPr>
        <w:t>及</w:t>
      </w:r>
      <w:r>
        <w:rPr>
          <w:rFonts w:hint="eastAsia"/>
          <w:color w:val="auto"/>
          <w:highlight w:val="none"/>
          <w:lang w:val="en-US" w:eastAsia="zh-CN"/>
        </w:rPr>
        <w:t>跨省</w:t>
      </w:r>
      <w:r>
        <w:rPr>
          <w:rFonts w:hint="eastAsia" w:ascii="宋体" w:hAnsi="宋体" w:eastAsia="宋体" w:cs="宋体"/>
          <w:color w:val="auto"/>
          <w:kern w:val="0"/>
          <w:sz w:val="21"/>
          <w:szCs w:val="21"/>
          <w:highlight w:val="none"/>
          <w:lang w:val="en-US" w:eastAsia="zh-CN" w:bidi="ar"/>
        </w:rPr>
        <w:t>职工基本医疗保险个人账户家庭共济服务项目的实施，不断优化业务流程，提升管理服务，进一步拓展个人账户共济范围，提高医保基金使用效率，逐步减轻参保人员医疗费用负担，增强人民群众的医保获得感、幸福感、安全感。</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10" w:name="_Toc180513484"/>
      <w:bookmarkEnd w:id="10"/>
      <w:r>
        <w:rPr>
          <w:rFonts w:hint="eastAsia" w:ascii="宋体" w:hAnsi="宋体" w:eastAsia="宋体" w:cs="宋体"/>
          <w:b/>
          <w:bCs/>
          <w:color w:val="auto"/>
          <w:kern w:val="2"/>
          <w:sz w:val="21"/>
          <w:szCs w:val="21"/>
          <w:lang w:val="en-US" w:eastAsia="zh-CN" w:bidi="ar-SA"/>
        </w:rPr>
        <w:t>1.2</w:t>
      </w:r>
      <w:r>
        <w:rPr>
          <w:rFonts w:hint="eastAsia" w:ascii="黑体" w:hAnsi="宋体" w:eastAsia="黑体" w:cs="黑体"/>
          <w:b/>
          <w:bCs/>
          <w:color w:val="auto"/>
          <w:sz w:val="21"/>
          <w:szCs w:val="21"/>
          <w:highlight w:val="none"/>
        </w:rPr>
        <w:t>业务现状分析</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为提高医保基金使用效率，减轻参保人员医疗费用负担，陕西省稳妥推动职工医保门诊共济保障机制改革落地见效。在开通职工医保个人账户共济后，个人账户授权人由父母、配偶、子女等直系家庭成员拓展到兄弟姐妹、祖父母、外祖父母、孙子女、外孙子女等近亲属。全省实行家庭成员关系承诺制办理，免去成员关系证明材料，简化办理流程，参保人可通过国家医保服务平台</w:t>
      </w:r>
      <w:r>
        <w:rPr>
          <w:rFonts w:hint="default" w:ascii="Times New Roman" w:hAnsi="Times New Roman" w:eastAsia="宋体" w:cs="Times New Roman"/>
          <w:color w:val="auto"/>
          <w:kern w:val="0"/>
          <w:sz w:val="21"/>
          <w:szCs w:val="21"/>
          <w:highlight w:val="none"/>
          <w:lang w:val="en-US" w:eastAsia="zh-CN" w:bidi="ar"/>
        </w:rPr>
        <w:t>APP</w:t>
      </w:r>
      <w:r>
        <w:rPr>
          <w:rFonts w:hint="eastAsia" w:ascii="宋体" w:hAnsi="宋体" w:eastAsia="宋体" w:cs="宋体"/>
          <w:color w:val="auto"/>
          <w:kern w:val="0"/>
          <w:sz w:val="21"/>
          <w:szCs w:val="21"/>
          <w:highlight w:val="none"/>
          <w:lang w:val="en-US" w:eastAsia="zh-CN" w:bidi="ar"/>
        </w:rPr>
        <w:t>陕西专区、“陕西医保”微信和支付宝小程序等多种线上渠道办理个人账户家庭共济绑定，也可到各级医保经办服务窗口与网点现场办理。</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截至目前，陕西省仅支持本统筹区内职工医保个人家庭账户共济绑定，需要授权者与使用者在同一统筹区。在职工医保个人账户家庭共济授权后，被授权人可使用授权人职工医保个人账户基金支付被授权人在定点医药机构发生的住院、门诊慢特病、门诊特药、门诊统筹等费用中应由个人负担的部分，以及在定点零售药店购买药品、医疗器械、医用耗材发生的费用。截至</w:t>
      </w:r>
      <w:r>
        <w:rPr>
          <w:rFonts w:hint="default" w:ascii="Times New Roman" w:hAnsi="Times New Roman" w:eastAsia="宋体" w:cs="Times New Roman"/>
          <w:color w:val="auto"/>
          <w:kern w:val="0"/>
          <w:sz w:val="21"/>
          <w:szCs w:val="21"/>
          <w:highlight w:val="none"/>
          <w:lang w:val="en-US" w:eastAsia="zh-CN" w:bidi="ar"/>
        </w:rPr>
        <w:t>2024</w:t>
      </w:r>
      <w:r>
        <w:rPr>
          <w:rFonts w:hint="eastAsia" w:ascii="宋体" w:hAnsi="宋体" w:eastAsia="宋体" w:cs="宋体"/>
          <w:color w:val="auto"/>
          <w:kern w:val="0"/>
          <w:sz w:val="21"/>
          <w:szCs w:val="21"/>
          <w:highlight w:val="none"/>
          <w:lang w:val="en-US" w:eastAsia="zh-CN" w:bidi="ar"/>
        </w:rPr>
        <w:t>年</w:t>
      </w:r>
      <w:r>
        <w:rPr>
          <w:rFonts w:hint="default" w:ascii="Times New Roman" w:hAnsi="Times New Roman" w:eastAsia="宋体" w:cs="Times New Roman"/>
          <w:color w:val="auto"/>
          <w:kern w:val="0"/>
          <w:sz w:val="21"/>
          <w:szCs w:val="21"/>
          <w:highlight w:val="none"/>
          <w:lang w:val="en-US" w:eastAsia="zh-CN" w:bidi="ar"/>
        </w:rPr>
        <w:t>6</w:t>
      </w:r>
      <w:r>
        <w:rPr>
          <w:rFonts w:hint="eastAsia" w:ascii="宋体" w:hAnsi="宋体" w:eastAsia="宋体" w:cs="宋体"/>
          <w:color w:val="auto"/>
          <w:kern w:val="0"/>
          <w:sz w:val="21"/>
          <w:szCs w:val="21"/>
          <w:highlight w:val="none"/>
          <w:lang w:val="en-US" w:eastAsia="zh-CN" w:bidi="ar"/>
        </w:rPr>
        <w:t>月底，陕西省内本统筹区个人账户绑定家庭共济关系</w:t>
      </w:r>
      <w:r>
        <w:rPr>
          <w:rFonts w:hint="default" w:ascii="Times New Roman" w:hAnsi="Times New Roman" w:eastAsia="宋体" w:cs="Times New Roman"/>
          <w:color w:val="auto"/>
          <w:kern w:val="0"/>
          <w:sz w:val="21"/>
          <w:szCs w:val="21"/>
          <w:highlight w:val="none"/>
          <w:lang w:val="en-US" w:eastAsia="zh-CN" w:bidi="ar"/>
        </w:rPr>
        <w:t>170.4</w:t>
      </w:r>
      <w:r>
        <w:rPr>
          <w:rFonts w:hint="eastAsia" w:ascii="宋体" w:hAnsi="宋体" w:eastAsia="宋体" w:cs="宋体"/>
          <w:color w:val="auto"/>
          <w:kern w:val="0"/>
          <w:sz w:val="21"/>
          <w:szCs w:val="21"/>
          <w:highlight w:val="none"/>
          <w:lang w:val="en-US" w:eastAsia="zh-CN" w:bidi="ar"/>
        </w:rPr>
        <w:t>万人，结算个人账户基金</w:t>
      </w:r>
      <w:r>
        <w:rPr>
          <w:rFonts w:hint="default" w:ascii="Times New Roman" w:hAnsi="Times New Roman" w:eastAsia="宋体" w:cs="Times New Roman"/>
          <w:color w:val="auto"/>
          <w:kern w:val="0"/>
          <w:sz w:val="21"/>
          <w:szCs w:val="21"/>
          <w:highlight w:val="none"/>
          <w:lang w:val="en-US" w:eastAsia="zh-CN" w:bidi="ar"/>
        </w:rPr>
        <w:t>15.2</w:t>
      </w:r>
      <w:r>
        <w:rPr>
          <w:rFonts w:hint="eastAsia" w:ascii="宋体" w:hAnsi="宋体" w:eastAsia="宋体" w:cs="宋体"/>
          <w:color w:val="auto"/>
          <w:kern w:val="0"/>
          <w:sz w:val="21"/>
          <w:szCs w:val="21"/>
          <w:highlight w:val="none"/>
          <w:lang w:val="en-US" w:eastAsia="zh-CN" w:bidi="ar"/>
        </w:rPr>
        <w:t>亿元。</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11" w:name="_Toc180513485"/>
      <w:bookmarkEnd w:id="11"/>
      <w:r>
        <w:rPr>
          <w:rFonts w:hint="eastAsia" w:ascii="宋体" w:hAnsi="宋体" w:eastAsia="宋体" w:cs="宋体"/>
          <w:b/>
          <w:bCs/>
          <w:color w:val="auto"/>
          <w:kern w:val="2"/>
          <w:sz w:val="21"/>
          <w:szCs w:val="21"/>
          <w:lang w:val="en-US" w:eastAsia="zh-CN" w:bidi="ar-SA"/>
        </w:rPr>
        <w:t>1.3</w:t>
      </w:r>
      <w:r>
        <w:rPr>
          <w:rFonts w:hint="eastAsia" w:ascii="黑体" w:hAnsi="宋体" w:eastAsia="黑体" w:cs="黑体"/>
          <w:b/>
          <w:bCs/>
          <w:color w:val="auto"/>
          <w:sz w:val="21"/>
          <w:szCs w:val="21"/>
          <w:highlight w:val="none"/>
        </w:rPr>
        <w:t>系统现状分析</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2019</w:t>
      </w:r>
      <w:r>
        <w:rPr>
          <w:rFonts w:hint="eastAsia" w:ascii="宋体" w:hAnsi="宋体" w:eastAsia="宋体" w:cs="宋体"/>
          <w:color w:val="auto"/>
          <w:kern w:val="0"/>
          <w:sz w:val="21"/>
          <w:szCs w:val="21"/>
          <w:highlight w:val="none"/>
          <w:lang w:val="en-US" w:eastAsia="zh-CN" w:bidi="ar"/>
        </w:rPr>
        <w:t>年</w:t>
      </w:r>
      <w:r>
        <w:rPr>
          <w:rFonts w:hint="default" w:ascii="Times New Roman" w:hAnsi="Times New Roman" w:eastAsia="宋体" w:cs="Times New Roman"/>
          <w:color w:val="auto"/>
          <w:kern w:val="0"/>
          <w:sz w:val="21"/>
          <w:szCs w:val="21"/>
          <w:highlight w:val="none"/>
          <w:lang w:val="en-US" w:eastAsia="zh-CN" w:bidi="ar"/>
        </w:rPr>
        <w:t>6</w:t>
      </w:r>
      <w:r>
        <w:rPr>
          <w:rFonts w:hint="eastAsia" w:ascii="宋体" w:hAnsi="宋体" w:eastAsia="宋体" w:cs="宋体"/>
          <w:color w:val="auto"/>
          <w:kern w:val="0"/>
          <w:sz w:val="21"/>
          <w:szCs w:val="21"/>
          <w:highlight w:val="none"/>
          <w:lang w:val="en-US" w:eastAsia="zh-CN" w:bidi="ar"/>
        </w:rPr>
        <w:t>月，国家医疗保障局发布《医疗保障信息平台建设指南》，指导和规范各地医疗保障信息化建设，明确了全国医疗保障信息系统建设“标准全国统一、数据两级集中、平台分级部署、网络全面覆盖、项目建设规范、安全保障有力”等工作原则，实现“大经办、大服务、大治理、大协作、大数据、大支撑”六大工作目标。</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基于此背景，</w:t>
      </w:r>
      <w:r>
        <w:rPr>
          <w:rFonts w:hint="default" w:ascii="Times New Roman" w:hAnsi="Times New Roman" w:eastAsia="宋体" w:cs="Times New Roman"/>
          <w:color w:val="auto"/>
          <w:kern w:val="0"/>
          <w:sz w:val="21"/>
          <w:szCs w:val="21"/>
          <w:highlight w:val="none"/>
          <w:lang w:val="en-US" w:eastAsia="zh-CN" w:bidi="ar"/>
        </w:rPr>
        <w:t>2020</w:t>
      </w:r>
      <w:r>
        <w:rPr>
          <w:rFonts w:hint="eastAsia" w:ascii="宋体" w:hAnsi="宋体" w:eastAsia="宋体" w:cs="宋体"/>
          <w:color w:val="auto"/>
          <w:kern w:val="0"/>
          <w:sz w:val="21"/>
          <w:szCs w:val="21"/>
          <w:highlight w:val="none"/>
          <w:lang w:val="en-US" w:eastAsia="zh-CN" w:bidi="ar"/>
        </w:rPr>
        <w:t>年陕西省医疗保障局根据国家医疗保障局医疗保障信息平台建设相关政策及建设方案要求，依据全国统一的技术标准、业务标准、业务规范，组织规划并逐步建设陕西省医疗保障信息平台，包含基础设施、网络设施、安全设施、应用系统、公共服务。其中，陕西省异地就医管理子系统于</w:t>
      </w:r>
      <w:r>
        <w:rPr>
          <w:rFonts w:hint="default" w:ascii="Times New Roman" w:hAnsi="Times New Roman" w:eastAsia="宋体" w:cs="Times New Roman"/>
          <w:color w:val="auto"/>
          <w:kern w:val="0"/>
          <w:sz w:val="21"/>
          <w:szCs w:val="21"/>
          <w:highlight w:val="none"/>
          <w:lang w:val="en-US" w:eastAsia="zh-CN" w:bidi="ar"/>
        </w:rPr>
        <w:t>2020</w:t>
      </w:r>
      <w:r>
        <w:rPr>
          <w:rFonts w:hint="eastAsia" w:ascii="宋体" w:hAnsi="宋体" w:eastAsia="宋体" w:cs="宋体"/>
          <w:color w:val="auto"/>
          <w:kern w:val="0"/>
          <w:sz w:val="21"/>
          <w:szCs w:val="21"/>
          <w:highlight w:val="none"/>
          <w:lang w:val="en-US" w:eastAsia="zh-CN" w:bidi="ar"/>
        </w:rPr>
        <w:t>年规划，在</w:t>
      </w:r>
      <w:r>
        <w:rPr>
          <w:rFonts w:hint="default" w:ascii="Times New Roman" w:hAnsi="Times New Roman" w:eastAsia="宋体" w:cs="Times New Roman"/>
          <w:color w:val="auto"/>
          <w:kern w:val="0"/>
          <w:sz w:val="21"/>
          <w:szCs w:val="21"/>
          <w:highlight w:val="none"/>
          <w:lang w:val="en-US" w:eastAsia="zh-CN" w:bidi="ar"/>
        </w:rPr>
        <w:t>2021</w:t>
      </w:r>
      <w:r>
        <w:rPr>
          <w:rFonts w:hint="eastAsia" w:ascii="宋体" w:hAnsi="宋体" w:eastAsia="宋体" w:cs="宋体"/>
          <w:color w:val="auto"/>
          <w:kern w:val="0"/>
          <w:sz w:val="21"/>
          <w:szCs w:val="21"/>
          <w:highlight w:val="none"/>
          <w:lang w:val="en-US" w:eastAsia="zh-CN" w:bidi="ar"/>
        </w:rPr>
        <w:t>年</w:t>
      </w:r>
      <w:r>
        <w:rPr>
          <w:rFonts w:hint="default" w:ascii="Times New Roman" w:hAnsi="Times New Roman" w:eastAsia="宋体" w:cs="Times New Roman"/>
          <w:color w:val="auto"/>
          <w:kern w:val="0"/>
          <w:sz w:val="21"/>
          <w:szCs w:val="21"/>
          <w:highlight w:val="none"/>
          <w:lang w:val="en-US" w:eastAsia="zh-CN" w:bidi="ar"/>
        </w:rPr>
        <w:t>9</w:t>
      </w:r>
      <w:r>
        <w:rPr>
          <w:rFonts w:hint="eastAsia" w:ascii="宋体" w:hAnsi="宋体" w:eastAsia="宋体" w:cs="宋体"/>
          <w:color w:val="auto"/>
          <w:kern w:val="0"/>
          <w:sz w:val="21"/>
          <w:szCs w:val="21"/>
          <w:highlight w:val="none"/>
          <w:lang w:val="en-US" w:eastAsia="zh-CN" w:bidi="ar"/>
        </w:rPr>
        <w:t>月上线。</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截至目前，陕西省异地就医管理子系统可提供省内和省外异地就医结算和对账服务，支持异地就医联网结算，和与两定机构的结算服务，并提供医保经办机构、定点医药机构、就医结算信息及备案情况网上查询等服务。但在系统规划设计时没有异地账户共济相关政策及需求，各个医保统筹区由于地区间的政策、资金为独立核算，跨统筹区参保人家庭共济关系的绑定、结算，以及跨统筹区之间的清算在最初的规划设计中没有涉及，仅仅支持本统筹区内职工医保个人家庭账户共济绑定，并且需要授权者与使用者在同一统筹区。</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12" w:name="_Toc180513486"/>
      <w:bookmarkEnd w:id="12"/>
      <w:r>
        <w:rPr>
          <w:rFonts w:hint="eastAsia" w:ascii="宋体" w:hAnsi="宋体" w:eastAsia="宋体" w:cs="宋体"/>
          <w:b/>
          <w:bCs/>
          <w:color w:val="auto"/>
          <w:kern w:val="2"/>
          <w:sz w:val="21"/>
          <w:szCs w:val="21"/>
          <w:lang w:val="en-US" w:eastAsia="zh-CN" w:bidi="ar-SA"/>
        </w:rPr>
        <w:t>1.4</w:t>
      </w:r>
      <w:r>
        <w:rPr>
          <w:rFonts w:hint="eastAsia" w:ascii="黑体" w:hAnsi="宋体" w:eastAsia="黑体" w:cs="黑体"/>
          <w:b/>
          <w:bCs/>
          <w:color w:val="auto"/>
          <w:sz w:val="21"/>
          <w:szCs w:val="21"/>
          <w:highlight w:val="none"/>
        </w:rPr>
        <w:t>现状差距分析</w:t>
      </w:r>
    </w:p>
    <w:p>
      <w:pPr>
        <w:widowControl/>
        <w:numPr>
          <w:ilvl w:val="2"/>
          <w:numId w:val="0"/>
        </w:numPr>
        <w:spacing w:line="360" w:lineRule="auto"/>
        <w:ind w:left="420" w:leftChars="0" w:right="0" w:rightChars="0" w:firstLine="0" w:firstLineChars="0"/>
        <w:jc w:val="left"/>
        <w:outlineLvl w:val="9"/>
        <w:rPr>
          <w:rFonts w:hint="default" w:ascii="Times New Roman" w:hAnsi="Times New Roman" w:eastAsia="黑体" w:cs="Times New Roman"/>
          <w:b/>
          <w:bCs/>
          <w:color w:val="auto"/>
          <w:sz w:val="21"/>
          <w:szCs w:val="21"/>
          <w:highlight w:val="none"/>
        </w:rPr>
      </w:pPr>
      <w:bookmarkStart w:id="13" w:name="_Toc180513487"/>
      <w:bookmarkEnd w:id="13"/>
      <w:r>
        <w:rPr>
          <w:rFonts w:hint="eastAsia" w:ascii="宋体" w:hAnsi="宋体" w:eastAsia="宋体" w:cs="宋体"/>
          <w:b/>
          <w:bCs/>
          <w:color w:val="auto"/>
          <w:kern w:val="2"/>
          <w:sz w:val="21"/>
          <w:szCs w:val="21"/>
          <w:lang w:val="en-US" w:eastAsia="zh-CN" w:bidi="ar-SA"/>
        </w:rPr>
        <w:t>1.4.1</w:t>
      </w:r>
      <w:r>
        <w:rPr>
          <w:rFonts w:hint="eastAsia" w:ascii="黑体" w:hAnsi="宋体" w:eastAsia="黑体" w:cs="黑体"/>
          <w:b/>
          <w:bCs/>
          <w:color w:val="auto"/>
          <w:sz w:val="21"/>
          <w:szCs w:val="21"/>
          <w:highlight w:val="none"/>
        </w:rPr>
        <w:t>存在问题</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目前，由于陕西省未实现医保省级统筹，各统筹区仍为独立医保财务核算，地市间的资金流转存在一定程度的阻碍。陕西省医疗保障平台一期建设内容中不支持省内跨统筹区家庭账户共济的绑定、结算，以及地市级共济资金的清算。各省份都在自行拓展与创新，增加对参保人的服务事项及内容。</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陕西省各统筹区仍存在很多同一家庭的成员但在不同地区参保的情况，例如年轻人在西安市参加职工医保，老人孩子在其他地市参保居民医保，随着这部分人群的逐渐增多，对于跨统筹区家庭账户共济的需求也日益增长。因此，拓展个人账户共济范围，实现跨统筹区家庭共济进行异地就医结算，是当前全省医保基金运行和发展的迫切需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在国家局的支持下，全国已经有多个省份拓展建设了省内跨统筹区，支撑本省份参保人进行省内跨统筹区家庭账户共济绑定。按照国家医保局要求，全国各省份需在</w:t>
      </w:r>
      <w:r>
        <w:rPr>
          <w:rFonts w:hint="default" w:ascii="Times New Roman" w:hAnsi="Times New Roman" w:eastAsia="宋体" w:cs="Times New Roman"/>
          <w:color w:val="auto"/>
          <w:kern w:val="0"/>
          <w:sz w:val="21"/>
          <w:szCs w:val="21"/>
          <w:highlight w:val="none"/>
          <w:lang w:val="en-US" w:eastAsia="zh-CN" w:bidi="ar"/>
        </w:rPr>
        <w:t>2024</w:t>
      </w:r>
      <w:r>
        <w:rPr>
          <w:rFonts w:hint="eastAsia" w:ascii="宋体" w:hAnsi="宋体" w:eastAsia="宋体" w:cs="宋体"/>
          <w:color w:val="auto"/>
          <w:kern w:val="0"/>
          <w:sz w:val="21"/>
          <w:szCs w:val="21"/>
          <w:highlight w:val="none"/>
          <w:lang w:val="en-US" w:eastAsia="zh-CN" w:bidi="ar"/>
        </w:rPr>
        <w:t>年底完成省内跨省统筹区家庭账户共济业务。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截至目前，陕西省省内跨统筹区家庭账户共济仍然存在以下问题：</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1.</w:t>
      </w:r>
      <w:r>
        <w:rPr>
          <w:rFonts w:hint="eastAsia" w:ascii="宋体" w:hAnsi="宋体" w:eastAsia="宋体" w:cs="宋体"/>
          <w:b/>
          <w:bCs/>
          <w:color w:val="auto"/>
          <w:kern w:val="0"/>
          <w:sz w:val="21"/>
          <w:szCs w:val="21"/>
          <w:highlight w:val="none"/>
          <w:lang w:val="en-US" w:eastAsia="zh-CN" w:bidi="ar"/>
        </w:rPr>
        <w:t>共济绑定范围有限：</w:t>
      </w:r>
      <w:r>
        <w:rPr>
          <w:rFonts w:hint="eastAsia" w:ascii="宋体" w:hAnsi="宋体" w:eastAsia="宋体" w:cs="宋体"/>
          <w:color w:val="auto"/>
          <w:kern w:val="0"/>
          <w:sz w:val="21"/>
          <w:szCs w:val="21"/>
          <w:highlight w:val="none"/>
          <w:lang w:val="en-US" w:eastAsia="zh-CN" w:bidi="ar"/>
        </w:rPr>
        <w:t>目前，由于各地经济发展水平、医疗保障体系完善程度以及政策制定和执行力度等方面的差异，职工医保个人账户家庭共济只支持家庭成员在同一统筹区内参保，方可进行绑定，如家庭成员分属两个统筹区则不允许绑定。</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2.</w:t>
      </w:r>
      <w:r>
        <w:rPr>
          <w:rFonts w:hint="eastAsia" w:ascii="宋体" w:hAnsi="宋体" w:eastAsia="宋体" w:cs="宋体"/>
          <w:b/>
          <w:bCs/>
          <w:color w:val="auto"/>
          <w:kern w:val="0"/>
          <w:sz w:val="21"/>
          <w:szCs w:val="21"/>
          <w:highlight w:val="none"/>
          <w:lang w:val="en-US" w:eastAsia="zh-CN" w:bidi="ar"/>
        </w:rPr>
        <w:t>查询方式不够便捷：</w:t>
      </w:r>
      <w:r>
        <w:rPr>
          <w:rFonts w:hint="eastAsia" w:ascii="宋体" w:hAnsi="宋体" w:eastAsia="宋体" w:cs="宋体"/>
          <w:color w:val="auto"/>
          <w:kern w:val="0"/>
          <w:sz w:val="21"/>
          <w:szCs w:val="21"/>
          <w:highlight w:val="none"/>
          <w:lang w:val="en-US" w:eastAsia="zh-CN" w:bidi="ar"/>
        </w:rPr>
        <w:t>目前全省仅支持本统筹区内家庭账户共济绑定及绑定后的医保结算，由于缺乏相关的查询工具，故授权人无法第一时间查询到是谁在哪里进行了医保结算，对医保账户资金的减少存在顾虑，无法及时识别到盗刷情况。</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3.</w:t>
      </w:r>
      <w:r>
        <w:rPr>
          <w:rFonts w:hint="eastAsia" w:ascii="宋体" w:hAnsi="宋体" w:eastAsia="宋体" w:cs="宋体"/>
          <w:b/>
          <w:bCs/>
          <w:color w:val="auto"/>
          <w:kern w:val="0"/>
          <w:sz w:val="21"/>
          <w:szCs w:val="21"/>
          <w:highlight w:val="none"/>
          <w:lang w:val="en-US" w:eastAsia="zh-CN" w:bidi="ar"/>
        </w:rPr>
        <w:t>各统筹区之间资金清算壁垒：</w:t>
      </w:r>
      <w:r>
        <w:rPr>
          <w:rFonts w:hint="eastAsia" w:ascii="宋体" w:hAnsi="宋体" w:eastAsia="宋体" w:cs="宋体"/>
          <w:color w:val="auto"/>
          <w:kern w:val="0"/>
          <w:sz w:val="21"/>
          <w:szCs w:val="21"/>
          <w:highlight w:val="none"/>
          <w:lang w:val="en-US" w:eastAsia="zh-CN" w:bidi="ar"/>
        </w:rPr>
        <w:t>目前陕西省未实现医保省级统筹，各统筹区基金单独核算，缺乏整体联通和部署，无法支撑地市级账户共济资金往来清算业务。</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4.</w:t>
      </w:r>
      <w:r>
        <w:rPr>
          <w:rFonts w:hint="eastAsia" w:ascii="宋体" w:hAnsi="宋体" w:eastAsia="宋体" w:cs="宋体"/>
          <w:b/>
          <w:bCs/>
          <w:color w:val="auto"/>
          <w:kern w:val="0"/>
          <w:sz w:val="21"/>
          <w:szCs w:val="21"/>
          <w:highlight w:val="none"/>
          <w:lang w:val="en-US" w:eastAsia="zh-CN" w:bidi="ar"/>
        </w:rPr>
        <w:t>线下窗口工作量大，效率低：</w:t>
      </w:r>
      <w:r>
        <w:rPr>
          <w:rFonts w:hint="eastAsia" w:ascii="宋体" w:hAnsi="宋体" w:eastAsia="宋体" w:cs="宋体"/>
          <w:color w:val="auto"/>
          <w:kern w:val="0"/>
          <w:sz w:val="21"/>
          <w:szCs w:val="21"/>
          <w:highlight w:val="none"/>
          <w:lang w:val="en-US" w:eastAsia="zh-CN" w:bidi="ar"/>
        </w:rPr>
        <w:t>当前省内职工医保个人账户家庭共济绑定需要参保人需要前往当地医保服务中心或指定的医保服务窗口，按照规定的流程提交身份证明、参保人和被共济人的医保卡原件及复印件、户口本、结婚证等相关材料，并接受审核，由工作人员协助办理相关手续。这种业务办理方式对各级医保部门的线下服务窗口造成很大压力，同时参保人也要携带大量的证明材料，业务办理效率低、工作量大。</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5.</w:t>
      </w:r>
      <w:r>
        <w:rPr>
          <w:rFonts w:hint="eastAsia" w:ascii="宋体" w:hAnsi="宋体" w:eastAsia="宋体" w:cs="宋体"/>
          <w:b/>
          <w:bCs/>
          <w:color w:val="auto"/>
          <w:kern w:val="0"/>
          <w:sz w:val="21"/>
          <w:szCs w:val="21"/>
          <w:highlight w:val="none"/>
          <w:lang w:val="en-US" w:eastAsia="zh-CN" w:bidi="ar"/>
        </w:rPr>
        <w:t>政策宣传不到位：</w:t>
      </w:r>
      <w:r>
        <w:rPr>
          <w:rFonts w:hint="eastAsia" w:ascii="宋体" w:hAnsi="宋体" w:eastAsia="宋体" w:cs="宋体"/>
          <w:color w:val="auto"/>
          <w:kern w:val="0"/>
          <w:sz w:val="21"/>
          <w:szCs w:val="21"/>
          <w:highlight w:val="none"/>
          <w:lang w:val="en-US" w:eastAsia="zh-CN" w:bidi="ar"/>
        </w:rPr>
        <w:t>目前，省内部分地区的医保部门在宣传异地账户家庭共济政策时，可能仅通过官方网站、微信公众号等线上渠道发布信息，宣传内容过于简洁或专业术语较多，导致民众对政策的理解不够深入，不清楚如何具体操作和享受政策优惠。同时，忽视了线下宣传的重要性，导致信息覆盖面不够广泛，许多老年人和偏远地区的居民无法及时获取相关信息，进一步降低了异地家庭账户共济政策的知晓率和满意度。</w:t>
      </w:r>
    </w:p>
    <w:p>
      <w:pPr>
        <w:widowControl/>
        <w:numPr>
          <w:ilvl w:val="2"/>
          <w:numId w:val="0"/>
        </w:numPr>
        <w:spacing w:line="360" w:lineRule="auto"/>
        <w:ind w:left="42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14" w:name="_Toc180513488"/>
      <w:bookmarkEnd w:id="14"/>
      <w:r>
        <w:rPr>
          <w:rFonts w:hint="eastAsia" w:ascii="宋体" w:hAnsi="宋体" w:eastAsia="宋体" w:cs="宋体"/>
          <w:b/>
          <w:bCs/>
          <w:color w:val="auto"/>
          <w:kern w:val="2"/>
          <w:sz w:val="21"/>
          <w:szCs w:val="21"/>
          <w:lang w:val="en-US" w:eastAsia="zh-CN" w:bidi="ar-SA"/>
        </w:rPr>
        <w:t>1.4.2</w:t>
      </w:r>
      <w:r>
        <w:rPr>
          <w:rFonts w:hint="eastAsia" w:ascii="黑体" w:hAnsi="宋体" w:eastAsia="黑体" w:cs="黑体"/>
          <w:b/>
          <w:bCs/>
          <w:color w:val="auto"/>
          <w:sz w:val="21"/>
          <w:szCs w:val="21"/>
          <w:highlight w:val="none"/>
        </w:rPr>
        <w:t>解决方式</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综上所述，本项目需要在基于国家、陕西省的相关政策指导下，结合省医疗保障信息平台现有框架和现有资源，实现职工医保个人账户家庭共济需在全省跨统筹区</w:t>
      </w:r>
      <w:r>
        <w:rPr>
          <w:rFonts w:hint="eastAsia" w:ascii="宋体" w:hAnsi="宋体" w:cs="宋体"/>
          <w:color w:val="auto"/>
          <w:kern w:val="0"/>
          <w:sz w:val="21"/>
          <w:szCs w:val="21"/>
          <w:highlight w:val="none"/>
          <w:lang w:val="en-US" w:eastAsia="zh-CN" w:bidi="ar"/>
        </w:rPr>
        <w:t>及</w:t>
      </w:r>
      <w:r>
        <w:rPr>
          <w:rFonts w:hint="eastAsia"/>
          <w:color w:val="auto"/>
          <w:highlight w:val="none"/>
          <w:lang w:val="en-US" w:eastAsia="zh-CN"/>
        </w:rPr>
        <w:t>跨省</w:t>
      </w:r>
      <w:r>
        <w:rPr>
          <w:rFonts w:hint="eastAsia" w:ascii="宋体" w:hAnsi="宋体" w:eastAsia="宋体" w:cs="宋体"/>
          <w:color w:val="auto"/>
          <w:kern w:val="0"/>
          <w:sz w:val="21"/>
          <w:szCs w:val="21"/>
          <w:highlight w:val="none"/>
          <w:lang w:val="en-US" w:eastAsia="zh-CN" w:bidi="ar"/>
        </w:rPr>
        <w:t>的推广和实施。陕西省各政府部门、医保部门、经办机构等应进一步加强政策制定和执行力度，推动实现省内跨统筹区个人账户家庭共济关系的绑定及结算，并通过本项目的运营服务，实现个人账户家庭共济异地“即时享”，确保家庭共济资金的合理使用和医保基金的安全运行。同时，还应加强宣传和教育工作，提高公众对家庭共济政策的认知度和参与度，共同推动医疗保障事业的健康发展。</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15" w:name="_Toc180513489"/>
      <w:bookmarkEnd w:id="15"/>
      <w:r>
        <w:rPr>
          <w:rFonts w:hint="eastAsia" w:ascii="宋体" w:hAnsi="宋体" w:eastAsia="宋体" w:cs="宋体"/>
          <w:b/>
          <w:bCs/>
          <w:color w:val="auto"/>
          <w:kern w:val="2"/>
          <w:sz w:val="21"/>
          <w:szCs w:val="21"/>
          <w:lang w:val="en-US" w:eastAsia="zh-CN" w:bidi="ar-SA"/>
        </w:rPr>
        <w:t>1.5</w:t>
      </w:r>
      <w:r>
        <w:rPr>
          <w:rFonts w:hint="eastAsia" w:ascii="黑体" w:hAnsi="宋体" w:eastAsia="黑体" w:cs="黑体"/>
          <w:b/>
          <w:bCs/>
          <w:color w:val="auto"/>
          <w:sz w:val="21"/>
          <w:szCs w:val="21"/>
          <w:highlight w:val="none"/>
        </w:rPr>
        <w:t>业务需求分析</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基于【</w:t>
      </w:r>
      <w:r>
        <w:rPr>
          <w:rFonts w:hint="default" w:ascii="Times New Roman" w:hAnsi="Times New Roman" w:eastAsia="宋体" w:cs="Times New Roman"/>
          <w:color w:val="auto"/>
          <w:kern w:val="0"/>
          <w:sz w:val="21"/>
          <w:szCs w:val="21"/>
          <w:highlight w:val="none"/>
          <w:lang w:val="en-US" w:eastAsia="zh-CN" w:bidi="ar"/>
        </w:rPr>
        <w:t>1.2</w:t>
      </w:r>
      <w:r>
        <w:rPr>
          <w:rFonts w:hint="eastAsia" w:ascii="宋体" w:hAnsi="宋体" w:eastAsia="宋体" w:cs="宋体"/>
          <w:color w:val="auto"/>
          <w:kern w:val="0"/>
          <w:sz w:val="21"/>
          <w:szCs w:val="21"/>
          <w:highlight w:val="none"/>
          <w:lang w:val="en-US" w:eastAsia="zh-CN" w:bidi="ar"/>
        </w:rPr>
        <w:t>业务现状】章节对陕西省职工医保个人账户家庭共济业务现状分析，结合【</w:t>
      </w:r>
      <w:r>
        <w:rPr>
          <w:rFonts w:hint="default" w:ascii="Times New Roman" w:hAnsi="Times New Roman" w:eastAsia="宋体" w:cs="Times New Roman"/>
          <w:color w:val="auto"/>
          <w:kern w:val="0"/>
          <w:sz w:val="21"/>
          <w:szCs w:val="21"/>
          <w:highlight w:val="none"/>
          <w:lang w:val="en-US" w:eastAsia="zh-CN" w:bidi="ar"/>
        </w:rPr>
        <w:t>1.3</w:t>
      </w:r>
      <w:r>
        <w:rPr>
          <w:rFonts w:hint="eastAsia" w:ascii="宋体" w:hAnsi="宋体" w:eastAsia="宋体" w:cs="宋体"/>
          <w:color w:val="auto"/>
          <w:kern w:val="0"/>
          <w:sz w:val="21"/>
          <w:szCs w:val="21"/>
          <w:highlight w:val="none"/>
          <w:lang w:val="en-US" w:eastAsia="zh-CN" w:bidi="ar"/>
        </w:rPr>
        <w:t>现状的差距分析】，开展本项目业务需求分析。</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围绕陕西省省内跨统筹区职工基本医疗保险个人账户家庭共济服务主要业务，通过平台运营服务、培训服务和信息咨询服务，解决目前工作的差距、堵点、痛点。其业务需求主要包括如下内容：</w:t>
      </w:r>
    </w:p>
    <w:p>
      <w:pPr>
        <w:widowControl/>
        <w:numPr>
          <w:ilvl w:val="2"/>
          <w:numId w:val="0"/>
        </w:numPr>
        <w:spacing w:line="360" w:lineRule="auto"/>
        <w:ind w:left="42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16" w:name="_Toc180513490"/>
      <w:bookmarkEnd w:id="16"/>
      <w:r>
        <w:rPr>
          <w:rFonts w:hint="eastAsia" w:ascii="宋体" w:hAnsi="宋体" w:eastAsia="宋体" w:cs="宋体"/>
          <w:b/>
          <w:bCs/>
          <w:color w:val="auto"/>
          <w:kern w:val="2"/>
          <w:sz w:val="21"/>
          <w:szCs w:val="21"/>
          <w:lang w:val="en-US" w:eastAsia="zh-CN" w:bidi="ar-SA"/>
        </w:rPr>
        <w:t>1.5.1</w:t>
      </w:r>
      <w:r>
        <w:rPr>
          <w:rFonts w:hint="eastAsia" w:ascii="黑体" w:hAnsi="宋体" w:eastAsia="黑体" w:cs="黑体"/>
          <w:b/>
          <w:bCs/>
          <w:color w:val="auto"/>
          <w:sz w:val="21"/>
          <w:szCs w:val="21"/>
          <w:highlight w:val="none"/>
        </w:rPr>
        <w:t>平台运营服务需求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需提供平台运营服务，包括工具平台部署服务、数据共享交互服务、数据处理服务、日常运营服务和相关应用升级扩展服务，进一步明确异地账户共济的政策目标和实施路径，确保政策的有效落地和执行。同时，探索将异地家庭账户共济服务的范围进一步扩大至全省范围内，打破原有医保统筹区的地域限制，让更多家庭享受到医保个人账户带来的便利和保障，共同推动全省异地家庭账户共济业务的建设和发展。</w:t>
      </w:r>
    </w:p>
    <w:p>
      <w:pPr>
        <w:widowControl/>
        <w:numPr>
          <w:ilvl w:val="2"/>
          <w:numId w:val="0"/>
        </w:numPr>
        <w:spacing w:line="360" w:lineRule="auto"/>
        <w:ind w:left="42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17" w:name="_Toc180513491"/>
      <w:bookmarkEnd w:id="17"/>
      <w:r>
        <w:rPr>
          <w:rFonts w:hint="eastAsia" w:ascii="宋体" w:hAnsi="宋体" w:eastAsia="宋体" w:cs="宋体"/>
          <w:b/>
          <w:bCs/>
          <w:color w:val="auto"/>
          <w:kern w:val="2"/>
          <w:sz w:val="21"/>
          <w:szCs w:val="21"/>
          <w:lang w:val="en-US" w:eastAsia="zh-CN" w:bidi="ar-SA"/>
        </w:rPr>
        <w:t>1.5.2</w:t>
      </w:r>
      <w:r>
        <w:rPr>
          <w:rFonts w:hint="eastAsia" w:ascii="黑体" w:hAnsi="宋体" w:eastAsia="黑体" w:cs="黑体"/>
          <w:b/>
          <w:bCs/>
          <w:color w:val="auto"/>
          <w:sz w:val="21"/>
          <w:szCs w:val="21"/>
          <w:highlight w:val="none"/>
        </w:rPr>
        <w:t>培训服务需求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需提供专业的、配套的培训服务，对省医保局及各级医保部门的管理人员、业务经办人员等进行培训，使其全面了解和掌握省内跨统筹区职工基本医疗保险个人账户家庭共济的政策背景、目的意义、操作流程及注意事项，提高办事效率，减少线下工作量。</w:t>
      </w:r>
    </w:p>
    <w:p>
      <w:pPr>
        <w:widowControl/>
        <w:numPr>
          <w:ilvl w:val="2"/>
          <w:numId w:val="0"/>
        </w:numPr>
        <w:spacing w:line="360" w:lineRule="auto"/>
        <w:ind w:left="42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18" w:name="_Toc180513492"/>
      <w:bookmarkEnd w:id="18"/>
      <w:r>
        <w:rPr>
          <w:rFonts w:hint="eastAsia" w:ascii="宋体" w:hAnsi="宋体" w:eastAsia="宋体" w:cs="宋体"/>
          <w:b/>
          <w:bCs/>
          <w:color w:val="auto"/>
          <w:kern w:val="2"/>
          <w:sz w:val="21"/>
          <w:szCs w:val="21"/>
          <w:lang w:val="en-US" w:eastAsia="zh-CN" w:bidi="ar-SA"/>
        </w:rPr>
        <w:t>1.5.3</w:t>
      </w:r>
      <w:r>
        <w:rPr>
          <w:rFonts w:hint="eastAsia" w:ascii="黑体" w:hAnsi="宋体" w:eastAsia="黑体" w:cs="黑体"/>
          <w:b/>
          <w:bCs/>
          <w:color w:val="auto"/>
          <w:sz w:val="21"/>
          <w:szCs w:val="21"/>
          <w:highlight w:val="none"/>
        </w:rPr>
        <w:t>信息咨询需求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需提供信息咨询服务，帮助解读省内跨统筹区职工医保个人家庭账户共济的政策解读、操作流程指导和疑难问题的解答，确保家庭共济账户资金的省内跨地区使用。</w:t>
      </w:r>
    </w:p>
    <w:p>
      <w:pPr>
        <w:widowControl/>
        <w:numPr>
          <w:ilvl w:val="2"/>
          <w:numId w:val="0"/>
        </w:numPr>
        <w:spacing w:line="360" w:lineRule="auto"/>
        <w:ind w:left="42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19" w:name="_Toc180513493"/>
      <w:bookmarkEnd w:id="19"/>
      <w:r>
        <w:rPr>
          <w:rFonts w:hint="eastAsia" w:ascii="宋体" w:hAnsi="宋体" w:eastAsia="宋体" w:cs="宋体"/>
          <w:b/>
          <w:bCs/>
          <w:color w:val="auto"/>
          <w:kern w:val="2"/>
          <w:sz w:val="21"/>
          <w:szCs w:val="21"/>
          <w:lang w:val="en-US" w:eastAsia="zh-CN" w:bidi="ar-SA"/>
        </w:rPr>
        <w:t>1.5.4</w:t>
      </w:r>
      <w:r>
        <w:rPr>
          <w:rFonts w:hint="eastAsia" w:ascii="黑体" w:hAnsi="宋体" w:eastAsia="黑体" w:cs="黑体"/>
          <w:b/>
          <w:bCs/>
          <w:color w:val="auto"/>
          <w:sz w:val="21"/>
          <w:szCs w:val="21"/>
          <w:highlight w:val="none"/>
        </w:rPr>
        <w:t>支撑工具软件要求</w:t>
      </w:r>
    </w:p>
    <w:p>
      <w:pPr>
        <w:keepNext w:val="0"/>
        <w:keepLines w:val="0"/>
        <w:widowControl/>
        <w:suppressLineNumbers w:val="0"/>
        <w:spacing w:before="0" w:beforeAutospacing="0" w:after="0" w:afterAutospacing="0" w:line="360" w:lineRule="auto"/>
        <w:ind w:left="210" w:leftChars="100" w:right="0" w:firstLine="210" w:firstLineChars="100"/>
        <w:jc w:val="both"/>
        <w:outlineLvl w:val="9"/>
        <w:rPr>
          <w:rFonts w:hint="eastAsia" w:ascii="宋体" w:hAnsi="宋体" w:eastAsia="宋体" w:cs="宋体"/>
          <w:color w:val="auto"/>
          <w:kern w:val="0"/>
          <w:sz w:val="21"/>
          <w:szCs w:val="21"/>
          <w:highlight w:val="none"/>
          <w:lang w:val="en-US" w:eastAsia="zh-CN" w:bidi="ar"/>
        </w:rPr>
      </w:pPr>
      <w:r>
        <w:rPr>
          <w:rFonts w:hint="eastAsia" w:ascii="宋体" w:hAnsi="宋体" w:eastAsia="宋体" w:cs="宋体"/>
          <w:color w:val="auto"/>
          <w:kern w:val="0"/>
          <w:sz w:val="21"/>
          <w:szCs w:val="21"/>
          <w:highlight w:val="none"/>
          <w:lang w:val="en-US" w:eastAsia="zh-CN" w:bidi="ar"/>
        </w:rPr>
        <w:t>基于上述平台运营服务内容，需配备相应功能和性能能力的支撑软件工具（该工具为本项目运营服务商自研产品），以支撑省内异地家庭共济关系绑定服务、关系查询服务、省市级共济资金清算服务，资金划拨服务、使用记录查询等服务的正常运行。</w:t>
      </w:r>
    </w:p>
    <w:p>
      <w:pPr>
        <w:widowControl/>
        <w:numPr>
          <w:ilvl w:val="2"/>
          <w:numId w:val="0"/>
        </w:numPr>
        <w:spacing w:line="360" w:lineRule="auto"/>
        <w:ind w:left="420" w:leftChars="0" w:right="0" w:rightChars="0" w:firstLine="0" w:firstLineChars="0"/>
        <w:outlineLvl w:val="9"/>
        <w:rPr>
          <w:rFonts w:hint="default" w:ascii="黑体" w:hAnsi="宋体" w:eastAsia="黑体" w:cs="黑体"/>
          <w:b/>
          <w:bCs/>
          <w:color w:val="auto"/>
          <w:sz w:val="21"/>
          <w:szCs w:val="21"/>
          <w:highlight w:val="none"/>
          <w:lang w:val="en-US" w:eastAsia="zh-CN"/>
        </w:rPr>
      </w:pPr>
      <w:r>
        <w:rPr>
          <w:rFonts w:hint="eastAsia" w:ascii="黑体" w:hAnsi="宋体" w:eastAsia="黑体" w:cs="黑体"/>
          <w:b/>
          <w:bCs/>
          <w:color w:val="auto"/>
          <w:sz w:val="21"/>
          <w:szCs w:val="21"/>
          <w:highlight w:val="none"/>
          <w:lang w:val="en-US" w:eastAsia="zh-CN"/>
        </w:rPr>
        <w:t>1.5.4.1支撑工具软件功能要求</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1.5.4.1.1</w:t>
      </w:r>
      <w:r>
        <w:rPr>
          <w:rFonts w:hint="eastAsia" w:ascii="宋体" w:hAnsi="宋体" w:eastAsia="宋体" w:cs="宋体"/>
          <w:b/>
          <w:bCs/>
          <w:color w:val="auto"/>
          <w:sz w:val="21"/>
          <w:szCs w:val="21"/>
          <w:highlight w:val="none"/>
        </w:rPr>
        <w:t>备案管理</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1.5.4.1.1.1</w:t>
      </w:r>
      <w:r>
        <w:rPr>
          <w:rFonts w:hint="eastAsia" w:ascii="宋体" w:hAnsi="宋体" w:eastAsia="宋体" w:cs="宋体"/>
          <w:b/>
          <w:bCs/>
          <w:color w:val="auto"/>
          <w:sz w:val="21"/>
          <w:szCs w:val="21"/>
          <w:highlight w:val="none"/>
        </w:rPr>
        <w:t>账户共济授权备案</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提供账户共济授权备案服务，支持参保职工在参保所属经办机构办理账户共济授权业务，将个人账户金额共济给其直系亲属使用。授权人与使用人分属不同地市，则系统将自动将相关个人账户基金的支付信息按约定的方式推送至异地就医系统，来实现跨地市的准确结算。同时，对原公服系统的相关接口同步提供升级改造服务。</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1.5.4.1.1.2</w:t>
      </w:r>
      <w:r>
        <w:rPr>
          <w:rFonts w:hint="eastAsia" w:ascii="宋体" w:hAnsi="宋体" w:eastAsia="宋体" w:cs="宋体"/>
          <w:b/>
          <w:bCs/>
          <w:color w:val="auto"/>
          <w:sz w:val="21"/>
          <w:szCs w:val="21"/>
          <w:highlight w:val="none"/>
        </w:rPr>
        <w:t>账户共济支出顺序调整</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提供对共济账户支出顺序的调整服务，个人账户使用人可在其参保所属经办机构办理账户共济支出顺序调整业务，更改其绑定的多个授权人个人账户的共济使用优先级顺序。提供对账户共济支出顺序调整和账户共济授权备案审核功能的升级服务，包含支持全省“使用人”的信息调整、审核、撤销等服务。</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1.5.4.1.2</w:t>
      </w:r>
      <w:r>
        <w:rPr>
          <w:rFonts w:hint="eastAsia" w:ascii="宋体" w:hAnsi="宋体" w:eastAsia="宋体" w:cs="宋体"/>
          <w:b/>
          <w:bCs/>
          <w:color w:val="auto"/>
          <w:sz w:val="21"/>
          <w:szCs w:val="21"/>
          <w:highlight w:val="none"/>
        </w:rPr>
        <w:t>受理管理</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1.5.4.1.2.1</w:t>
      </w:r>
      <w:r>
        <w:rPr>
          <w:rFonts w:hint="eastAsia" w:ascii="宋体" w:hAnsi="宋体" w:eastAsia="宋体" w:cs="宋体"/>
          <w:b/>
          <w:bCs/>
          <w:color w:val="auto"/>
          <w:sz w:val="21"/>
          <w:szCs w:val="21"/>
          <w:highlight w:val="none"/>
        </w:rPr>
        <w:t>异地个账共济受理</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支持对于接收后的异地个人账户共济数据进行受理服务，该服务支持全选或者部分选择需要受理的数据，并支持明细信息查询。同时包含查询信息服务和数据导出服务，为财务人员进行受理提供有力数据支撑。</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1.5.4.1.2.2</w:t>
      </w:r>
      <w:r>
        <w:rPr>
          <w:rFonts w:hint="eastAsia" w:ascii="宋体" w:hAnsi="宋体" w:eastAsia="宋体" w:cs="宋体"/>
          <w:b/>
          <w:bCs/>
          <w:color w:val="auto"/>
          <w:sz w:val="21"/>
          <w:szCs w:val="21"/>
          <w:highlight w:val="none"/>
        </w:rPr>
        <w:t>异地个账下拨及两定机构数据受理</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支持对于接收后的异地个账下拨及两定机构支付数据进行受理服务，该服务可以全选或者部分选择需要受理的数据，并支持明细信息查询。为了向财务人员进行受理提供数据支撑，同时提供查询信息服务和数据导出服务。</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1.5.4.1.3</w:t>
      </w:r>
      <w:r>
        <w:rPr>
          <w:rFonts w:hint="eastAsia" w:ascii="宋体" w:hAnsi="宋体" w:eastAsia="宋体" w:cs="宋体"/>
          <w:b/>
          <w:bCs/>
          <w:color w:val="auto"/>
          <w:sz w:val="21"/>
          <w:szCs w:val="21"/>
          <w:highlight w:val="none"/>
        </w:rPr>
        <w:t>资金上解下拨管理</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1.5.4.1.3.1</w:t>
      </w:r>
      <w:r>
        <w:rPr>
          <w:rFonts w:hint="eastAsia" w:ascii="宋体" w:hAnsi="宋体" w:eastAsia="宋体" w:cs="宋体"/>
          <w:b/>
          <w:bCs/>
          <w:color w:val="auto"/>
          <w:sz w:val="21"/>
          <w:szCs w:val="21"/>
          <w:highlight w:val="none"/>
        </w:rPr>
        <w:t>账户共济清算</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账户共济清算服务，支持按月对本统筹区参保职工个人账户资金用于支付配偶、父母、子女在定点医疗机构发生的由个人负担的医疗费用进行省级清算，通过算法计算得出各统筹区异地家庭账户共济应收应付金额，并生成相应的支付数据。</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1.5.4.1.3.2</w:t>
      </w:r>
      <w:r>
        <w:rPr>
          <w:rFonts w:hint="eastAsia" w:ascii="宋体" w:hAnsi="宋体" w:eastAsia="宋体" w:cs="宋体"/>
          <w:b/>
          <w:bCs/>
          <w:color w:val="auto"/>
          <w:sz w:val="21"/>
          <w:szCs w:val="21"/>
          <w:highlight w:val="none"/>
        </w:rPr>
        <w:t>账户共济上解审核</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针对账户共济上解的审核服务，统筹区经办人员对本地市异地账户共济费用进行上解审核。</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1.5.4.1.3.3</w:t>
      </w:r>
      <w:r>
        <w:rPr>
          <w:rFonts w:hint="eastAsia" w:ascii="宋体" w:hAnsi="宋体" w:eastAsia="宋体" w:cs="宋体"/>
          <w:b/>
          <w:bCs/>
          <w:color w:val="auto"/>
          <w:sz w:val="21"/>
          <w:szCs w:val="21"/>
          <w:highlight w:val="none"/>
        </w:rPr>
        <w:t>账户共济上解复核</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针对账户共济上解的复核服务，统筹区复核岗经办人员对本地市异地账户共济费用进行上解审核。</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1.5.4.1.3.4</w:t>
      </w:r>
      <w:r>
        <w:rPr>
          <w:rFonts w:hint="eastAsia" w:ascii="宋体" w:hAnsi="宋体" w:eastAsia="宋体" w:cs="宋体"/>
          <w:b/>
          <w:bCs/>
          <w:color w:val="auto"/>
          <w:sz w:val="21"/>
          <w:szCs w:val="21"/>
          <w:highlight w:val="none"/>
        </w:rPr>
        <w:t>账户共济上解审查</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针对账户共济上解的审查服务，统筹区经办领导对本地市异地账户共济费用进行上解审核。</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1.5.4.1.3.5</w:t>
      </w:r>
      <w:r>
        <w:rPr>
          <w:rFonts w:hint="eastAsia" w:ascii="宋体" w:hAnsi="宋体" w:eastAsia="宋体" w:cs="宋体"/>
          <w:b/>
          <w:bCs/>
          <w:color w:val="auto"/>
          <w:sz w:val="21"/>
          <w:szCs w:val="21"/>
          <w:highlight w:val="none"/>
        </w:rPr>
        <w:t>账户共济省级费用下拨管理</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color w:val="auto"/>
          <w:kern w:val="0"/>
          <w:sz w:val="21"/>
          <w:szCs w:val="21"/>
          <w:highlight w:val="none"/>
          <w:lang w:val="en-US" w:eastAsia="zh-CN" w:bidi="ar"/>
        </w:rPr>
        <w:t>针对账户共济升级费用下拨的管理服务，省级经办人员对各统筹区异地账户共济费用进行确认，无误后进行资金下拨。</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1.5.4.1.4</w:t>
      </w:r>
      <w:r>
        <w:rPr>
          <w:rFonts w:hint="eastAsia" w:ascii="宋体" w:hAnsi="宋体" w:eastAsia="宋体" w:cs="宋体"/>
          <w:b/>
          <w:bCs/>
          <w:color w:val="auto"/>
          <w:sz w:val="21"/>
          <w:szCs w:val="21"/>
          <w:highlight w:val="none"/>
        </w:rPr>
        <w:t>财务数据管理</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1.5.4.1.4.1</w:t>
      </w:r>
      <w:r>
        <w:rPr>
          <w:rFonts w:hint="eastAsia" w:ascii="宋体" w:hAnsi="宋体" w:eastAsia="宋体" w:cs="宋体"/>
          <w:b/>
          <w:bCs/>
          <w:color w:val="auto"/>
          <w:sz w:val="21"/>
          <w:szCs w:val="21"/>
          <w:highlight w:val="none"/>
        </w:rPr>
        <w:t>账户共济财务数据审核不通过维护</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针对省市级经办人员对财务审核不通过的数据进行的二次维护提供服务，支持根据不通过原因进行处理，再次推送至财务系统。</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1.5.4.1.4.2</w:t>
      </w:r>
      <w:r>
        <w:rPr>
          <w:rFonts w:hint="eastAsia" w:ascii="宋体" w:hAnsi="宋体" w:eastAsia="宋体" w:cs="宋体"/>
          <w:b/>
          <w:bCs/>
          <w:color w:val="auto"/>
          <w:sz w:val="21"/>
          <w:szCs w:val="21"/>
          <w:highlight w:val="none"/>
        </w:rPr>
        <w:t>账户共济财务数据支付失败维护</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提供支付失败维护服务，针对省市级经办人员对财务支付失败的数据进行二次维护，根据支付失败原因进行处理，再次推送至财务系统。</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1.5.4.1.5</w:t>
      </w:r>
      <w:r>
        <w:rPr>
          <w:rFonts w:hint="eastAsia" w:ascii="宋体" w:hAnsi="宋体" w:eastAsia="宋体" w:cs="宋体"/>
          <w:b/>
          <w:bCs/>
          <w:color w:val="auto"/>
          <w:sz w:val="21"/>
          <w:szCs w:val="21"/>
          <w:highlight w:val="none"/>
        </w:rPr>
        <w:t>拨付管理</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1.5.4.1.5.1</w:t>
      </w:r>
      <w:r>
        <w:rPr>
          <w:rFonts w:hint="eastAsia" w:ascii="宋体" w:hAnsi="宋体" w:eastAsia="宋体" w:cs="宋体"/>
          <w:b/>
          <w:bCs/>
          <w:color w:val="auto"/>
          <w:sz w:val="21"/>
          <w:szCs w:val="21"/>
          <w:highlight w:val="none"/>
        </w:rPr>
        <w:t>支付计划审批</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对已受理（异地个账共济上解，下拨及两定机构）的支付计划进行审批，同时系统提供驳回财务初审服务，分已办，待办，全部三种状态显示。</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1.5.4.1.5.2</w:t>
      </w:r>
      <w:r>
        <w:rPr>
          <w:rFonts w:hint="eastAsia" w:ascii="宋体" w:hAnsi="宋体" w:eastAsia="宋体" w:cs="宋体"/>
          <w:b/>
          <w:bCs/>
          <w:color w:val="auto"/>
          <w:sz w:val="21"/>
          <w:szCs w:val="21"/>
          <w:highlight w:val="none"/>
        </w:rPr>
        <w:t>银医直连批量支付</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提供批量支付服务，数据通过审核后，支持通过批量完成（异地个账共济上解，下拨及两定机构）的支付计划支付，支持查询支付进度。可查询待支付、支付在途、银行回盘，支付成功，支付失败，抽单支付，异常退汇信息等服务。并支持数据导出服务。</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1.5.4.1.5.3</w:t>
      </w:r>
      <w:r>
        <w:rPr>
          <w:rFonts w:hint="eastAsia" w:ascii="宋体" w:hAnsi="宋体" w:eastAsia="宋体" w:cs="宋体"/>
          <w:b/>
          <w:bCs/>
          <w:color w:val="auto"/>
          <w:sz w:val="21"/>
          <w:szCs w:val="21"/>
          <w:highlight w:val="none"/>
        </w:rPr>
        <w:t>业务单据记账</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color w:val="auto"/>
          <w:kern w:val="0"/>
          <w:sz w:val="21"/>
          <w:szCs w:val="21"/>
          <w:highlight w:val="none"/>
          <w:lang w:val="en-US" w:eastAsia="zh-CN" w:bidi="ar"/>
        </w:rPr>
        <w:t>业务单据记账通过银行支付成功的数据，异地个账共济数据可以生成凭证，提供业务数据按照批次号，经办机构，险种，金额，拨付对象编码进行查询服务，并支持支付计划数据的导出服务，并把数据分未生成，已生成，不生成三种页签显示。提供直接生成凭证或者汇总生成凭证服务。同时也支持凭证的取消生成服务。</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1.5.4.1.6</w:t>
      </w:r>
      <w:r>
        <w:rPr>
          <w:rFonts w:hint="eastAsia" w:ascii="宋体" w:hAnsi="宋体" w:eastAsia="宋体" w:cs="宋体"/>
          <w:b/>
          <w:bCs/>
          <w:color w:val="auto"/>
          <w:sz w:val="21"/>
          <w:szCs w:val="21"/>
          <w:highlight w:val="none"/>
        </w:rPr>
        <w:t>查询统计</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1.5.4.1.6.1</w:t>
      </w:r>
      <w:r>
        <w:rPr>
          <w:rFonts w:hint="eastAsia" w:ascii="宋体" w:hAnsi="宋体" w:eastAsia="宋体" w:cs="宋体"/>
          <w:b/>
          <w:bCs/>
          <w:color w:val="auto"/>
          <w:sz w:val="21"/>
          <w:szCs w:val="21"/>
          <w:highlight w:val="none"/>
        </w:rPr>
        <w:t>个人账户收支流水查询</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对经办人员、参保人提供授权人下个人账号的账户共济支出消费信息查询服务。</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1.5.4.1.6.2</w:t>
      </w:r>
      <w:r>
        <w:rPr>
          <w:rFonts w:hint="eastAsia" w:ascii="宋体" w:hAnsi="宋体" w:eastAsia="宋体" w:cs="宋体"/>
          <w:b/>
          <w:bCs/>
          <w:color w:val="auto"/>
          <w:sz w:val="21"/>
          <w:szCs w:val="21"/>
          <w:highlight w:val="none"/>
        </w:rPr>
        <w:t>账户共济支付进度信息查询</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提供账户共济支付进度信息查询服务，省市级经办人员可以通过该功能对账户共济支付进度信息进行查询，达到资金透明化，便于管理人员查看，促进业务合理发展，在查询过程中保障数据安全。</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1.5.4.1.6.3</w:t>
      </w:r>
      <w:r>
        <w:rPr>
          <w:rFonts w:hint="eastAsia" w:ascii="宋体" w:hAnsi="宋体" w:eastAsia="宋体" w:cs="宋体"/>
          <w:b/>
          <w:bCs/>
          <w:color w:val="auto"/>
          <w:sz w:val="21"/>
          <w:szCs w:val="21"/>
          <w:highlight w:val="none"/>
        </w:rPr>
        <w:t>账户共济清算信息查询</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提供账户共济清算信息查询服务，省市级经办人员可以通过该功能对账户共济清算信息信息进行查询，便于管理人员查看，促进业务合理发展，在查询过程中保障数据安全。</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1.5.4.1.6.4</w:t>
      </w:r>
      <w:r>
        <w:rPr>
          <w:rFonts w:hint="eastAsia" w:ascii="宋体" w:hAnsi="宋体" w:eastAsia="宋体" w:cs="宋体"/>
          <w:b/>
          <w:bCs/>
          <w:color w:val="auto"/>
          <w:sz w:val="21"/>
          <w:szCs w:val="21"/>
          <w:highlight w:val="none"/>
        </w:rPr>
        <w:t>支付计划结果查询</w:t>
      </w:r>
    </w:p>
    <w:p>
      <w:pPr>
        <w:keepNext w:val="0"/>
        <w:keepLines w:val="0"/>
        <w:widowControl/>
        <w:suppressLineNumbers w:val="0"/>
        <w:spacing w:before="0" w:beforeAutospacing="0" w:after="0" w:afterAutospacing="0" w:line="360" w:lineRule="auto"/>
        <w:ind w:left="0" w:right="0" w:firstLine="420" w:firstLineChars="0"/>
        <w:jc w:val="both"/>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color w:val="auto"/>
          <w:kern w:val="0"/>
          <w:sz w:val="21"/>
          <w:szCs w:val="21"/>
          <w:highlight w:val="none"/>
          <w:lang w:val="en-US" w:eastAsia="zh-CN" w:bidi="ar"/>
        </w:rPr>
        <w:t>对于支付后的数据可以按照经办机构，批次号，险种，归属期，支付状态（支付成功，支付失败，支付在途），收款单位，金额，业务类型等可以进行查询，上级单位也可以监控下级单位的账户支付情况。</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1.5.4.1.7</w:t>
      </w:r>
      <w:r>
        <w:rPr>
          <w:rFonts w:hint="eastAsia" w:ascii="宋体" w:hAnsi="宋体" w:eastAsia="宋体" w:cs="宋体"/>
          <w:b/>
          <w:bCs/>
          <w:color w:val="auto"/>
          <w:sz w:val="21"/>
          <w:szCs w:val="21"/>
          <w:highlight w:val="none"/>
        </w:rPr>
        <w:t>报表管理</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1.5.4.1.7.1</w:t>
      </w:r>
      <w:r>
        <w:rPr>
          <w:rFonts w:hint="eastAsia" w:ascii="宋体" w:hAnsi="宋体" w:eastAsia="宋体" w:cs="宋体"/>
          <w:b/>
          <w:bCs/>
          <w:color w:val="auto"/>
          <w:sz w:val="21"/>
          <w:szCs w:val="21"/>
          <w:highlight w:val="none"/>
        </w:rPr>
        <w:t>账户共济省级应收应付分表打印</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提供打印服务，根据业务需要对省级应收应付费用生成相应的分项报表，并允许重复打印。</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1.5.4.1.7.2</w:t>
      </w:r>
      <w:r>
        <w:rPr>
          <w:rFonts w:hint="eastAsia" w:ascii="宋体" w:hAnsi="宋体" w:eastAsia="宋体" w:cs="宋体"/>
          <w:b/>
          <w:bCs/>
          <w:color w:val="auto"/>
          <w:sz w:val="21"/>
          <w:szCs w:val="21"/>
          <w:highlight w:val="none"/>
        </w:rPr>
        <w:t>账户共济省级应收应付汇总表打印</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提供打印服务，根据业务需要对省级应收应付费用生成相应的汇总报表，并允许重复打印。</w:t>
      </w:r>
    </w:p>
    <w:p>
      <w:pPr>
        <w:widowControl/>
        <w:numPr>
          <w:ilvl w:val="5"/>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1.5.4.1.7.3</w:t>
      </w:r>
      <w:r>
        <w:rPr>
          <w:rFonts w:hint="eastAsia" w:ascii="宋体" w:hAnsi="宋体" w:eastAsia="宋体" w:cs="宋体"/>
          <w:b/>
          <w:bCs/>
          <w:color w:val="auto"/>
          <w:sz w:val="21"/>
          <w:szCs w:val="21"/>
          <w:highlight w:val="none"/>
        </w:rPr>
        <w:t>账户共济地市级报表打印</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提供打印服务，根据业务需要对地市级应收应付费用生成相应的报表，并允许重复打印。</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1.5.4.1.8</w:t>
      </w:r>
      <w:r>
        <w:rPr>
          <w:rFonts w:hint="eastAsia" w:ascii="宋体" w:hAnsi="宋体" w:eastAsia="宋体" w:cs="宋体"/>
          <w:b/>
          <w:bCs/>
          <w:color w:val="auto"/>
          <w:sz w:val="21"/>
          <w:szCs w:val="21"/>
          <w:highlight w:val="none"/>
        </w:rPr>
        <w:t>异地账户共济交互管理</w:t>
      </w:r>
    </w:p>
    <w:p>
      <w:pPr>
        <w:widowControl/>
        <w:numPr>
          <w:ilvl w:val="6"/>
          <w:numId w:val="0"/>
        </w:numPr>
        <w:spacing w:before="0" w:beforeAutospacing="1" w:after="0" w:afterAutospacing="1"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1.5.4.1.8.1.1</w:t>
      </w:r>
      <w:r>
        <w:rPr>
          <w:rFonts w:hint="eastAsia" w:ascii="宋体" w:hAnsi="宋体" w:eastAsia="宋体" w:cs="宋体"/>
          <w:b/>
          <w:bCs/>
          <w:color w:val="auto"/>
          <w:sz w:val="21"/>
          <w:szCs w:val="21"/>
          <w:highlight w:val="none"/>
        </w:rPr>
        <w:t>账户共济数据接入</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地市、区县级经办人员对异地账户共济结算数据进行接入管理。参与医保个人账户共济的各方数据（如职工参保人、近亲属等）整合在一起，纳入统一的数据处理平台或系统，以实现账户余额的共享使用和相关费用的结算。</w:t>
      </w:r>
    </w:p>
    <w:p>
      <w:pPr>
        <w:widowControl/>
        <w:numPr>
          <w:ilvl w:val="6"/>
          <w:numId w:val="0"/>
        </w:numPr>
        <w:spacing w:before="0" w:beforeAutospacing="1" w:after="0" w:afterAutospacing="1"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1.5.4.1.8.1.2</w:t>
      </w:r>
      <w:r>
        <w:rPr>
          <w:rFonts w:hint="eastAsia" w:ascii="宋体" w:hAnsi="宋体" w:eastAsia="宋体" w:cs="宋体"/>
          <w:b/>
          <w:bCs/>
          <w:color w:val="auto"/>
          <w:sz w:val="21"/>
          <w:szCs w:val="21"/>
          <w:highlight w:val="none"/>
        </w:rPr>
        <w:t>异地个账下拨及两定机构数据接入</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通过业务财务中间库接口接收待受理的异地个账下拨及两定机构支付数据，按费款所属期、业务批次号、拨付对象编码查询待受理的支付数据。并支持数据的导出功能。</w:t>
      </w:r>
    </w:p>
    <w:p>
      <w:pPr>
        <w:widowControl/>
        <w:numPr>
          <w:ilvl w:val="6"/>
          <w:numId w:val="0"/>
        </w:numPr>
        <w:spacing w:before="0" w:beforeAutospacing="1" w:after="0" w:afterAutospacing="1"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1.5.4.1.8.1.3</w:t>
      </w:r>
      <w:r>
        <w:rPr>
          <w:rFonts w:hint="eastAsia" w:ascii="宋体" w:hAnsi="宋体" w:eastAsia="宋体" w:cs="宋体"/>
          <w:b/>
          <w:bCs/>
          <w:color w:val="auto"/>
          <w:sz w:val="21"/>
          <w:szCs w:val="21"/>
          <w:highlight w:val="none"/>
        </w:rPr>
        <w:t>业务财务数据对接</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根据共济所涉及的业务和流程及信息共享业务需求，共济系统需要在业务财务对账等业务环节实现信息共享和业务协同。</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构建统一的技术标准，改造系统功能，搭建数据共享中间库，将共济清算支付数据，按照中间库的标准进行标准化处理，通过增量方式经数据推送至中间库，财务系统准实时抽取中间库数据。</w:t>
      </w:r>
    </w:p>
    <w:p>
      <w:pPr>
        <w:widowControl/>
        <w:numPr>
          <w:ilvl w:val="6"/>
          <w:numId w:val="0"/>
        </w:numPr>
        <w:spacing w:before="0" w:beforeAutospacing="1" w:after="0" w:afterAutospacing="1"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1.5.4.1.8.1.4</w:t>
      </w:r>
      <w:r>
        <w:rPr>
          <w:rFonts w:hint="eastAsia" w:ascii="宋体" w:hAnsi="宋体" w:eastAsia="宋体" w:cs="宋体"/>
          <w:b/>
          <w:bCs/>
          <w:color w:val="auto"/>
          <w:sz w:val="21"/>
          <w:szCs w:val="21"/>
          <w:highlight w:val="none"/>
        </w:rPr>
        <w:t>本地异地业务数据对接</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根据共济所涉及的业务和流程及信息共享业务需求，核心系统和异地就医系统需要、个人结算（门诊、购药、住院）、月度结算、退费业务处理（结算费用退费等）、业务财务对账等业务环节实现信息共享和业务协同。</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构建统一的技术标准，改造、升级核心系统个功能，搭建数据共享中间库，将核心系统中使用账户共济的数据和省内异地结算数据，按照中间库的标准进行标准化处理，通过增量方式经数据推送至中间库，异地就医系统准实时抽取中间库数据。</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同时，针对个账代缴和机构结算中可能产生的退费数据通过给中间库推送负值的处理方式实现数据同步。</w:t>
      </w:r>
    </w:p>
    <w:p>
      <w:pPr>
        <w:widowControl/>
        <w:numPr>
          <w:ilvl w:val="6"/>
          <w:numId w:val="0"/>
        </w:numPr>
        <w:spacing w:before="0" w:beforeAutospacing="1" w:after="0" w:afterAutospacing="1"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1.5.4.1.8.1.5</w:t>
      </w:r>
      <w:r>
        <w:rPr>
          <w:rFonts w:hint="eastAsia" w:ascii="宋体" w:hAnsi="宋体" w:eastAsia="宋体" w:cs="宋体"/>
          <w:b/>
          <w:bCs/>
          <w:color w:val="auto"/>
          <w:sz w:val="21"/>
          <w:szCs w:val="21"/>
          <w:highlight w:val="none"/>
        </w:rPr>
        <w:t>异地个账共济接入（上解）</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通过业务财务中间库接口接收异地个账共济支付数据，按费款所属期、业务批次号、拨付对象编码查询待受理的支付数据。并支持数据的导出功能。</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1.5.4.2</w:t>
      </w:r>
      <w:r>
        <w:rPr>
          <w:rFonts w:hint="eastAsia" w:ascii="宋体" w:hAnsi="宋体" w:eastAsia="宋体" w:cs="宋体"/>
          <w:b/>
          <w:bCs/>
          <w:color w:val="auto"/>
          <w:sz w:val="21"/>
          <w:szCs w:val="21"/>
          <w:highlight w:val="none"/>
        </w:rPr>
        <w:t>性能要求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本项目实施对支撑工具的性能要求如下：</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1.5.4.2.1</w:t>
      </w:r>
      <w:r>
        <w:rPr>
          <w:rFonts w:hint="eastAsia" w:ascii="宋体" w:hAnsi="宋体" w:eastAsia="宋体" w:cs="宋体"/>
          <w:b/>
          <w:bCs/>
          <w:color w:val="auto"/>
          <w:sz w:val="21"/>
          <w:szCs w:val="21"/>
          <w:highlight w:val="none"/>
        </w:rPr>
        <w:t>总响应时间要求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系统总响应时间是指请求响应时间、数据处理时间、输出响应时间的总和，其各类指标如下：</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1.</w:t>
      </w:r>
      <w:r>
        <w:rPr>
          <w:rFonts w:hint="eastAsia" w:ascii="宋体" w:hAnsi="宋体" w:eastAsia="宋体" w:cs="宋体"/>
          <w:b/>
          <w:bCs/>
          <w:color w:val="auto"/>
          <w:kern w:val="0"/>
          <w:sz w:val="21"/>
          <w:szCs w:val="21"/>
          <w:highlight w:val="none"/>
          <w:lang w:val="en-US" w:eastAsia="zh-CN" w:bidi="ar"/>
        </w:rPr>
        <w:t>交互类业务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交互类业务是指平时工作中在系统中进行的业务处理，如录入、修改或删除一条记录、发布一条信息等操作。</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平均响应时间≤</w:t>
      </w: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秒；</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峰值响应时间≤</w:t>
      </w: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秒；</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批量前台经办业务数据导入（按一次</w:t>
      </w:r>
      <w:r>
        <w:rPr>
          <w:rFonts w:hint="default" w:ascii="Times New Roman" w:hAnsi="Times New Roman" w:eastAsia="宋体" w:cs="Times New Roman"/>
          <w:color w:val="auto"/>
          <w:kern w:val="0"/>
          <w:sz w:val="21"/>
          <w:szCs w:val="21"/>
          <w:highlight w:val="none"/>
          <w:lang w:val="en-US" w:eastAsia="zh-CN" w:bidi="ar"/>
        </w:rPr>
        <w:t>2000</w:t>
      </w:r>
      <w:r>
        <w:rPr>
          <w:rFonts w:hint="eastAsia" w:ascii="宋体" w:hAnsi="宋体" w:eastAsia="宋体" w:cs="宋体"/>
          <w:color w:val="auto"/>
          <w:kern w:val="0"/>
          <w:sz w:val="21"/>
          <w:szCs w:val="21"/>
          <w:highlight w:val="none"/>
          <w:lang w:val="en-US" w:eastAsia="zh-CN" w:bidi="ar"/>
        </w:rPr>
        <w:t>条评估）平均响应时间≤</w:t>
      </w:r>
      <w:r>
        <w:rPr>
          <w:rFonts w:hint="default" w:ascii="Times New Roman" w:hAnsi="Times New Roman" w:eastAsia="宋体" w:cs="Times New Roman"/>
          <w:color w:val="auto"/>
          <w:kern w:val="0"/>
          <w:sz w:val="21"/>
          <w:szCs w:val="21"/>
          <w:highlight w:val="none"/>
          <w:lang w:val="en-US" w:eastAsia="zh-CN" w:bidi="ar"/>
        </w:rPr>
        <w:t>5</w:t>
      </w:r>
      <w:r>
        <w:rPr>
          <w:rFonts w:hint="eastAsia" w:ascii="宋体" w:hAnsi="宋体" w:eastAsia="宋体" w:cs="宋体"/>
          <w:color w:val="auto"/>
          <w:kern w:val="0"/>
          <w:sz w:val="21"/>
          <w:szCs w:val="21"/>
          <w:highlight w:val="none"/>
          <w:lang w:val="en-US" w:eastAsia="zh-CN" w:bidi="ar"/>
        </w:rPr>
        <w:t>秒；</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峰值响应时间≤</w:t>
      </w:r>
      <w:r>
        <w:rPr>
          <w:rFonts w:hint="default" w:ascii="Times New Roman" w:hAnsi="Times New Roman" w:eastAsia="宋体" w:cs="Times New Roman"/>
          <w:color w:val="auto"/>
          <w:kern w:val="0"/>
          <w:sz w:val="21"/>
          <w:szCs w:val="21"/>
          <w:highlight w:val="none"/>
          <w:lang w:val="en-US" w:eastAsia="zh-CN" w:bidi="ar"/>
        </w:rPr>
        <w:t>10</w:t>
      </w:r>
      <w:r>
        <w:rPr>
          <w:rFonts w:hint="eastAsia" w:ascii="宋体" w:hAnsi="宋体" w:eastAsia="宋体" w:cs="宋体"/>
          <w:color w:val="auto"/>
          <w:kern w:val="0"/>
          <w:sz w:val="21"/>
          <w:szCs w:val="21"/>
          <w:highlight w:val="none"/>
          <w:lang w:val="en-US" w:eastAsia="zh-CN" w:bidi="ar"/>
        </w:rPr>
        <w:t>秒。</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2.</w:t>
      </w:r>
      <w:r>
        <w:rPr>
          <w:rFonts w:hint="eastAsia" w:ascii="宋体" w:hAnsi="宋体" w:eastAsia="宋体" w:cs="宋体"/>
          <w:b/>
          <w:bCs/>
          <w:color w:val="auto"/>
          <w:kern w:val="0"/>
          <w:sz w:val="21"/>
          <w:szCs w:val="21"/>
          <w:highlight w:val="none"/>
          <w:lang w:val="en-US" w:eastAsia="zh-CN" w:bidi="ar"/>
        </w:rPr>
        <w:t>查询类业务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查询业务由于受到查询的复杂程度、查询的数据量大小等因素的影响，需要根据具体情况而定，在此给出一个参考范围。</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简单查询响应时间≤</w:t>
      </w: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秒；</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复杂查询响应时间≤</w:t>
      </w: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秒；</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视频播放响应时间≤</w:t>
      </w: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秒。</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3.</w:t>
      </w:r>
      <w:r>
        <w:rPr>
          <w:rFonts w:hint="eastAsia" w:ascii="宋体" w:hAnsi="宋体" w:eastAsia="宋体" w:cs="宋体"/>
          <w:b/>
          <w:bCs/>
          <w:color w:val="auto"/>
          <w:kern w:val="0"/>
          <w:sz w:val="21"/>
          <w:szCs w:val="21"/>
          <w:highlight w:val="none"/>
          <w:lang w:val="en-US" w:eastAsia="zh-CN" w:bidi="ar"/>
        </w:rPr>
        <w:t>交易接口服务（数据交换）</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单条记录交易接口平均响应时间≤</w:t>
      </w: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秒；</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多条记录（</w:t>
      </w:r>
      <w:r>
        <w:rPr>
          <w:rFonts w:hint="default" w:ascii="Times New Roman" w:hAnsi="Times New Roman" w:eastAsia="宋体" w:cs="Times New Roman"/>
          <w:color w:val="auto"/>
          <w:kern w:val="0"/>
          <w:sz w:val="21"/>
          <w:szCs w:val="21"/>
          <w:highlight w:val="none"/>
          <w:lang w:val="en-US" w:eastAsia="zh-CN" w:bidi="ar"/>
        </w:rPr>
        <w:t>100</w:t>
      </w:r>
      <w:r>
        <w:rPr>
          <w:rFonts w:hint="eastAsia" w:ascii="宋体" w:hAnsi="宋体" w:eastAsia="宋体" w:cs="宋体"/>
          <w:color w:val="auto"/>
          <w:kern w:val="0"/>
          <w:sz w:val="21"/>
          <w:szCs w:val="21"/>
          <w:highlight w:val="none"/>
          <w:lang w:val="en-US" w:eastAsia="zh-CN" w:bidi="ar"/>
        </w:rPr>
        <w:t>条）交易接口平均响应时间≤</w:t>
      </w: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秒。</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1.5.4.2.2</w:t>
      </w:r>
      <w:r>
        <w:rPr>
          <w:rFonts w:hint="eastAsia" w:ascii="宋体" w:hAnsi="宋体" w:eastAsia="宋体" w:cs="宋体"/>
          <w:b/>
          <w:bCs/>
          <w:color w:val="auto"/>
          <w:sz w:val="21"/>
          <w:szCs w:val="21"/>
          <w:highlight w:val="none"/>
        </w:rPr>
        <w:t>并发用户数要求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系统支持使用的总参保人用户数不低于</w:t>
      </w:r>
      <w:r>
        <w:rPr>
          <w:rFonts w:hint="default" w:ascii="Times New Roman" w:hAnsi="Times New Roman" w:eastAsia="宋体" w:cs="Times New Roman"/>
          <w:color w:val="auto"/>
          <w:kern w:val="0"/>
          <w:sz w:val="21"/>
          <w:szCs w:val="21"/>
          <w:highlight w:val="none"/>
          <w:lang w:val="en-US" w:eastAsia="zh-CN" w:bidi="ar"/>
        </w:rPr>
        <w:t>30</w:t>
      </w:r>
      <w:r>
        <w:rPr>
          <w:rFonts w:hint="eastAsia" w:ascii="宋体" w:hAnsi="宋体" w:eastAsia="宋体" w:cs="宋体"/>
          <w:color w:val="auto"/>
          <w:kern w:val="0"/>
          <w:sz w:val="21"/>
          <w:szCs w:val="21"/>
          <w:highlight w:val="none"/>
          <w:lang w:val="en-US" w:eastAsia="zh-CN" w:bidi="ar"/>
        </w:rPr>
        <w:t>万人，系统支持的最大并发用户数为</w:t>
      </w:r>
      <w:r>
        <w:rPr>
          <w:rFonts w:hint="default" w:ascii="Times New Roman" w:hAnsi="Times New Roman" w:eastAsia="宋体" w:cs="Times New Roman"/>
          <w:color w:val="auto"/>
          <w:kern w:val="0"/>
          <w:sz w:val="21"/>
          <w:szCs w:val="21"/>
          <w:highlight w:val="none"/>
          <w:lang w:val="en-US" w:eastAsia="zh-CN" w:bidi="ar"/>
        </w:rPr>
        <w:t>2000</w:t>
      </w:r>
      <w:r>
        <w:rPr>
          <w:rFonts w:hint="eastAsia" w:ascii="宋体" w:hAnsi="宋体" w:eastAsia="宋体" w:cs="宋体"/>
          <w:color w:val="auto"/>
          <w:kern w:val="0"/>
          <w:sz w:val="21"/>
          <w:szCs w:val="21"/>
          <w:highlight w:val="none"/>
          <w:lang w:val="en-US" w:eastAsia="zh-CN" w:bidi="ar"/>
        </w:rPr>
        <w:t>。</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1.5.4.2.3</w:t>
      </w:r>
      <w:r>
        <w:rPr>
          <w:rFonts w:hint="eastAsia" w:ascii="宋体" w:hAnsi="宋体" w:eastAsia="宋体" w:cs="宋体"/>
          <w:b/>
          <w:bCs/>
          <w:color w:val="auto"/>
          <w:sz w:val="21"/>
          <w:szCs w:val="21"/>
          <w:highlight w:val="none"/>
        </w:rPr>
        <w:t>服务可用性要求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系统平均服务时间指标≤</w:t>
      </w: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秒。</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1.5.4.2.4</w:t>
      </w:r>
      <w:r>
        <w:rPr>
          <w:rFonts w:hint="eastAsia" w:ascii="宋体" w:hAnsi="宋体" w:eastAsia="宋体" w:cs="宋体"/>
          <w:b/>
          <w:bCs/>
          <w:color w:val="auto"/>
          <w:sz w:val="21"/>
          <w:szCs w:val="21"/>
          <w:highlight w:val="none"/>
        </w:rPr>
        <w:t>兼容性要求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国产化硬件设备支持：支持主流的国产化硬件设备，如龙芯、飞腾、兆芯等国产</w:t>
      </w:r>
      <w:r>
        <w:rPr>
          <w:rFonts w:hint="default" w:ascii="Times New Roman" w:hAnsi="Times New Roman" w:eastAsia="宋体" w:cs="Times New Roman"/>
          <w:color w:val="auto"/>
          <w:kern w:val="0"/>
          <w:sz w:val="21"/>
          <w:szCs w:val="21"/>
          <w:highlight w:val="none"/>
          <w:lang w:val="en-US" w:eastAsia="zh-CN" w:bidi="ar"/>
        </w:rPr>
        <w:t>CPU</w:t>
      </w:r>
      <w:r>
        <w:rPr>
          <w:rFonts w:hint="eastAsia" w:ascii="宋体" w:hAnsi="宋体" w:eastAsia="宋体" w:cs="宋体"/>
          <w:color w:val="auto"/>
          <w:kern w:val="0"/>
          <w:sz w:val="21"/>
          <w:szCs w:val="21"/>
          <w:highlight w:val="none"/>
          <w:lang w:val="en-US" w:eastAsia="zh-CN" w:bidi="ar"/>
        </w:rPr>
        <w:t>；</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国产化操作系统支持：支持国产化的操作系统，如统信</w:t>
      </w:r>
      <w:r>
        <w:rPr>
          <w:rFonts w:hint="default" w:ascii="Times New Roman" w:hAnsi="Times New Roman" w:eastAsia="宋体" w:cs="Times New Roman"/>
          <w:color w:val="auto"/>
          <w:kern w:val="0"/>
          <w:sz w:val="21"/>
          <w:szCs w:val="21"/>
          <w:highlight w:val="none"/>
          <w:lang w:val="en-US" w:eastAsia="zh-CN" w:bidi="ar"/>
        </w:rPr>
        <w:t>UOS</w:t>
      </w:r>
      <w:r>
        <w:rPr>
          <w:rFonts w:hint="eastAsia" w:ascii="宋体" w:hAnsi="宋体" w:eastAsia="宋体" w:cs="宋体"/>
          <w:color w:val="auto"/>
          <w:kern w:val="0"/>
          <w:sz w:val="21"/>
          <w:szCs w:val="21"/>
          <w:highlight w:val="none"/>
          <w:lang w:val="en-US" w:eastAsia="zh-CN" w:bidi="ar"/>
        </w:rPr>
        <w:t>、麒麟</w:t>
      </w:r>
      <w:r>
        <w:rPr>
          <w:rFonts w:hint="default" w:ascii="Times New Roman" w:hAnsi="Times New Roman" w:eastAsia="宋体" w:cs="Times New Roman"/>
          <w:color w:val="auto"/>
          <w:kern w:val="0"/>
          <w:sz w:val="21"/>
          <w:szCs w:val="21"/>
          <w:highlight w:val="none"/>
          <w:lang w:val="en-US" w:eastAsia="zh-CN" w:bidi="ar"/>
        </w:rPr>
        <w:t>OS</w:t>
      </w:r>
      <w:r>
        <w:rPr>
          <w:rFonts w:hint="eastAsia" w:ascii="宋体" w:hAnsi="宋体" w:eastAsia="宋体" w:cs="宋体"/>
          <w:color w:val="auto"/>
          <w:kern w:val="0"/>
          <w:sz w:val="21"/>
          <w:szCs w:val="21"/>
          <w:highlight w:val="none"/>
          <w:lang w:val="en-US" w:eastAsia="zh-CN" w:bidi="ar"/>
        </w:rPr>
        <w:t>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国产化中间件：支持国产中间件，如东方通、金蝶天燕等。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4.</w:t>
      </w:r>
      <w:r>
        <w:rPr>
          <w:rFonts w:hint="eastAsia" w:ascii="宋体" w:hAnsi="宋体" w:eastAsia="宋体" w:cs="宋体"/>
          <w:color w:val="auto"/>
          <w:kern w:val="0"/>
          <w:sz w:val="21"/>
          <w:szCs w:val="21"/>
          <w:highlight w:val="none"/>
          <w:lang w:val="en-US" w:eastAsia="zh-CN" w:bidi="ar"/>
        </w:rPr>
        <w:t>国产化数据库：支持国产化数据库，如达梦、人大金仓等。</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1.5.4.2.5</w:t>
      </w:r>
      <w:r>
        <w:rPr>
          <w:rFonts w:hint="eastAsia" w:ascii="宋体" w:hAnsi="宋体" w:eastAsia="宋体" w:cs="宋体"/>
          <w:b/>
          <w:bCs/>
          <w:color w:val="auto"/>
          <w:sz w:val="21"/>
          <w:szCs w:val="21"/>
          <w:highlight w:val="none"/>
        </w:rPr>
        <w:t>安全性要求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为了确保其安全性、稳定性和合规性，本项目需要通过一系列第三方软件测评、网络安全等级保护测评和密码应用安全性评估。以下是这些要求的详细内容：</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第三方软件测评：验证系统的功能、性能等方面是否符合预期标准。包括但不限于功能测试、性能测试等。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网络安全等级保护测评：遵循《中华人民共和国网络安全法》、《信息安全等级保护管理办法》等法律法规，系统应达到第三级（含）以上信息系统的安全保护等级。每年至少进行一次网络安全等级保护测评。</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eastAsia" w:ascii="宋体" w:hAnsi="宋体" w:eastAsia="宋体" w:cs="宋体"/>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密码应用安全性评估：遵守《中华人民共和国密码法》、《中华人民共和国网络安全法》以及《商用密码管理条例》等相关法律法规的规定，系统所使用的密码算法、密码协议、密钥管理等需符合国家密码管理部门制定的相关国家标准和行业标准，达到密评三级要求。</w:t>
      </w:r>
    </w:p>
    <w:p>
      <w:pPr>
        <w:keepNext w:val="0"/>
        <w:keepLines w:val="0"/>
        <w:widowControl/>
        <w:suppressLineNumbers w:val="0"/>
        <w:spacing w:before="0" w:beforeAutospacing="0" w:after="0" w:afterAutospacing="0" w:line="360" w:lineRule="auto"/>
        <w:ind w:left="0" w:leftChars="0" w:right="0" w:firstLine="0" w:firstLineChars="0"/>
        <w:jc w:val="both"/>
        <w:outlineLvl w:val="9"/>
        <w:rPr>
          <w:rFonts w:hint="eastAsia" w:ascii="宋体" w:hAnsi="宋体" w:cs="宋体"/>
          <w:b/>
          <w:bCs/>
          <w:color w:val="auto"/>
          <w:kern w:val="0"/>
          <w:sz w:val="21"/>
          <w:szCs w:val="21"/>
          <w:highlight w:val="none"/>
          <w:lang w:val="en-US" w:eastAsia="zh-CN" w:bidi="ar"/>
        </w:rPr>
      </w:pPr>
      <w:r>
        <w:rPr>
          <w:rFonts w:hint="eastAsia" w:ascii="宋体" w:hAnsi="宋体" w:cs="宋体"/>
          <w:b/>
          <w:bCs/>
          <w:color w:val="auto"/>
          <w:kern w:val="0"/>
          <w:sz w:val="21"/>
          <w:szCs w:val="21"/>
          <w:highlight w:val="none"/>
          <w:lang w:val="en-US" w:eastAsia="zh-CN" w:bidi="ar"/>
        </w:rPr>
        <w:t>1.5.4.3环境现状如下</w:t>
      </w:r>
    </w:p>
    <w:p>
      <w:pPr>
        <w:keepNext w:val="0"/>
        <w:keepLines w:val="0"/>
        <w:widowControl/>
        <w:suppressLineNumbers w:val="0"/>
        <w:spacing w:before="0" w:beforeAutospacing="0" w:after="0" w:afterAutospacing="0" w:line="360" w:lineRule="auto"/>
        <w:ind w:left="0" w:leftChars="0" w:right="0" w:firstLine="0" w:firstLineChars="0"/>
        <w:jc w:val="both"/>
        <w:outlineLvl w:val="9"/>
        <w:rPr>
          <w:rFonts w:hint="eastAsia" w:ascii="宋体" w:hAnsi="宋体" w:eastAsia="宋体" w:cs="宋体"/>
          <w:b/>
          <w:bCs/>
          <w:color w:val="auto"/>
          <w:kern w:val="44"/>
          <w:sz w:val="28"/>
          <w:szCs w:val="28"/>
          <w:lang w:val="en-US" w:eastAsia="zh-CN" w:bidi="ar-SA"/>
        </w:rPr>
      </w:pPr>
      <w:r>
        <w:rPr>
          <w:rFonts w:hint="eastAsia" w:ascii="宋体" w:hAnsi="宋体" w:cs="宋体"/>
          <w:b/>
          <w:bCs/>
          <w:color w:val="auto"/>
          <w:kern w:val="0"/>
          <w:sz w:val="21"/>
          <w:szCs w:val="21"/>
          <w:highlight w:val="none"/>
          <w:lang w:val="en-US" w:eastAsia="zh-CN" w:bidi="ar"/>
        </w:rPr>
        <w:t xml:space="preserve">    </w:t>
      </w:r>
      <w:r>
        <w:rPr>
          <w:rFonts w:hint="eastAsia" w:ascii="宋体" w:hAnsi="宋体" w:cs="宋体"/>
          <w:b w:val="0"/>
          <w:bCs w:val="0"/>
          <w:color w:val="auto"/>
          <w:kern w:val="0"/>
          <w:sz w:val="21"/>
          <w:szCs w:val="21"/>
          <w:highlight w:val="none"/>
          <w:lang w:val="en-US" w:eastAsia="zh-CN" w:bidi="ar"/>
        </w:rPr>
        <w:t>根据陕西省医疗保障信息平台整体架构和使用服务对象的应用网络，该工具应满足陕西省医疗保障信息平台现有标准。</w:t>
      </w:r>
    </w:p>
    <w:p>
      <w:pPr>
        <w:widowControl/>
        <w:numPr>
          <w:ilvl w:val="0"/>
          <w:numId w:val="0"/>
        </w:numPr>
        <w:spacing w:line="360" w:lineRule="auto"/>
        <w:ind w:left="0" w:leftChars="0" w:right="0" w:rightChars="0" w:firstLine="0" w:firstLineChars="0"/>
        <w:jc w:val="center"/>
        <w:outlineLvl w:val="9"/>
        <w:rPr>
          <w:rFonts w:hint="eastAsia" w:ascii="Times New Roman" w:hAnsi="Times New Roman" w:eastAsia="黑体" w:cs="Times New Roman"/>
          <w:b/>
          <w:bCs/>
          <w:color w:val="auto"/>
          <w:kern w:val="44"/>
          <w:sz w:val="28"/>
          <w:szCs w:val="28"/>
          <w:highlight w:val="none"/>
        </w:rPr>
      </w:pPr>
      <w:r>
        <w:rPr>
          <w:rFonts w:hint="eastAsia" w:ascii="宋体" w:hAnsi="宋体" w:eastAsia="宋体" w:cs="宋体"/>
          <w:b/>
          <w:bCs/>
          <w:color w:val="auto"/>
          <w:kern w:val="44"/>
          <w:sz w:val="28"/>
          <w:szCs w:val="28"/>
          <w:lang w:val="en-US" w:eastAsia="zh-CN" w:bidi="ar-SA"/>
        </w:rPr>
        <w:t>第2章</w:t>
      </w:r>
      <w:r>
        <w:rPr>
          <w:rFonts w:hint="eastAsia" w:ascii="宋体" w:hAnsi="宋体" w:cs="宋体"/>
          <w:b/>
          <w:bCs/>
          <w:color w:val="auto"/>
          <w:kern w:val="44"/>
          <w:sz w:val="28"/>
          <w:szCs w:val="28"/>
          <w:lang w:val="en-US" w:eastAsia="zh-CN" w:bidi="ar-SA"/>
        </w:rPr>
        <w:t xml:space="preserve"> </w:t>
      </w:r>
      <w:r>
        <w:rPr>
          <w:rFonts w:hint="eastAsia" w:ascii="黑体" w:hAnsi="宋体" w:eastAsia="黑体" w:cs="黑体"/>
          <w:b/>
          <w:bCs/>
          <w:color w:val="auto"/>
          <w:kern w:val="44"/>
          <w:sz w:val="28"/>
          <w:szCs w:val="28"/>
          <w:highlight w:val="none"/>
        </w:rPr>
        <w:t>支撑工具软件总体设计</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20" w:name="_Toc180513495"/>
      <w:bookmarkEnd w:id="20"/>
      <w:r>
        <w:rPr>
          <w:rFonts w:hint="eastAsia" w:ascii="宋体" w:hAnsi="宋体" w:eastAsia="宋体" w:cs="宋体"/>
          <w:b/>
          <w:bCs/>
          <w:color w:val="auto"/>
          <w:kern w:val="2"/>
          <w:sz w:val="21"/>
          <w:szCs w:val="21"/>
          <w:lang w:val="en-US" w:eastAsia="zh-CN" w:bidi="ar-SA"/>
        </w:rPr>
        <w:t>2.1</w:t>
      </w:r>
      <w:r>
        <w:rPr>
          <w:rFonts w:hint="eastAsia" w:ascii="黑体" w:hAnsi="宋体" w:eastAsia="黑体" w:cs="黑体"/>
          <w:b/>
          <w:bCs/>
          <w:color w:val="auto"/>
          <w:sz w:val="21"/>
          <w:szCs w:val="21"/>
          <w:highlight w:val="none"/>
        </w:rPr>
        <w:t>总体架构设计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本项目实施需提供相关的软件工具，即省内跨统筹区职工基本医疗保障个人账户家庭共济系统。该系统设计遵循统一的标准规范和安全保障体系，其总体架构如下图所示：</w:t>
      </w:r>
    </w:p>
    <w:p>
      <w:pPr>
        <w:keepNext w:val="0"/>
        <w:keepLines w:val="0"/>
        <w:widowControl/>
        <w:suppressLineNumbers w:val="0"/>
        <w:spacing w:before="0" w:beforeAutospacing="0" w:after="0" w:afterAutospacing="0" w:line="360" w:lineRule="auto"/>
        <w:ind w:left="0" w:right="0" w:firstLine="0" w:firstLineChars="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4"/>
          <w:szCs w:val="24"/>
          <w:highlight w:val="none"/>
          <w:lang w:val="en-US" w:eastAsia="zh-CN" w:bidi="ar"/>
        </w:rPr>
        <w:drawing>
          <wp:inline distT="0" distB="0" distL="114300" distR="114300">
            <wp:extent cx="4765040" cy="3338195"/>
            <wp:effectExtent l="0" t="0" r="5080" b="14605"/>
            <wp:docPr id="9" name="图片 2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1" descr="IMG_256"/>
                    <pic:cNvPicPr>
                      <a:picLocks noChangeAspect="1"/>
                    </pic:cNvPicPr>
                  </pic:nvPicPr>
                  <pic:blipFill>
                    <a:blip r:embed="rId6"/>
                    <a:stretch>
                      <a:fillRect/>
                    </a:stretch>
                  </pic:blipFill>
                  <pic:spPr>
                    <a:xfrm>
                      <a:off x="0" y="0"/>
                      <a:ext cx="4765040" cy="3338195"/>
                    </a:xfrm>
                    <a:prstGeom prst="rect">
                      <a:avLst/>
                    </a:prstGeom>
                    <a:noFill/>
                    <a:ln w="9525">
                      <a:noFill/>
                    </a:ln>
                  </pic:spPr>
                </pic:pic>
              </a:graphicData>
            </a:graphic>
          </wp:inline>
        </w:drawing>
      </w:r>
    </w:p>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黑体" w:hAnsi="宋体" w:eastAsia="黑体" w:cs="Times New Roman"/>
          <w:color w:val="auto"/>
          <w:sz w:val="21"/>
          <w:szCs w:val="21"/>
          <w:highlight w:val="none"/>
        </w:rPr>
      </w:pPr>
      <w:r>
        <w:rPr>
          <w:rFonts w:hint="eastAsia" w:ascii="黑体" w:hAnsi="宋体" w:eastAsia="黑体" w:cs="黑体"/>
          <w:color w:val="auto"/>
          <w:kern w:val="0"/>
          <w:sz w:val="21"/>
          <w:szCs w:val="21"/>
          <w:highlight w:val="none"/>
          <w:lang w:val="en-US" w:eastAsia="zh-CN" w:bidi="ar"/>
        </w:rPr>
        <w:t>图4</w:t>
      </w:r>
      <w:r>
        <w:rPr>
          <w:rFonts w:hint="eastAsia" w:ascii="黑体" w:hAnsi="宋体" w:eastAsia="黑体" w:cs="Times New Roman"/>
          <w:color w:val="auto"/>
          <w:kern w:val="0"/>
          <w:sz w:val="21"/>
          <w:szCs w:val="21"/>
          <w:highlight w:val="none"/>
          <w:lang w:val="en-US" w:eastAsia="zh-CN" w:bidi="ar"/>
        </w:rPr>
        <w:t>-4</w:t>
      </w:r>
      <w:r>
        <w:rPr>
          <w:rFonts w:hint="eastAsia" w:ascii="黑体" w:hAnsi="宋体" w:eastAsia="黑体" w:cs="黑体"/>
          <w:color w:val="auto"/>
          <w:kern w:val="0"/>
          <w:sz w:val="21"/>
          <w:szCs w:val="21"/>
          <w:highlight w:val="none"/>
          <w:lang w:val="en-US" w:eastAsia="zh-CN" w:bidi="ar"/>
        </w:rPr>
        <w:t>总体架构</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、基础设施层：基于陕西省医疗保障信息平台现有的基础设施进行建设，包括服务器设备、网络设备、存储设备、集群软件、安全设备、操作系统、数据库软件、中间件等。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、数据资源层：主要包括家庭共济绑定数据、家庭共济结算数据、异地共济清算数据和异地共济拨付数据等数据，以支持系统的业务运行。</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、应用支撑层：应用支撑层包含云服务支撑和</w:t>
      </w:r>
      <w:r>
        <w:rPr>
          <w:rFonts w:hint="default" w:ascii="Times New Roman" w:hAnsi="Times New Roman" w:eastAsia="宋体" w:cs="Times New Roman"/>
          <w:color w:val="auto"/>
          <w:kern w:val="0"/>
          <w:sz w:val="21"/>
          <w:szCs w:val="21"/>
          <w:highlight w:val="none"/>
          <w:lang w:val="en-US" w:eastAsia="zh-CN" w:bidi="ar"/>
        </w:rPr>
        <w:t>HSAF</w:t>
      </w:r>
      <w:r>
        <w:rPr>
          <w:rFonts w:hint="eastAsia" w:ascii="宋体" w:hAnsi="宋体" w:eastAsia="宋体" w:cs="宋体"/>
          <w:color w:val="auto"/>
          <w:kern w:val="0"/>
          <w:sz w:val="21"/>
          <w:szCs w:val="21"/>
          <w:highlight w:val="none"/>
          <w:lang w:val="en-US" w:eastAsia="zh-CN" w:bidi="ar"/>
        </w:rPr>
        <w:t>核心框架及适配框架。其中云服务支撑包括分布式服务、分布式缓存服务、分布式数据访问服务、分布式日志服务、消息队列服务、非结构化存储服务等。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4</w:t>
      </w:r>
      <w:r>
        <w:rPr>
          <w:rFonts w:hint="eastAsia" w:ascii="宋体" w:hAnsi="宋体" w:eastAsia="宋体" w:cs="宋体"/>
          <w:color w:val="auto"/>
          <w:kern w:val="0"/>
          <w:sz w:val="21"/>
          <w:szCs w:val="21"/>
          <w:highlight w:val="none"/>
          <w:lang w:val="en-US" w:eastAsia="zh-CN" w:bidi="ar"/>
        </w:rPr>
        <w:t>、应用层：应用层是系统的主要功能，包括备案管理、受理管理、资金上解下拨管理、财务数据管理、拨付管理、查询统计、报表管理、异地账户共济交互管理等功能模块。</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5</w:t>
      </w:r>
      <w:r>
        <w:rPr>
          <w:rFonts w:hint="eastAsia" w:ascii="宋体" w:hAnsi="宋体" w:eastAsia="宋体" w:cs="宋体"/>
          <w:color w:val="auto"/>
          <w:kern w:val="0"/>
          <w:sz w:val="21"/>
          <w:szCs w:val="21"/>
          <w:highlight w:val="none"/>
          <w:lang w:val="en-US" w:eastAsia="zh-CN" w:bidi="ar"/>
        </w:rPr>
        <w:t>、展示层：主要包括移动智能终端、桌面终端、自助终端等。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6</w:t>
      </w:r>
      <w:r>
        <w:rPr>
          <w:rFonts w:hint="eastAsia" w:ascii="宋体" w:hAnsi="宋体" w:eastAsia="宋体" w:cs="宋体"/>
          <w:color w:val="auto"/>
          <w:kern w:val="0"/>
          <w:sz w:val="21"/>
          <w:szCs w:val="21"/>
          <w:highlight w:val="none"/>
          <w:lang w:val="en-US" w:eastAsia="zh-CN" w:bidi="ar"/>
        </w:rPr>
        <w:t>、用户层：用户层主要是系统的使用对象，包括医保经办部门、参保人、参保单位及其他相关人员。</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21" w:name="_Toc180513496"/>
      <w:bookmarkEnd w:id="21"/>
      <w:r>
        <w:rPr>
          <w:rFonts w:hint="eastAsia" w:ascii="宋体" w:hAnsi="宋体" w:eastAsia="宋体" w:cs="宋体"/>
          <w:b/>
          <w:bCs/>
          <w:color w:val="auto"/>
          <w:kern w:val="2"/>
          <w:sz w:val="21"/>
          <w:szCs w:val="21"/>
          <w:lang w:val="en-US" w:eastAsia="zh-CN" w:bidi="ar-SA"/>
        </w:rPr>
        <w:t>2.2</w:t>
      </w:r>
      <w:r>
        <w:rPr>
          <w:rFonts w:hint="eastAsia" w:ascii="黑体" w:hAnsi="宋体" w:eastAsia="黑体" w:cs="黑体"/>
          <w:b/>
          <w:bCs/>
          <w:color w:val="auto"/>
          <w:sz w:val="21"/>
          <w:szCs w:val="21"/>
          <w:highlight w:val="none"/>
        </w:rPr>
        <w:t>数据架构设计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本项目支撑软件工具的所需数据主要来源于各个医保统筹区的医保系统、医疗机构、零售药店等。这些系统的数据包括基础资源类数据、交易结算类数据、清算拨付类数据和账户共济类数据，各地市医药机构的数据通过接口统一上传相关数据至省医保信息平台，然后经过数据分析、整合汇聚形成各类数据，支撑软件工具通过与省医保平台相关接口对接，以实现异地家庭账户共济相关业务的办理。</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其数据架构如下图所示：</w:t>
      </w:r>
    </w:p>
    <w:p>
      <w:pPr>
        <w:keepNext w:val="0"/>
        <w:keepLines w:val="0"/>
        <w:widowControl/>
        <w:suppressLineNumbers w:val="0"/>
        <w:spacing w:before="0" w:beforeAutospacing="0" w:after="0" w:afterAutospacing="0" w:line="360" w:lineRule="auto"/>
        <w:ind w:left="0" w:right="0" w:firstLine="0" w:firstLineChars="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4"/>
          <w:szCs w:val="24"/>
          <w:highlight w:val="none"/>
          <w:lang w:val="en-US" w:eastAsia="zh-CN" w:bidi="ar"/>
        </w:rPr>
        <w:drawing>
          <wp:inline distT="0" distB="0" distL="114300" distR="114300">
            <wp:extent cx="5050155" cy="1759585"/>
            <wp:effectExtent l="0" t="0" r="9525" b="8255"/>
            <wp:docPr id="8" name="图片 2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2" descr="IMG_257"/>
                    <pic:cNvPicPr>
                      <a:picLocks noChangeAspect="1"/>
                    </pic:cNvPicPr>
                  </pic:nvPicPr>
                  <pic:blipFill>
                    <a:blip r:embed="rId7"/>
                    <a:stretch>
                      <a:fillRect/>
                    </a:stretch>
                  </pic:blipFill>
                  <pic:spPr>
                    <a:xfrm>
                      <a:off x="0" y="0"/>
                      <a:ext cx="5050155" cy="1759585"/>
                    </a:xfrm>
                    <a:prstGeom prst="rect">
                      <a:avLst/>
                    </a:prstGeom>
                    <a:noFill/>
                    <a:ln w="9525">
                      <a:noFill/>
                    </a:ln>
                  </pic:spPr>
                </pic:pic>
              </a:graphicData>
            </a:graphic>
          </wp:inline>
        </w:drawing>
      </w:r>
      <w:r>
        <w:rPr>
          <w:rFonts w:hint="default" w:ascii="Times New Roman" w:hAnsi="Times New Roman" w:eastAsia="宋体" w:cs="Times New Roman"/>
          <w:color w:val="auto"/>
          <w:kern w:val="0"/>
          <w:sz w:val="21"/>
          <w:szCs w:val="21"/>
          <w:highlight w:val="none"/>
          <w:lang w:val="en-US" w:eastAsia="zh-CN" w:bidi="ar"/>
        </w:rPr>
        <w:t xml:space="preserve"> </w:t>
      </w:r>
    </w:p>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黑体" w:hAnsi="宋体" w:eastAsia="黑体" w:cs="Times New Roman"/>
          <w:color w:val="auto"/>
          <w:sz w:val="21"/>
          <w:szCs w:val="21"/>
          <w:highlight w:val="none"/>
        </w:rPr>
      </w:pPr>
      <w:r>
        <w:rPr>
          <w:rFonts w:hint="eastAsia" w:ascii="黑体" w:hAnsi="宋体" w:eastAsia="黑体" w:cs="黑体"/>
          <w:color w:val="auto"/>
          <w:kern w:val="0"/>
          <w:sz w:val="21"/>
          <w:szCs w:val="21"/>
          <w:highlight w:val="none"/>
          <w:lang w:val="en-US" w:eastAsia="zh-CN" w:bidi="ar"/>
        </w:rPr>
        <w:t>图4</w:t>
      </w:r>
      <w:r>
        <w:rPr>
          <w:rFonts w:hint="eastAsia" w:ascii="黑体" w:hAnsi="宋体" w:eastAsia="黑体" w:cs="Times New Roman"/>
          <w:color w:val="auto"/>
          <w:kern w:val="0"/>
          <w:sz w:val="21"/>
          <w:szCs w:val="21"/>
          <w:highlight w:val="none"/>
          <w:lang w:val="en-US" w:eastAsia="zh-CN" w:bidi="ar"/>
        </w:rPr>
        <w:t>-5</w:t>
      </w:r>
      <w:r>
        <w:rPr>
          <w:rFonts w:hint="eastAsia" w:ascii="黑体" w:hAnsi="宋体" w:eastAsia="黑体" w:cs="黑体"/>
          <w:color w:val="auto"/>
          <w:kern w:val="0"/>
          <w:sz w:val="21"/>
          <w:szCs w:val="21"/>
          <w:highlight w:val="none"/>
          <w:lang w:val="en-US" w:eastAsia="zh-CN" w:bidi="ar"/>
        </w:rPr>
        <w:t>数据架构</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22" w:name="_Toc180513497"/>
      <w:bookmarkEnd w:id="22"/>
      <w:r>
        <w:rPr>
          <w:rFonts w:hint="eastAsia" w:ascii="宋体" w:hAnsi="宋体" w:eastAsia="宋体" w:cs="宋体"/>
          <w:b/>
          <w:bCs/>
          <w:color w:val="auto"/>
          <w:kern w:val="2"/>
          <w:sz w:val="21"/>
          <w:szCs w:val="21"/>
          <w:lang w:val="en-US" w:eastAsia="zh-CN" w:bidi="ar-SA"/>
        </w:rPr>
        <w:t>2.3</w:t>
      </w:r>
      <w:r>
        <w:rPr>
          <w:rFonts w:hint="eastAsia" w:ascii="黑体" w:hAnsi="宋体" w:eastAsia="黑体" w:cs="黑体"/>
          <w:b/>
          <w:bCs/>
          <w:color w:val="auto"/>
          <w:sz w:val="21"/>
          <w:szCs w:val="21"/>
          <w:highlight w:val="none"/>
        </w:rPr>
        <w:t>技术架构设计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eastAsia" w:ascii="宋体" w:hAnsi="宋体"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陕西省医疗保障局根据《医疗保障信息平台建设指南》的有关要求，搭建了完整的技术架构体系，为保证系统技术的统一性原则，本次支持软件工具建设也基于现有技术架构进行。</w:t>
      </w:r>
    </w:p>
    <w:p>
      <w:pPr>
        <w:keepNext w:val="0"/>
        <w:keepLines w:val="0"/>
        <w:widowControl/>
        <w:suppressLineNumbers w:val="0"/>
        <w:spacing w:before="0" w:beforeAutospacing="0" w:after="0" w:afterAutospacing="0" w:line="360" w:lineRule="auto"/>
        <w:ind w:left="0" w:right="0" w:firstLine="0" w:firstLineChars="0"/>
        <w:jc w:val="both"/>
        <w:outlineLvl w:val="9"/>
        <w:rPr>
          <w:rFonts w:hint="eastAsia" w:ascii="宋体" w:hAnsi="宋体" w:eastAsia="宋体" w:cs="Times New Roman"/>
          <w:color w:val="auto"/>
          <w:sz w:val="21"/>
          <w:szCs w:val="21"/>
          <w:highlight w:val="none"/>
        </w:rPr>
      </w:pPr>
      <w:r>
        <w:rPr>
          <w:rFonts w:hint="default" w:ascii="Times New Roman" w:hAnsi="Times New Roman" w:eastAsia="宋体" w:cs="Times New Roman"/>
          <w:color w:val="auto"/>
          <w:kern w:val="0"/>
          <w:sz w:val="24"/>
          <w:szCs w:val="24"/>
          <w:highlight w:val="none"/>
          <w:lang w:val="en-US" w:eastAsia="zh-CN" w:bidi="ar"/>
        </w:rPr>
        <w:drawing>
          <wp:inline distT="0" distB="0" distL="114300" distR="114300">
            <wp:extent cx="5050790" cy="3455035"/>
            <wp:effectExtent l="0" t="0" r="8890" b="4445"/>
            <wp:docPr id="7" name="图片 2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3" descr="IMG_258"/>
                    <pic:cNvPicPr>
                      <a:picLocks noChangeAspect="1"/>
                    </pic:cNvPicPr>
                  </pic:nvPicPr>
                  <pic:blipFill>
                    <a:blip r:embed="rId8"/>
                    <a:stretch>
                      <a:fillRect/>
                    </a:stretch>
                  </pic:blipFill>
                  <pic:spPr>
                    <a:xfrm>
                      <a:off x="0" y="0"/>
                      <a:ext cx="5050790" cy="3455035"/>
                    </a:xfrm>
                    <a:prstGeom prst="rect">
                      <a:avLst/>
                    </a:prstGeom>
                    <a:noFill/>
                    <a:ln w="9525">
                      <a:noFill/>
                    </a:ln>
                  </pic:spPr>
                </pic:pic>
              </a:graphicData>
            </a:graphic>
          </wp:inline>
        </w:drawing>
      </w:r>
      <w:r>
        <w:rPr>
          <w:rFonts w:hint="eastAsia" w:ascii="宋体" w:hAnsi="宋体" w:eastAsia="宋体" w:cs="Times New Roman"/>
          <w:color w:val="auto"/>
          <w:kern w:val="0"/>
          <w:sz w:val="21"/>
          <w:szCs w:val="21"/>
          <w:highlight w:val="none"/>
          <w:lang w:val="en-US" w:eastAsia="zh-CN" w:bidi="ar"/>
        </w:rPr>
        <w:t xml:space="preserve"> </w:t>
      </w:r>
    </w:p>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黑体" w:hAnsi="宋体" w:eastAsia="黑体" w:cs="Times New Roman"/>
          <w:color w:val="auto"/>
          <w:sz w:val="21"/>
          <w:szCs w:val="21"/>
          <w:highlight w:val="none"/>
        </w:rPr>
      </w:pPr>
      <w:r>
        <w:rPr>
          <w:rFonts w:hint="eastAsia" w:ascii="黑体" w:hAnsi="宋体" w:eastAsia="黑体" w:cs="黑体"/>
          <w:color w:val="auto"/>
          <w:kern w:val="0"/>
          <w:sz w:val="21"/>
          <w:szCs w:val="21"/>
          <w:highlight w:val="none"/>
          <w:lang w:val="en-US" w:eastAsia="zh-CN" w:bidi="ar"/>
        </w:rPr>
        <w:t>图4</w:t>
      </w:r>
      <w:r>
        <w:rPr>
          <w:rFonts w:hint="eastAsia" w:ascii="黑体" w:hAnsi="宋体" w:eastAsia="黑体" w:cs="Times New Roman"/>
          <w:color w:val="auto"/>
          <w:kern w:val="0"/>
          <w:sz w:val="21"/>
          <w:szCs w:val="21"/>
          <w:highlight w:val="none"/>
          <w:lang w:val="en-US" w:eastAsia="zh-CN" w:bidi="ar"/>
        </w:rPr>
        <w:t>-6</w:t>
      </w:r>
      <w:r>
        <w:rPr>
          <w:rFonts w:hint="eastAsia" w:ascii="黑体" w:hAnsi="宋体" w:eastAsia="黑体" w:cs="黑体"/>
          <w:color w:val="auto"/>
          <w:kern w:val="0"/>
          <w:sz w:val="21"/>
          <w:szCs w:val="21"/>
          <w:highlight w:val="none"/>
          <w:lang w:val="en-US" w:eastAsia="zh-CN" w:bidi="ar"/>
        </w:rPr>
        <w:t>技术架构</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eastAsia" w:ascii="宋体" w:hAnsi="宋体"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系统总体技术架构采用分布式云架构，在基础设施层上，结合云平台，提供分布式服务支撑。基于统一的技术框架建设省内跨统筹区职工基本医疗保障个人账户家庭共济系统。</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应用系统：系统基于医疗保障应用框架（</w:t>
      </w:r>
      <w:r>
        <w:rPr>
          <w:rFonts w:hint="default" w:ascii="Times New Roman" w:hAnsi="Times New Roman" w:eastAsia="宋体" w:cs="Times New Roman"/>
          <w:color w:val="auto"/>
          <w:kern w:val="0"/>
          <w:sz w:val="21"/>
          <w:szCs w:val="21"/>
          <w:highlight w:val="none"/>
          <w:lang w:val="en-US" w:eastAsia="zh-CN" w:bidi="ar"/>
        </w:rPr>
        <w:t>Healthcare Security Application Framework</w:t>
      </w:r>
      <w:r>
        <w:rPr>
          <w:rFonts w:hint="eastAsia" w:ascii="宋体" w:hAnsi="宋体" w:eastAsia="宋体" w:cs="宋体"/>
          <w:color w:val="auto"/>
          <w:kern w:val="0"/>
          <w:sz w:val="21"/>
          <w:szCs w:val="21"/>
          <w:highlight w:val="none"/>
          <w:lang w:val="en-US" w:eastAsia="zh-CN" w:bidi="ar"/>
        </w:rPr>
        <w:t>，简称：</w:t>
      </w:r>
      <w:r>
        <w:rPr>
          <w:rFonts w:hint="default" w:ascii="Times New Roman" w:hAnsi="Times New Roman" w:eastAsia="宋体" w:cs="Times New Roman"/>
          <w:color w:val="auto"/>
          <w:kern w:val="0"/>
          <w:sz w:val="21"/>
          <w:szCs w:val="21"/>
          <w:highlight w:val="none"/>
          <w:lang w:val="en-US" w:eastAsia="zh-CN" w:bidi="ar"/>
        </w:rPr>
        <w:t>HSAF</w:t>
      </w:r>
      <w:r>
        <w:rPr>
          <w:rFonts w:hint="eastAsia" w:ascii="宋体" w:hAnsi="宋体" w:eastAsia="宋体" w:cs="宋体"/>
          <w:color w:val="auto"/>
          <w:kern w:val="0"/>
          <w:sz w:val="21"/>
          <w:szCs w:val="21"/>
          <w:highlight w:val="none"/>
          <w:lang w:val="en-US" w:eastAsia="zh-CN" w:bidi="ar"/>
        </w:rPr>
        <w:t>）开发。</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2.HSAF</w:t>
      </w:r>
      <w:r>
        <w:rPr>
          <w:rFonts w:hint="eastAsia" w:ascii="宋体" w:hAnsi="宋体" w:eastAsia="宋体" w:cs="宋体"/>
          <w:color w:val="auto"/>
          <w:kern w:val="0"/>
          <w:sz w:val="21"/>
          <w:szCs w:val="21"/>
          <w:highlight w:val="none"/>
          <w:lang w:val="en-US" w:eastAsia="zh-CN" w:bidi="ar"/>
        </w:rPr>
        <w:t>框架：采用分布式云架构，封装核心云支撑服务适配接口，用于实现云产品解耦设计。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适配层：基于</w:t>
      </w:r>
      <w:r>
        <w:rPr>
          <w:rFonts w:hint="default" w:ascii="Times New Roman" w:hAnsi="Times New Roman" w:eastAsia="宋体" w:cs="Times New Roman"/>
          <w:color w:val="auto"/>
          <w:kern w:val="0"/>
          <w:sz w:val="21"/>
          <w:szCs w:val="21"/>
          <w:highlight w:val="none"/>
          <w:lang w:val="en-US" w:eastAsia="zh-CN" w:bidi="ar"/>
        </w:rPr>
        <w:t>HSAF</w:t>
      </w:r>
      <w:r>
        <w:rPr>
          <w:rFonts w:hint="eastAsia" w:ascii="宋体" w:hAnsi="宋体" w:eastAsia="宋体" w:cs="宋体"/>
          <w:color w:val="auto"/>
          <w:kern w:val="0"/>
          <w:sz w:val="21"/>
          <w:szCs w:val="21"/>
          <w:highlight w:val="none"/>
          <w:lang w:val="en-US" w:eastAsia="zh-CN" w:bidi="ar"/>
        </w:rPr>
        <w:t>的适配技术，将应用层依赖的分布式技术与具体厂商的分布式技术进行适配，实现应用层可以适配多家厂商的分布式技术。</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4.</w:t>
      </w:r>
      <w:r>
        <w:rPr>
          <w:rFonts w:hint="eastAsia" w:ascii="宋体" w:hAnsi="宋体" w:eastAsia="宋体" w:cs="宋体"/>
          <w:color w:val="auto"/>
          <w:kern w:val="0"/>
          <w:sz w:val="21"/>
          <w:szCs w:val="21"/>
          <w:highlight w:val="none"/>
          <w:lang w:val="en-US" w:eastAsia="zh-CN" w:bidi="ar"/>
        </w:rPr>
        <w:t>云支撑服务：基于云基础设施，为应用层提供通用的技术支撑服务，包括分布式服务、分布式缓存、分布式数据访问、分布式日志服务、非结构化存储和消息队列等。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5.</w:t>
      </w:r>
      <w:r>
        <w:rPr>
          <w:rFonts w:hint="eastAsia" w:ascii="宋体" w:hAnsi="宋体" w:eastAsia="宋体" w:cs="宋体"/>
          <w:color w:val="auto"/>
          <w:kern w:val="0"/>
          <w:sz w:val="21"/>
          <w:szCs w:val="21"/>
          <w:highlight w:val="none"/>
          <w:lang w:val="en-US" w:eastAsia="zh-CN" w:bidi="ar"/>
        </w:rPr>
        <w:t>云基础设施层：采用云架构，在物理设备基础上，实现计算资源、存储资源、网络资源的动态管理和资源调配。</w:t>
      </w:r>
    </w:p>
    <w:p>
      <w:pPr>
        <w:keepNext w:val="0"/>
        <w:keepLines w:val="0"/>
        <w:widowControl/>
        <w:suppressLineNumbers w:val="0"/>
        <w:spacing w:before="0" w:beforeAutospacing="0" w:after="0" w:afterAutospacing="0" w:line="360" w:lineRule="auto"/>
        <w:ind w:left="0" w:right="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4"/>
          <w:szCs w:val="24"/>
          <w:highlight w:val="none"/>
          <w:lang w:val="en-US" w:eastAsia="zh-CN" w:bidi="ar"/>
        </w:rPr>
        <w:drawing>
          <wp:inline distT="0" distB="0" distL="114300" distR="114300">
            <wp:extent cx="4093210" cy="5073650"/>
            <wp:effectExtent l="0" t="0" r="6350" b="1270"/>
            <wp:docPr id="4" name="图片 2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4" descr="IMG_259"/>
                    <pic:cNvPicPr>
                      <a:picLocks noChangeAspect="1"/>
                    </pic:cNvPicPr>
                  </pic:nvPicPr>
                  <pic:blipFill>
                    <a:blip r:embed="rId9"/>
                    <a:stretch>
                      <a:fillRect/>
                    </a:stretch>
                  </pic:blipFill>
                  <pic:spPr>
                    <a:xfrm>
                      <a:off x="0" y="0"/>
                      <a:ext cx="4093210" cy="5073650"/>
                    </a:xfrm>
                    <a:prstGeom prst="rect">
                      <a:avLst/>
                    </a:prstGeom>
                    <a:noFill/>
                    <a:ln w="9525">
                      <a:noFill/>
                    </a:ln>
                  </pic:spPr>
                </pic:pic>
              </a:graphicData>
            </a:graphic>
          </wp:inline>
        </w:drawing>
      </w:r>
    </w:p>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黑体" w:hAnsi="宋体" w:eastAsia="黑体" w:cs="Times New Roman"/>
          <w:color w:val="auto"/>
          <w:sz w:val="21"/>
          <w:szCs w:val="21"/>
          <w:highlight w:val="none"/>
        </w:rPr>
      </w:pPr>
      <w:r>
        <w:rPr>
          <w:rFonts w:hint="eastAsia" w:ascii="黑体" w:hAnsi="宋体" w:eastAsia="黑体" w:cs="黑体"/>
          <w:color w:val="auto"/>
          <w:kern w:val="0"/>
          <w:sz w:val="21"/>
          <w:szCs w:val="21"/>
          <w:highlight w:val="none"/>
          <w:lang w:val="en-US" w:eastAsia="zh-CN" w:bidi="ar"/>
        </w:rPr>
        <w:t>图4</w:t>
      </w:r>
      <w:r>
        <w:rPr>
          <w:rFonts w:hint="eastAsia" w:ascii="黑体" w:hAnsi="宋体" w:eastAsia="黑体" w:cs="Times New Roman"/>
          <w:color w:val="auto"/>
          <w:kern w:val="0"/>
          <w:sz w:val="21"/>
          <w:szCs w:val="21"/>
          <w:highlight w:val="none"/>
          <w:lang w:val="en-US" w:eastAsia="zh-CN" w:bidi="ar"/>
        </w:rPr>
        <w:t>-7</w:t>
      </w:r>
      <w:r>
        <w:rPr>
          <w:rFonts w:hint="eastAsia" w:ascii="黑体" w:hAnsi="宋体" w:eastAsia="黑体" w:cs="黑体"/>
          <w:color w:val="auto"/>
          <w:kern w:val="0"/>
          <w:sz w:val="21"/>
          <w:szCs w:val="21"/>
          <w:highlight w:val="none"/>
          <w:lang w:val="en-US" w:eastAsia="zh-CN" w:bidi="ar"/>
        </w:rPr>
        <w:t>详细技术架构</w:t>
      </w:r>
    </w:p>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黑体" w:hAnsi="宋体" w:eastAsia="黑体" w:cs="Times New Roman"/>
          <w:color w:val="auto"/>
          <w:sz w:val="21"/>
          <w:szCs w:val="21"/>
          <w:highlight w:val="none"/>
        </w:rPr>
      </w:pP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23" w:name="_Toc180513498"/>
      <w:bookmarkEnd w:id="23"/>
      <w:r>
        <w:rPr>
          <w:rFonts w:hint="eastAsia" w:ascii="宋体" w:hAnsi="宋体" w:eastAsia="宋体" w:cs="宋体"/>
          <w:b/>
          <w:bCs/>
          <w:color w:val="auto"/>
          <w:kern w:val="2"/>
          <w:sz w:val="21"/>
          <w:szCs w:val="21"/>
          <w:lang w:val="en-US" w:eastAsia="zh-CN" w:bidi="ar-SA"/>
        </w:rPr>
        <w:t>2.4</w:t>
      </w:r>
      <w:r>
        <w:rPr>
          <w:rFonts w:hint="eastAsia" w:ascii="黑体" w:hAnsi="宋体" w:eastAsia="黑体" w:cs="黑体"/>
          <w:b/>
          <w:bCs/>
          <w:color w:val="auto"/>
          <w:sz w:val="21"/>
          <w:szCs w:val="21"/>
          <w:highlight w:val="none"/>
        </w:rPr>
        <w:t>系统网络拓扑架构设计</w:t>
      </w:r>
    </w:p>
    <w:p>
      <w:pPr>
        <w:keepNext w:val="0"/>
        <w:keepLines w:val="0"/>
        <w:widowControl/>
        <w:suppressLineNumbers w:val="0"/>
        <w:spacing w:before="0" w:beforeAutospacing="0" w:after="0" w:afterAutospacing="0" w:line="360" w:lineRule="auto"/>
        <w:ind w:left="0" w:right="0" w:firstLine="240" w:firstLineChars="1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4"/>
          <w:szCs w:val="24"/>
          <w:highlight w:val="none"/>
          <w:lang w:val="en-US" w:eastAsia="zh-CN" w:bidi="ar"/>
        </w:rPr>
        <w:drawing>
          <wp:inline distT="0" distB="0" distL="114300" distR="114300">
            <wp:extent cx="6465570" cy="4174490"/>
            <wp:effectExtent l="0" t="0" r="1270" b="11430"/>
            <wp:docPr id="5" name="图片 2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5" descr="IMG_260"/>
                    <pic:cNvPicPr>
                      <a:picLocks noChangeAspect="1"/>
                    </pic:cNvPicPr>
                  </pic:nvPicPr>
                  <pic:blipFill>
                    <a:blip r:embed="rId10"/>
                    <a:stretch>
                      <a:fillRect/>
                    </a:stretch>
                  </pic:blipFill>
                  <pic:spPr>
                    <a:xfrm rot="16200000">
                      <a:off x="0" y="0"/>
                      <a:ext cx="6465570" cy="4174490"/>
                    </a:xfrm>
                    <a:prstGeom prst="rect">
                      <a:avLst/>
                    </a:prstGeom>
                    <a:noFill/>
                    <a:ln w="9525">
                      <a:noFill/>
                    </a:ln>
                  </pic:spPr>
                </pic:pic>
              </a:graphicData>
            </a:graphic>
          </wp:inline>
        </w:drawing>
      </w:r>
      <w:r>
        <w:rPr>
          <w:rFonts w:hint="default" w:ascii="Times New Roman" w:hAnsi="Times New Roman" w:eastAsia="宋体" w:cs="Times New Roman"/>
          <w:color w:val="auto"/>
          <w:kern w:val="0"/>
          <w:sz w:val="21"/>
          <w:szCs w:val="21"/>
          <w:highlight w:val="none"/>
          <w:lang w:val="en-US" w:eastAsia="zh-CN" w:bidi="ar"/>
        </w:rPr>
        <w:t xml:space="preserve"> </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如上图所示，根据陕西省医疗保障信息平台整体架构和使用服务对象应用网络，支撑工具软件需部署在省医保云平台的医保核心业务区，基于省医保信息平台的计算、存储、中间件、网络等资源部署。同时，该支撑软件工具将配合省医保云平台在灾备机房进行灾备部署。</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24" w:name="_Toc180513499"/>
      <w:bookmarkEnd w:id="24"/>
      <w:r>
        <w:rPr>
          <w:rFonts w:hint="eastAsia" w:ascii="宋体" w:hAnsi="宋体" w:eastAsia="宋体" w:cs="宋体"/>
          <w:b/>
          <w:bCs/>
          <w:color w:val="auto"/>
          <w:kern w:val="2"/>
          <w:sz w:val="21"/>
          <w:szCs w:val="21"/>
          <w:lang w:val="en-US" w:eastAsia="zh-CN" w:bidi="ar-SA"/>
        </w:rPr>
        <w:t>2.5</w:t>
      </w:r>
      <w:r>
        <w:rPr>
          <w:rFonts w:hint="eastAsia" w:ascii="黑体" w:hAnsi="宋体" w:eastAsia="黑体" w:cs="黑体"/>
          <w:b/>
          <w:bCs/>
          <w:color w:val="auto"/>
          <w:sz w:val="21"/>
          <w:szCs w:val="21"/>
          <w:highlight w:val="none"/>
        </w:rPr>
        <w:t>业务流程设计</w:t>
      </w:r>
    </w:p>
    <w:p>
      <w:pPr>
        <w:keepNext w:val="0"/>
        <w:keepLines w:val="0"/>
        <w:widowControl/>
        <w:suppressLineNumbers w:val="0"/>
        <w:spacing w:before="0" w:beforeAutospacing="0" w:after="0" w:afterAutospacing="0" w:line="360" w:lineRule="auto"/>
        <w:ind w:left="0" w:right="0" w:firstLine="480" w:firstLineChars="200"/>
        <w:jc w:val="center"/>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4"/>
          <w:szCs w:val="24"/>
          <w:highlight w:val="none"/>
          <w:lang w:val="en-US" w:eastAsia="zh-CN" w:bidi="ar"/>
        </w:rPr>
        <w:drawing>
          <wp:inline distT="0" distB="0" distL="114300" distR="114300">
            <wp:extent cx="4300220" cy="4127500"/>
            <wp:effectExtent l="0" t="0" r="12700" b="2540"/>
            <wp:docPr id="6" name="图片 2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6" descr="IMG_261"/>
                    <pic:cNvPicPr>
                      <a:picLocks noChangeAspect="1"/>
                    </pic:cNvPicPr>
                  </pic:nvPicPr>
                  <pic:blipFill>
                    <a:blip r:embed="rId11"/>
                    <a:stretch>
                      <a:fillRect/>
                    </a:stretch>
                  </pic:blipFill>
                  <pic:spPr>
                    <a:xfrm>
                      <a:off x="0" y="0"/>
                      <a:ext cx="4300220" cy="4127500"/>
                    </a:xfrm>
                    <a:prstGeom prst="rect">
                      <a:avLst/>
                    </a:prstGeom>
                    <a:noFill/>
                    <a:ln w="9525">
                      <a:noFill/>
                    </a:ln>
                  </pic:spPr>
                </pic:pic>
              </a:graphicData>
            </a:graphic>
          </wp:inline>
        </w:drawing>
      </w:r>
      <w:r>
        <w:rPr>
          <w:rFonts w:hint="eastAsia" w:ascii="宋体" w:hAnsi="宋体" w:eastAsia="宋体" w:cs="宋体"/>
          <w:color w:val="auto"/>
          <w:kern w:val="0"/>
          <w:sz w:val="21"/>
          <w:szCs w:val="21"/>
          <w:highlight w:val="none"/>
          <w:lang w:val="en-US" w:eastAsia="zh-CN" w:bidi="ar"/>
        </w:rPr>
        <w:t>图</w:t>
      </w:r>
      <w:r>
        <w:rPr>
          <w:rFonts w:hint="default" w:ascii="Times New Roman" w:hAnsi="Times New Roman" w:eastAsia="宋体" w:cs="Times New Roman"/>
          <w:color w:val="auto"/>
          <w:kern w:val="0"/>
          <w:sz w:val="21"/>
          <w:szCs w:val="21"/>
          <w:highlight w:val="none"/>
          <w:lang w:val="en-US" w:eastAsia="zh-CN" w:bidi="ar"/>
        </w:rPr>
        <w:t>4-1</w:t>
      </w:r>
      <w:r>
        <w:rPr>
          <w:rFonts w:hint="eastAsia" w:ascii="宋体" w:hAnsi="宋体" w:eastAsia="宋体" w:cs="宋体"/>
          <w:color w:val="auto"/>
          <w:kern w:val="0"/>
          <w:sz w:val="21"/>
          <w:szCs w:val="21"/>
          <w:highlight w:val="none"/>
          <w:lang w:val="en-US" w:eastAsia="zh-CN" w:bidi="ar"/>
        </w:rPr>
        <w:t>业务流程示意图</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如图所示，参保人在完成陕西省内跨统筹区家庭账户共济绑定后，使用人可以前往任意医保定点医药机构完成医保费用报销后，省内跨统筹区职工基本医疗保障个人账户家庭共济系统均可以按月进行月度结算，并进行全省统一清算。</w:t>
      </w:r>
    </w:p>
    <w:p>
      <w:pPr>
        <w:widowControl/>
        <w:numPr>
          <w:ilvl w:val="0"/>
          <w:numId w:val="0"/>
        </w:numPr>
        <w:spacing w:line="360" w:lineRule="auto"/>
        <w:ind w:right="0" w:rightChars="0"/>
        <w:jc w:val="center"/>
        <w:outlineLvl w:val="9"/>
        <w:rPr>
          <w:rFonts w:hint="default" w:ascii="Times New Roman" w:hAnsi="Times New Roman" w:eastAsia="黑体" w:cs="Times New Roman"/>
          <w:b/>
          <w:bCs/>
          <w:color w:val="auto"/>
          <w:kern w:val="44"/>
          <w:sz w:val="28"/>
          <w:szCs w:val="28"/>
          <w:highlight w:val="none"/>
        </w:rPr>
      </w:pPr>
      <w:bookmarkStart w:id="25" w:name="_Toc180513500"/>
      <w:bookmarkEnd w:id="25"/>
      <w:r>
        <w:rPr>
          <w:rFonts w:hint="eastAsia" w:ascii="宋体" w:hAnsi="宋体" w:eastAsia="宋体" w:cs="宋体"/>
          <w:b/>
          <w:bCs/>
          <w:color w:val="auto"/>
          <w:kern w:val="44"/>
          <w:sz w:val="28"/>
          <w:szCs w:val="28"/>
          <w:lang w:val="en-US" w:eastAsia="zh-CN" w:bidi="ar-SA"/>
        </w:rPr>
        <w:t>第3章</w:t>
      </w:r>
      <w:r>
        <w:rPr>
          <w:rFonts w:hint="eastAsia" w:ascii="宋体" w:hAnsi="宋体" w:cs="宋体"/>
          <w:b/>
          <w:bCs/>
          <w:color w:val="auto"/>
          <w:kern w:val="44"/>
          <w:sz w:val="28"/>
          <w:szCs w:val="28"/>
          <w:lang w:val="en-US" w:eastAsia="zh-CN" w:bidi="ar-SA"/>
        </w:rPr>
        <w:t xml:space="preserve"> </w:t>
      </w:r>
      <w:r>
        <w:rPr>
          <w:rFonts w:hint="eastAsia" w:ascii="黑体" w:hAnsi="宋体" w:eastAsia="黑体" w:cs="黑体"/>
          <w:b/>
          <w:bCs/>
          <w:color w:val="auto"/>
          <w:kern w:val="44"/>
          <w:sz w:val="28"/>
          <w:szCs w:val="28"/>
          <w:highlight w:val="none"/>
        </w:rPr>
        <w:t>服务方案</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26" w:name="_Toc180513501"/>
      <w:bookmarkEnd w:id="26"/>
      <w:r>
        <w:rPr>
          <w:rFonts w:hint="eastAsia" w:ascii="宋体" w:hAnsi="宋体" w:eastAsia="宋体" w:cs="宋体"/>
          <w:b/>
          <w:bCs/>
          <w:color w:val="auto"/>
          <w:kern w:val="2"/>
          <w:sz w:val="21"/>
          <w:szCs w:val="21"/>
          <w:lang w:val="en-US" w:eastAsia="zh-CN" w:bidi="ar-SA"/>
        </w:rPr>
        <w:t>3.1</w:t>
      </w:r>
      <w:r>
        <w:rPr>
          <w:rFonts w:hint="eastAsia" w:ascii="黑体" w:hAnsi="宋体" w:eastAsia="黑体" w:cs="黑体"/>
          <w:b/>
          <w:bCs/>
          <w:color w:val="auto"/>
          <w:sz w:val="21"/>
          <w:szCs w:val="21"/>
          <w:highlight w:val="none"/>
        </w:rPr>
        <w:t>服务方案</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27" w:name="_Toc180513502"/>
      <w:bookmarkEnd w:id="27"/>
      <w:r>
        <w:rPr>
          <w:rFonts w:hint="eastAsia" w:ascii="宋体" w:hAnsi="宋体" w:eastAsia="宋体" w:cs="宋体"/>
          <w:b/>
          <w:bCs/>
          <w:color w:val="auto"/>
          <w:kern w:val="2"/>
          <w:sz w:val="21"/>
          <w:szCs w:val="21"/>
          <w:lang w:val="en-US" w:eastAsia="zh-CN" w:bidi="ar-SA"/>
        </w:rPr>
        <w:t>3.1.1</w:t>
      </w:r>
      <w:r>
        <w:rPr>
          <w:rFonts w:hint="eastAsia" w:ascii="黑体" w:hAnsi="宋体" w:eastAsia="黑体" w:cs="黑体"/>
          <w:b/>
          <w:bCs/>
          <w:color w:val="auto"/>
          <w:sz w:val="21"/>
          <w:szCs w:val="21"/>
          <w:highlight w:val="none"/>
        </w:rPr>
        <w:t>服务目标</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宋体" w:hAnsi="宋体" w:eastAsia="宋体" w:cs="宋体"/>
          <w:color w:val="auto"/>
          <w:kern w:val="0"/>
          <w:sz w:val="21"/>
          <w:szCs w:val="21"/>
          <w:highlight w:val="none"/>
          <w:lang w:val="en-US" w:eastAsia="zh-CN" w:bidi="ar"/>
        </w:rPr>
      </w:pPr>
      <w:r>
        <w:rPr>
          <w:rFonts w:hint="eastAsia" w:ascii="宋体" w:hAnsi="宋体" w:eastAsia="宋体" w:cs="宋体"/>
          <w:color w:val="auto"/>
          <w:kern w:val="0"/>
          <w:sz w:val="21"/>
          <w:szCs w:val="21"/>
          <w:highlight w:val="none"/>
          <w:lang w:val="en-US" w:eastAsia="zh-CN" w:bidi="ar"/>
        </w:rPr>
        <w:t>本项目服务范围和规模：全省医疗保障局的基金管理部门、结算部门、信息管理部门、综合业务部门、异地就医管理部门，以及参加职工医疗保险的用户及其家庭成员。通过全省医疗保障局内外各相关部门的协作，以实现省内跨统筹区</w:t>
      </w:r>
      <w:r>
        <w:rPr>
          <w:rFonts w:hint="eastAsia" w:ascii="宋体" w:hAnsi="宋体" w:cs="宋体"/>
          <w:color w:val="auto"/>
          <w:kern w:val="0"/>
          <w:sz w:val="21"/>
          <w:szCs w:val="21"/>
          <w:highlight w:val="none"/>
          <w:lang w:val="en-US" w:eastAsia="zh-CN" w:bidi="ar"/>
        </w:rPr>
        <w:t>及</w:t>
      </w:r>
      <w:r>
        <w:rPr>
          <w:rFonts w:hint="eastAsia"/>
          <w:color w:val="auto"/>
          <w:highlight w:val="none"/>
          <w:lang w:val="en-US" w:eastAsia="zh-CN"/>
        </w:rPr>
        <w:t>跨省</w:t>
      </w:r>
      <w:r>
        <w:rPr>
          <w:rFonts w:hint="eastAsia" w:ascii="宋体" w:hAnsi="宋体" w:eastAsia="宋体" w:cs="宋体"/>
          <w:color w:val="auto"/>
          <w:kern w:val="0"/>
          <w:sz w:val="21"/>
          <w:szCs w:val="21"/>
          <w:highlight w:val="none"/>
          <w:lang w:val="en-US" w:eastAsia="zh-CN" w:bidi="ar"/>
        </w:rPr>
        <w:t>职工基本医疗保险个人账户家庭共济，医保参保人可以将自己医保个人账户的资金授权给同省不同医保统筹区的直系</w:t>
      </w:r>
      <w:r>
        <w:rPr>
          <w:rFonts w:hint="eastAsia" w:ascii="宋体" w:hAnsi="宋体" w:cs="宋体"/>
          <w:color w:val="auto"/>
          <w:kern w:val="0"/>
          <w:sz w:val="21"/>
          <w:szCs w:val="21"/>
          <w:highlight w:val="none"/>
          <w:lang w:val="en-US" w:eastAsia="zh-CN" w:bidi="ar"/>
        </w:rPr>
        <w:t>亲属使用，包括配偶、子女、父母及其配偶的父母等近亲属。根据国家医保局及省委省政府统一安排部署，提供职工个人账户家庭共济等其他服务。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bookmarkStart w:id="66" w:name="_GoBack"/>
      <w:bookmarkEnd w:id="66"/>
      <w:r>
        <w:rPr>
          <w:rFonts w:hint="eastAsia" w:ascii="宋体" w:hAnsi="宋体" w:eastAsia="宋体" w:cs="宋体"/>
          <w:color w:val="auto"/>
          <w:kern w:val="0"/>
          <w:sz w:val="21"/>
          <w:szCs w:val="21"/>
          <w:highlight w:val="none"/>
          <w:lang w:val="en-US" w:eastAsia="zh-CN" w:bidi="ar"/>
        </w:rPr>
        <w:t>其服务目标如下所示：</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1.</w:t>
      </w:r>
      <w:r>
        <w:rPr>
          <w:rFonts w:hint="eastAsia" w:ascii="宋体" w:hAnsi="宋体" w:eastAsia="宋体" w:cs="宋体"/>
          <w:b/>
          <w:bCs/>
          <w:color w:val="auto"/>
          <w:kern w:val="0"/>
          <w:sz w:val="21"/>
          <w:szCs w:val="21"/>
          <w:highlight w:val="none"/>
          <w:lang w:val="en-US" w:eastAsia="zh-CN" w:bidi="ar"/>
        </w:rPr>
        <w:t>政务目标</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w:t>
      </w: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）通过实现省内跨统筹区</w:t>
      </w:r>
      <w:r>
        <w:rPr>
          <w:rFonts w:hint="eastAsia" w:ascii="宋体" w:hAnsi="宋体" w:cs="宋体"/>
          <w:color w:val="auto"/>
          <w:kern w:val="0"/>
          <w:sz w:val="21"/>
          <w:szCs w:val="21"/>
          <w:highlight w:val="none"/>
          <w:lang w:val="en-US" w:eastAsia="zh-CN" w:bidi="ar"/>
        </w:rPr>
        <w:t>及</w:t>
      </w:r>
      <w:r>
        <w:rPr>
          <w:rFonts w:hint="eastAsia"/>
          <w:color w:val="auto"/>
          <w:highlight w:val="none"/>
          <w:lang w:val="en-US" w:eastAsia="zh-CN"/>
        </w:rPr>
        <w:t>跨省</w:t>
      </w:r>
      <w:r>
        <w:rPr>
          <w:rFonts w:hint="eastAsia" w:ascii="宋体" w:hAnsi="宋体" w:eastAsia="宋体" w:cs="宋体"/>
          <w:color w:val="auto"/>
          <w:kern w:val="0"/>
          <w:sz w:val="21"/>
          <w:szCs w:val="21"/>
          <w:highlight w:val="none"/>
          <w:lang w:val="en-US" w:eastAsia="zh-CN" w:bidi="ar"/>
        </w:rPr>
        <w:t>职工基本医疗保险个人账户家庭共济，进一步拓宽职工医保个人账户的使用范围，减轻参保群众家庭医疗费用负担。</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w:t>
      </w: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）通过实现省内跨统筹区</w:t>
      </w:r>
      <w:r>
        <w:rPr>
          <w:rFonts w:hint="eastAsia" w:ascii="宋体" w:hAnsi="宋体" w:cs="宋体"/>
          <w:color w:val="auto"/>
          <w:kern w:val="0"/>
          <w:sz w:val="21"/>
          <w:szCs w:val="21"/>
          <w:highlight w:val="none"/>
          <w:lang w:val="en-US" w:eastAsia="zh-CN" w:bidi="ar"/>
        </w:rPr>
        <w:t>及</w:t>
      </w:r>
      <w:r>
        <w:rPr>
          <w:rFonts w:hint="eastAsia"/>
          <w:color w:val="auto"/>
          <w:highlight w:val="none"/>
          <w:lang w:val="en-US" w:eastAsia="zh-CN"/>
        </w:rPr>
        <w:t>跨省</w:t>
      </w:r>
      <w:r>
        <w:rPr>
          <w:rFonts w:hint="eastAsia" w:ascii="宋体" w:hAnsi="宋体" w:eastAsia="宋体" w:cs="宋体"/>
          <w:color w:val="auto"/>
          <w:kern w:val="0"/>
          <w:sz w:val="21"/>
          <w:szCs w:val="21"/>
          <w:highlight w:val="none"/>
          <w:lang w:val="en-US" w:eastAsia="zh-CN" w:bidi="ar"/>
        </w:rPr>
        <w:t>职工基本医疗保险个人账户家庭共济，推进医保进一步改革，提高医保基金使用效率，确保医保基金平稳运行，同时合理控制费用增速和住院率。</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w:t>
      </w: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）通过实现省内跨统筹区</w:t>
      </w:r>
      <w:r>
        <w:rPr>
          <w:rFonts w:hint="eastAsia" w:ascii="宋体" w:hAnsi="宋体" w:cs="宋体"/>
          <w:color w:val="auto"/>
          <w:kern w:val="0"/>
          <w:sz w:val="21"/>
          <w:szCs w:val="21"/>
          <w:highlight w:val="none"/>
          <w:lang w:val="en-US" w:eastAsia="zh-CN" w:bidi="ar"/>
        </w:rPr>
        <w:t>及</w:t>
      </w:r>
      <w:r>
        <w:rPr>
          <w:rFonts w:hint="eastAsia"/>
          <w:color w:val="auto"/>
          <w:highlight w:val="none"/>
          <w:lang w:val="en-US" w:eastAsia="zh-CN"/>
        </w:rPr>
        <w:t>跨省</w:t>
      </w:r>
      <w:r>
        <w:rPr>
          <w:rFonts w:hint="eastAsia" w:ascii="宋体" w:hAnsi="宋体" w:eastAsia="宋体" w:cs="宋体"/>
          <w:color w:val="auto"/>
          <w:kern w:val="0"/>
          <w:sz w:val="21"/>
          <w:szCs w:val="21"/>
          <w:highlight w:val="none"/>
          <w:lang w:val="en-US" w:eastAsia="zh-CN" w:bidi="ar"/>
        </w:rPr>
        <w:t>职工基本医疗保险个人账户家庭共济，优化医保服务流程，提高医保服务的便捷性和可及性，增强参保群众的获得感、幸福感和安全感。</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2.</w:t>
      </w:r>
      <w:r>
        <w:rPr>
          <w:rFonts w:hint="eastAsia" w:ascii="宋体" w:hAnsi="宋体" w:eastAsia="宋体" w:cs="宋体"/>
          <w:b/>
          <w:bCs/>
          <w:color w:val="auto"/>
          <w:kern w:val="0"/>
          <w:sz w:val="21"/>
          <w:szCs w:val="21"/>
          <w:highlight w:val="none"/>
          <w:lang w:val="en-US" w:eastAsia="zh-CN" w:bidi="ar"/>
        </w:rPr>
        <w:t>业务目标</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w:t>
      </w: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）确保职工医保个人账户能够跨统筹区实现家庭共济，支持家庭成员共同使用医保个人账户资金，减轻家庭医疗费用负担。</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w:t>
      </w: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）通过信息化手段优化医保结算流程，提高结算效率，减少参保群众等待时间。</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w:t>
      </w: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）通过优化医保基金的使用和管理，进一步推动医保制度更加公平、可持续，增强医保制度的吸引力和凝聚力，从而吸引更多人参与医保制度，为医保制度的长期发展奠定坚实基础。</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28" w:name="_Toc180513503"/>
      <w:bookmarkEnd w:id="28"/>
      <w:r>
        <w:rPr>
          <w:rFonts w:hint="eastAsia" w:ascii="宋体" w:hAnsi="宋体" w:eastAsia="宋体" w:cs="宋体"/>
          <w:b/>
          <w:bCs/>
          <w:color w:val="auto"/>
          <w:kern w:val="2"/>
          <w:sz w:val="21"/>
          <w:szCs w:val="21"/>
          <w:lang w:val="en-US" w:eastAsia="zh-CN" w:bidi="ar-SA"/>
        </w:rPr>
        <w:t>3.1.2</w:t>
      </w:r>
      <w:r>
        <w:rPr>
          <w:rFonts w:hint="eastAsia" w:ascii="黑体" w:hAnsi="宋体" w:eastAsia="黑体" w:cs="黑体"/>
          <w:b/>
          <w:bCs/>
          <w:color w:val="auto"/>
          <w:sz w:val="21"/>
          <w:szCs w:val="21"/>
          <w:highlight w:val="none"/>
        </w:rPr>
        <w:t>服务业务框架</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本项目服务事项主要是平台运营服务、培训服务和信息咨询服务，以支持家庭共济关系绑定、关系查询、省市级共济资金清算，资金划拨、使用记录查询等业务的开展，实现职工医保个人账户省内异地家庭共济，使不同地区的医疗资源可以在家庭成员间实现共享，有助于促进医疗资源的均衡分布和共享利用，提高全省医疗服务的整体水平和质量。</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其服务业务框架如下：</w:t>
      </w:r>
    </w:p>
    <w:p>
      <w:pPr>
        <w:keepNext w:val="0"/>
        <w:keepLines w:val="0"/>
        <w:widowControl/>
        <w:suppressLineNumbers w:val="0"/>
        <w:spacing w:before="0" w:beforeAutospacing="0" w:after="0" w:afterAutospacing="0" w:line="360" w:lineRule="auto"/>
        <w:ind w:left="0" w:right="0" w:firstLine="0" w:firstLineChars="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4"/>
          <w:szCs w:val="24"/>
          <w:highlight w:val="none"/>
          <w:lang w:val="en-US" w:eastAsia="zh-CN" w:bidi="ar"/>
        </w:rPr>
        <w:drawing>
          <wp:inline distT="0" distB="0" distL="114300" distR="114300">
            <wp:extent cx="3903345" cy="2009140"/>
            <wp:effectExtent l="0" t="0" r="13335" b="2540"/>
            <wp:docPr id="1" name="图片 2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7" descr="IMG_262"/>
                    <pic:cNvPicPr>
                      <a:picLocks noChangeAspect="1"/>
                    </pic:cNvPicPr>
                  </pic:nvPicPr>
                  <pic:blipFill>
                    <a:blip r:embed="rId12"/>
                    <a:stretch>
                      <a:fillRect/>
                    </a:stretch>
                  </pic:blipFill>
                  <pic:spPr>
                    <a:xfrm>
                      <a:off x="0" y="0"/>
                      <a:ext cx="3903345" cy="2009140"/>
                    </a:xfrm>
                    <a:prstGeom prst="rect">
                      <a:avLst/>
                    </a:prstGeom>
                    <a:noFill/>
                    <a:ln w="9525">
                      <a:noFill/>
                    </a:ln>
                  </pic:spPr>
                </pic:pic>
              </a:graphicData>
            </a:graphic>
          </wp:inline>
        </w:drawing>
      </w:r>
    </w:p>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黑体" w:hAnsi="宋体" w:eastAsia="黑体" w:cs="Times New Roman"/>
          <w:color w:val="auto"/>
          <w:sz w:val="21"/>
          <w:szCs w:val="21"/>
          <w:highlight w:val="none"/>
        </w:rPr>
      </w:pPr>
      <w:r>
        <w:rPr>
          <w:rFonts w:hint="eastAsia" w:ascii="黑体" w:hAnsi="宋体" w:eastAsia="黑体" w:cs="黑体"/>
          <w:color w:val="auto"/>
          <w:kern w:val="0"/>
          <w:sz w:val="21"/>
          <w:szCs w:val="21"/>
          <w:highlight w:val="none"/>
          <w:lang w:val="en-US" w:eastAsia="zh-CN" w:bidi="ar"/>
        </w:rPr>
        <w:t>图4</w:t>
      </w:r>
      <w:r>
        <w:rPr>
          <w:rFonts w:hint="eastAsia" w:ascii="黑体" w:hAnsi="宋体" w:eastAsia="黑体" w:cs="Times New Roman"/>
          <w:color w:val="auto"/>
          <w:kern w:val="0"/>
          <w:sz w:val="21"/>
          <w:szCs w:val="21"/>
          <w:highlight w:val="none"/>
          <w:lang w:val="en-US" w:eastAsia="zh-CN" w:bidi="ar"/>
        </w:rPr>
        <w:t>-1</w:t>
      </w:r>
      <w:r>
        <w:rPr>
          <w:rFonts w:hint="eastAsia" w:ascii="黑体" w:hAnsi="宋体" w:eastAsia="黑体" w:cs="黑体"/>
          <w:color w:val="auto"/>
          <w:kern w:val="0"/>
          <w:sz w:val="21"/>
          <w:szCs w:val="21"/>
          <w:highlight w:val="none"/>
          <w:lang w:val="en-US" w:eastAsia="zh-CN" w:bidi="ar"/>
        </w:rPr>
        <w:t>服务业务框架</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29" w:name="_Toc180513504"/>
      <w:bookmarkEnd w:id="29"/>
      <w:r>
        <w:rPr>
          <w:rFonts w:hint="eastAsia" w:ascii="宋体" w:hAnsi="宋体" w:eastAsia="宋体" w:cs="宋体"/>
          <w:b/>
          <w:bCs/>
          <w:color w:val="auto"/>
          <w:kern w:val="2"/>
          <w:sz w:val="21"/>
          <w:szCs w:val="21"/>
          <w:lang w:val="en-US" w:eastAsia="zh-CN" w:bidi="ar-SA"/>
        </w:rPr>
        <w:t>3.1.3</w:t>
      </w:r>
      <w:r>
        <w:rPr>
          <w:rFonts w:hint="eastAsia" w:ascii="黑体" w:hAnsi="宋体" w:eastAsia="黑体" w:cs="黑体"/>
          <w:b/>
          <w:bCs/>
          <w:color w:val="auto"/>
          <w:sz w:val="21"/>
          <w:szCs w:val="21"/>
          <w:highlight w:val="none"/>
        </w:rPr>
        <w:t>服务实施框架</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本项目服务实施框架主要包含服务内容、服务实施支撑、服务涉及人员三部分，如图所示：</w:t>
      </w:r>
    </w:p>
    <w:p>
      <w:pPr>
        <w:keepNext w:val="0"/>
        <w:keepLines w:val="0"/>
        <w:widowControl/>
        <w:suppressLineNumbers w:val="0"/>
        <w:spacing w:before="0" w:beforeAutospacing="0" w:after="0" w:afterAutospacing="0" w:line="360" w:lineRule="auto"/>
        <w:ind w:left="0" w:right="0" w:firstLine="0" w:firstLineChars="0"/>
        <w:jc w:val="center"/>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4"/>
          <w:szCs w:val="24"/>
          <w:highlight w:val="none"/>
          <w:lang w:val="en-US" w:eastAsia="zh-CN" w:bidi="ar"/>
        </w:rPr>
        <w:drawing>
          <wp:inline distT="0" distB="0" distL="114300" distR="114300">
            <wp:extent cx="4123055" cy="2200910"/>
            <wp:effectExtent l="0" t="0" r="6985" b="8890"/>
            <wp:docPr id="3" name="图片 2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8" descr="IMG_263"/>
                    <pic:cNvPicPr>
                      <a:picLocks noChangeAspect="1"/>
                    </pic:cNvPicPr>
                  </pic:nvPicPr>
                  <pic:blipFill>
                    <a:blip r:embed="rId13"/>
                    <a:stretch>
                      <a:fillRect/>
                    </a:stretch>
                  </pic:blipFill>
                  <pic:spPr>
                    <a:xfrm>
                      <a:off x="0" y="0"/>
                      <a:ext cx="4123055" cy="2200910"/>
                    </a:xfrm>
                    <a:prstGeom prst="rect">
                      <a:avLst/>
                    </a:prstGeom>
                    <a:noFill/>
                    <a:ln w="9525">
                      <a:noFill/>
                    </a:ln>
                  </pic:spPr>
                </pic:pic>
              </a:graphicData>
            </a:graphic>
          </wp:inline>
        </w:drawing>
      </w:r>
    </w:p>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黑体" w:hAnsi="宋体" w:eastAsia="黑体" w:cs="Times New Roman"/>
          <w:color w:val="auto"/>
          <w:sz w:val="21"/>
          <w:szCs w:val="21"/>
          <w:highlight w:val="none"/>
        </w:rPr>
      </w:pPr>
      <w:r>
        <w:rPr>
          <w:rFonts w:hint="eastAsia" w:ascii="黑体" w:hAnsi="宋体" w:eastAsia="黑体" w:cs="黑体"/>
          <w:color w:val="auto"/>
          <w:kern w:val="0"/>
          <w:sz w:val="21"/>
          <w:szCs w:val="21"/>
          <w:highlight w:val="none"/>
          <w:lang w:val="en-US" w:eastAsia="zh-CN" w:bidi="ar"/>
        </w:rPr>
        <w:t>图4</w:t>
      </w:r>
      <w:r>
        <w:rPr>
          <w:rFonts w:hint="eastAsia" w:ascii="黑体" w:hAnsi="宋体" w:eastAsia="黑体" w:cs="Times New Roman"/>
          <w:color w:val="auto"/>
          <w:kern w:val="0"/>
          <w:sz w:val="21"/>
          <w:szCs w:val="21"/>
          <w:highlight w:val="none"/>
          <w:lang w:val="en-US" w:eastAsia="zh-CN" w:bidi="ar"/>
        </w:rPr>
        <w:t>-2</w:t>
      </w:r>
      <w:r>
        <w:rPr>
          <w:rFonts w:hint="eastAsia" w:ascii="黑体" w:hAnsi="宋体" w:eastAsia="黑体" w:cs="黑体"/>
          <w:color w:val="auto"/>
          <w:kern w:val="0"/>
          <w:sz w:val="21"/>
          <w:szCs w:val="21"/>
          <w:highlight w:val="none"/>
          <w:lang w:val="en-US" w:eastAsia="zh-CN" w:bidi="ar"/>
        </w:rPr>
        <w:t>服务实施框架</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3.1.3.1</w:t>
      </w:r>
      <w:r>
        <w:rPr>
          <w:rFonts w:hint="eastAsia" w:ascii="宋体" w:hAnsi="宋体" w:eastAsia="宋体" w:cs="宋体"/>
          <w:b/>
          <w:bCs/>
          <w:color w:val="auto"/>
          <w:sz w:val="21"/>
          <w:szCs w:val="21"/>
          <w:highlight w:val="none"/>
        </w:rPr>
        <w:t>服务内容</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如上图所示，本项目服务内容主要是平台运营服务、培训服务和信息咨询服务，通过这些服务的实施和运营，优化异地家庭共济关系的绑定、关系查询、省市级共济资金清算，资金划拨、使用记录查询等的经办流程，增强家庭成员的医疗保障能力，促进全省医疗资源均衡分配，进一步完善我国医保制度，提高医保制度的公平性和可持续性。</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3.1.3.2</w:t>
      </w:r>
      <w:r>
        <w:rPr>
          <w:rFonts w:hint="eastAsia" w:ascii="宋体" w:hAnsi="宋体" w:eastAsia="宋体" w:cs="宋体"/>
          <w:b/>
          <w:bCs/>
          <w:color w:val="auto"/>
          <w:sz w:val="21"/>
          <w:szCs w:val="21"/>
          <w:highlight w:val="none"/>
        </w:rPr>
        <w:t>服务实施支撑</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本项目服务实施支撑由服务提供机构提供服务实施人员、服务实施技术、服务实施工具等方面的支撑，具体内容如下：</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3.1.3.2.1</w:t>
      </w:r>
      <w:r>
        <w:rPr>
          <w:rFonts w:hint="eastAsia" w:ascii="宋体" w:hAnsi="宋体" w:eastAsia="宋体" w:cs="宋体"/>
          <w:b/>
          <w:bCs/>
          <w:color w:val="auto"/>
          <w:sz w:val="21"/>
          <w:szCs w:val="21"/>
          <w:highlight w:val="none"/>
        </w:rPr>
        <w:t>服务实施制度</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服务实施制度是为了确保软件项目服务过程的顺利进行，提高项目执行效率和服务质量而制定的一系列规范和流程。以下是服务提供机构开展服务实施工作的规程和准则：</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（一）总则</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目的：本制度旨在规范项目服务实施过程的管理，确保项目按时、按质量要求、按预算完成，提高项目实施的成功率和客户满意度。</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适用范围：本制度适用于所有服务类项目的服务实施。</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（二）组织与职责</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项目负责人：作为项目实施的第一责任人，负责项目的整体规划、协调、决策和风险管理。</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制定详细的项目进度计划，并根据实际情况进行调整。</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制定项目的质量标准和质量保证计划，并监督项目组成员按照计划执行。</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识别项目的潜在风险，并制定相应的应对措施。</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项目组成员：负责各自职能领域的工作。</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严格按照项目计划执行任务，确保项目按时完成。</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按照质量标准和质量保证计划进行工作，确保软件质量符合要求。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质量保证组：负责项目的质量保证工作。</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对项目进行严格的测试和质量检查，确保软件质量符合要求。</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（三）项目实施流程</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需求分析：项目负责人组织项目组成员对客户需求进行深入分析，形成业务需求文档。</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项目实施：根据需求文档，项目负责人组织项目组成员进行项目实施服务等。</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（四）项目管理规定</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项目进度管理：项目负责人应制定详细的项目进度计划，并根据实际情况进行调整。项目组成员应按照进度计划完成任务，确保项目按时完成。</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项目质量管理：项目负责人应制定项目的质量标准和质量保证计划，并监督项目组成员按照计划执行。质量保证组应对项目进行严格的测试和质量检查，确保软件质量符合要求。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项目风险管理：项目负责人应识别项目的潜在风险，并制定相应的应对措施。在项目实施过程中，项目负责人应及时处理和报告风险事件，确保项目的顺利进行。</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（五）服务实施准备</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人员准备：涉及的项目实施人员包括实施单位相关人员以及客户方相关负责人员，确保双方人员充分沟通和协作。</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技术准备：明确项目所涉及到的各项技术，如系统配置、环境配置、数据库配置、软件部署等，确保实施人员掌握所需技术。</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其他准备：考虑与客户的沟通，以及可能遇到的出行方式、食宿等，确保实施过程的顺利进行。</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（六）服务实施监督与评估</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定期监督项目进展情况，确保项目按计划进行。</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对项目质量进行定期评估，确保软件质量符合要求。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收集客户反馈，对服务实施过程进行持续改进。</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3.1.3.2.2</w:t>
      </w:r>
      <w:r>
        <w:rPr>
          <w:rFonts w:hint="eastAsia" w:ascii="宋体" w:hAnsi="宋体" w:eastAsia="宋体" w:cs="宋体"/>
          <w:b/>
          <w:bCs/>
          <w:color w:val="auto"/>
          <w:sz w:val="21"/>
          <w:szCs w:val="21"/>
          <w:highlight w:val="none"/>
        </w:rPr>
        <w:t>服务实施要求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服务实施要求包括规定服务管理机构、服务提供机构和服务使用者之间的相互制约关系。</w:t>
      </w:r>
    </w:p>
    <w:p>
      <w:pPr>
        <w:pStyle w:val="12"/>
        <w:keepNext w:val="0"/>
        <w:keepLines w:val="0"/>
        <w:widowControl/>
        <w:numPr>
          <w:ilvl w:val="0"/>
          <w:numId w:val="1"/>
        </w:numPr>
        <w:suppressLineNumbers w:val="0"/>
        <w:spacing w:line="360" w:lineRule="auto"/>
        <w:ind w:left="840" w:hanging="360" w:firstLineChars="0"/>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sz w:val="21"/>
          <w:szCs w:val="21"/>
          <w:highlight w:val="none"/>
        </w:rPr>
        <w:t>服务使用者：共同根据需求提出明确服务需求。</w:t>
      </w:r>
    </w:p>
    <w:p>
      <w:pPr>
        <w:pStyle w:val="12"/>
        <w:keepNext w:val="0"/>
        <w:keepLines w:val="0"/>
        <w:widowControl/>
        <w:numPr>
          <w:ilvl w:val="0"/>
          <w:numId w:val="1"/>
        </w:numPr>
        <w:suppressLineNumbers w:val="0"/>
        <w:spacing w:line="360" w:lineRule="auto"/>
        <w:ind w:left="840" w:hanging="360" w:firstLineChars="0"/>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sz w:val="21"/>
          <w:szCs w:val="21"/>
          <w:highlight w:val="none"/>
        </w:rPr>
        <w:t>服务管理机构：采集服务使用者提出的服务需求，根据总体规划思路，对服务需求进行评估、审核。</w:t>
      </w:r>
    </w:p>
    <w:p>
      <w:pPr>
        <w:pStyle w:val="12"/>
        <w:keepNext w:val="0"/>
        <w:keepLines w:val="0"/>
        <w:widowControl/>
        <w:numPr>
          <w:ilvl w:val="0"/>
          <w:numId w:val="1"/>
        </w:numPr>
        <w:suppressLineNumbers w:val="0"/>
        <w:spacing w:line="360" w:lineRule="auto"/>
        <w:ind w:left="840" w:hanging="360" w:firstLineChars="0"/>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sz w:val="21"/>
          <w:szCs w:val="21"/>
          <w:highlight w:val="none"/>
        </w:rPr>
        <w:t>服务提供机构：调研服务需求，根据服务需求，提供相关服务，包括服务运营、服务实施、培训服务等。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服务提供机构在实施过程中为了确保项目能够按照预定的目标、范围、时间和预算顺利执行而制定的一系列规范和标准。以下是本项目实施要求的详细内容：</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（一）明确实施目标和范围</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、目标确定：</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明确软件项目的具体目标，如提高业务效率、优化用户体验、满足特定业务需求等。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确保项目目标与公司的整体战略和业务目标保持一致。</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、范围界定：</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界定项目所涉及的业务范围、功能模块、技术架构等。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明确项目不包括的内容，避免范围蔓延和不必要的变更。</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（二）分析实施影响和风险</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、影响评估：</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分析项目实施对业务流程、人员、技术、资源等方面可能产生的影响。</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预测项目实施后可能带来的业务效益和潜在风险。</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、风险评估：</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识别项目实施过程中可能遇到的风险，如技术风险、人员风险、管理风险等。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制定相应的风险应对策略和预案，确保项目风险得到有效控制。</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val="0"/>
          <w:color w:val="auto"/>
          <w:sz w:val="21"/>
          <w:szCs w:val="21"/>
          <w:highlight w:val="none"/>
        </w:rPr>
      </w:pPr>
      <w:r>
        <w:rPr>
          <w:rFonts w:hint="eastAsia" w:ascii="宋体" w:hAnsi="宋体" w:eastAsia="宋体" w:cs="宋体"/>
          <w:b/>
          <w:bCs w:val="0"/>
          <w:color w:val="auto"/>
          <w:kern w:val="0"/>
          <w:sz w:val="21"/>
          <w:szCs w:val="21"/>
          <w:highlight w:val="none"/>
          <w:lang w:val="en-US" w:eastAsia="zh-CN" w:bidi="ar"/>
        </w:rPr>
        <w:t>（三）制定详细的实施计划</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时间节点：</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制定详细的项目时间计划，包括项目启动、需求分析、服务实施、服务运营等关键阶段的时间节点。</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确保项目按计划进行，避免延误和赶工。</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责任人：</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明确项目各阶段的责任人和任务分工，确保项目团队各成员明确自己的职责和任务。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资源配置：</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合理配置项目所需的人力、物力、财力等资源，确保项目资源得到充分利用。</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val="0"/>
          <w:color w:val="auto"/>
          <w:sz w:val="21"/>
          <w:szCs w:val="21"/>
          <w:highlight w:val="none"/>
        </w:rPr>
      </w:pPr>
      <w:r>
        <w:rPr>
          <w:rFonts w:hint="eastAsia" w:ascii="宋体" w:hAnsi="宋体" w:eastAsia="宋体" w:cs="宋体"/>
          <w:b/>
          <w:bCs w:val="0"/>
          <w:color w:val="auto"/>
          <w:kern w:val="0"/>
          <w:sz w:val="21"/>
          <w:szCs w:val="21"/>
          <w:highlight w:val="none"/>
          <w:lang w:val="en-US" w:eastAsia="zh-CN" w:bidi="ar"/>
        </w:rPr>
        <w:t>（四）明确实施的方法和步骤</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实施流程：</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制定详细的项目服务实施流程，包括需求分析、服务实现、服务运营等服务阶段的服务工作。</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操作指南</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提供项目实施过程中的操作指南和技术文档，确保项目团队能够按照规范进行操作和实施。</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val="0"/>
          <w:color w:val="auto"/>
          <w:sz w:val="21"/>
          <w:szCs w:val="21"/>
          <w:highlight w:val="none"/>
        </w:rPr>
      </w:pPr>
      <w:r>
        <w:rPr>
          <w:rFonts w:hint="eastAsia" w:ascii="宋体" w:hAnsi="宋体" w:eastAsia="宋体" w:cs="宋体"/>
          <w:b/>
          <w:bCs w:val="0"/>
          <w:color w:val="auto"/>
          <w:kern w:val="0"/>
          <w:sz w:val="21"/>
          <w:szCs w:val="21"/>
          <w:highlight w:val="none"/>
          <w:lang w:val="en-US" w:eastAsia="zh-CN" w:bidi="ar"/>
        </w:rPr>
        <w:t>（五）建立实施监控和评估机制</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监控指标：</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制定项目实施过程中的监控指标，如项目进度、质量、成本等，确保项目能够按照预定的目标进行。</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评估标准：</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制定项目评估标准，对项目实施过程中的各个环节进行评估和检查，确保项目质量符合要求。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反馈机制：</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建立项目实施过程中的反馈机制，及时收集项目团队成员和客户的意见和建议，对项目进行调整和优化。</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val="0"/>
          <w:color w:val="auto"/>
          <w:sz w:val="21"/>
          <w:szCs w:val="21"/>
          <w:highlight w:val="none"/>
        </w:rPr>
      </w:pPr>
      <w:r>
        <w:rPr>
          <w:rFonts w:hint="eastAsia" w:ascii="宋体" w:hAnsi="宋体" w:eastAsia="宋体" w:cs="宋体"/>
          <w:b/>
          <w:bCs w:val="0"/>
          <w:color w:val="auto"/>
          <w:kern w:val="0"/>
          <w:sz w:val="21"/>
          <w:szCs w:val="21"/>
          <w:highlight w:val="none"/>
          <w:lang w:val="en-US" w:eastAsia="zh-CN" w:bidi="ar"/>
        </w:rPr>
        <w:t>（六）人员资质和能力要求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专业技能：</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项目团队成员应具备良好的计算机科学和软件工程知识背景，熟悉相关的编程语言和开发工具。</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项目管理能力：</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项目经理应具备一定的项目管理经验和能力，能够合理安排和调度团队资源，制定详细的实施计划，并根据项目需求进行有效沟通和协调。</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沟通能力：</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项目团队成员应具备良好的沟通能力，能够与项目经理、开发人员、测试人员以及客户保持有效的沟通，确保项目顺利进行。</w:t>
      </w:r>
    </w:p>
    <w:p>
      <w:pPr>
        <w:widowControl/>
        <w:numPr>
          <w:ilvl w:val="4"/>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3.1.3.2.3</w:t>
      </w:r>
      <w:r>
        <w:rPr>
          <w:rFonts w:hint="eastAsia" w:ascii="宋体" w:hAnsi="宋体" w:eastAsia="宋体" w:cs="宋体"/>
          <w:b/>
          <w:bCs/>
          <w:color w:val="auto"/>
          <w:sz w:val="21"/>
          <w:szCs w:val="21"/>
          <w:highlight w:val="none"/>
        </w:rPr>
        <w:t>服务实施人员</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服务实施人员是负责软件项目从设计到交付全过程的专业团队。他们通过运用各种技术和工具，确保软件项目能够按照预定的目标、时间表和预算顺利完成。以下是服务机构应组建的服务实施团队以及其服务分工和职责定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、项目经理</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职责：负责整个软件项目的规划、协调和管理。他们需要具备良好的沟通能力和领导能力，以确保项目按时完成，并与相关利益相关者保持良好的合作关系。</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技能：项目管理方法、时间管理、风险管理、团队协作等。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、服务实施人员</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职责：根据项目需求进行服务实施。他们需要具备相关类型项目的服务经验，以确保按时交付完成服务的实施。</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技能：熟悉异地账户共济业务、政策、异地账户共济经办流程等。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、质量保证人员</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职责：对软件项目进行全面的质量控制和测试。他们需要具备良好的软件测试技巧和问题解决能力，以确保软件产品的质量和稳定性。</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技能：测试方法、测试用例设计、缺陷管理工具使用等。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4</w:t>
      </w:r>
      <w:r>
        <w:rPr>
          <w:rFonts w:hint="eastAsia" w:ascii="宋体" w:hAnsi="宋体" w:eastAsia="宋体" w:cs="宋体"/>
          <w:color w:val="auto"/>
          <w:kern w:val="0"/>
          <w:sz w:val="21"/>
          <w:szCs w:val="21"/>
          <w:highlight w:val="none"/>
          <w:lang w:val="en-US" w:eastAsia="zh-CN" w:bidi="ar"/>
        </w:rPr>
        <w:t>、部署和服务人员</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职责：将软件产品部署到生产环境，并确保软件的正常运行。他们需要具备良好的系统操作和故障排除能力，以确保软件的高可用性和稳定性。</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技能：系统部署、监控与告警、故障排查与恢复等。</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3.1.3.3</w:t>
      </w:r>
      <w:r>
        <w:rPr>
          <w:rFonts w:hint="eastAsia" w:ascii="宋体" w:hAnsi="宋体" w:eastAsia="宋体" w:cs="宋体"/>
          <w:b/>
          <w:bCs/>
          <w:color w:val="auto"/>
          <w:sz w:val="21"/>
          <w:szCs w:val="21"/>
          <w:highlight w:val="none"/>
        </w:rPr>
        <w:t>服务涉及人员</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本项目服务涉及人员：包括机构用户、公务人员和社会公众三类。即：</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w:t>
      </w: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）机构用户：省、市</w:t>
      </w:r>
      <w:r>
        <w:rPr>
          <w:rFonts w:hint="default" w:ascii="Times New Roman" w:hAnsi="Times New Roman" w:eastAsia="宋体" w:cs="Times New Roman"/>
          <w:color w:val="auto"/>
          <w:kern w:val="0"/>
          <w:sz w:val="21"/>
          <w:szCs w:val="21"/>
          <w:highlight w:val="none"/>
          <w:lang w:val="en-US" w:eastAsia="zh-CN" w:bidi="ar"/>
        </w:rPr>
        <w:t>/</w:t>
      </w:r>
      <w:r>
        <w:rPr>
          <w:rFonts w:hint="eastAsia" w:ascii="宋体" w:hAnsi="宋体" w:eastAsia="宋体" w:cs="宋体"/>
          <w:color w:val="auto"/>
          <w:kern w:val="0"/>
          <w:sz w:val="21"/>
          <w:szCs w:val="21"/>
          <w:highlight w:val="none"/>
          <w:lang w:val="en-US" w:eastAsia="zh-CN" w:bidi="ar"/>
        </w:rPr>
        <w:t>区县医疗保障局及相关业务处室；</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w:t>
      </w: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）公务人员：省、市</w:t>
      </w:r>
      <w:r>
        <w:rPr>
          <w:rFonts w:hint="default" w:ascii="Times New Roman" w:hAnsi="Times New Roman" w:eastAsia="宋体" w:cs="Times New Roman"/>
          <w:color w:val="auto"/>
          <w:kern w:val="0"/>
          <w:sz w:val="21"/>
          <w:szCs w:val="21"/>
          <w:highlight w:val="none"/>
          <w:lang w:val="en-US" w:eastAsia="zh-CN" w:bidi="ar"/>
        </w:rPr>
        <w:t>/</w:t>
      </w:r>
      <w:r>
        <w:rPr>
          <w:rFonts w:hint="eastAsia" w:ascii="宋体" w:hAnsi="宋体" w:eastAsia="宋体" w:cs="宋体"/>
          <w:color w:val="auto"/>
          <w:kern w:val="0"/>
          <w:sz w:val="21"/>
          <w:szCs w:val="21"/>
          <w:highlight w:val="none"/>
          <w:lang w:val="en-US" w:eastAsia="zh-CN" w:bidi="ar"/>
        </w:rPr>
        <w:t>区县医疗保障局业务经办中心人员、基金管理中心人员、技术服务中心人员；</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w:t>
      </w: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）社会公众：职工医保参保人员及其已参保的父母、配偶和子女等。</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30" w:name="_Toc180513505"/>
      <w:bookmarkEnd w:id="30"/>
      <w:r>
        <w:rPr>
          <w:rFonts w:hint="eastAsia" w:ascii="宋体" w:hAnsi="宋体" w:eastAsia="宋体" w:cs="宋体"/>
          <w:b/>
          <w:bCs/>
          <w:color w:val="auto"/>
          <w:kern w:val="2"/>
          <w:sz w:val="21"/>
          <w:szCs w:val="21"/>
          <w:lang w:val="en-US" w:eastAsia="zh-CN" w:bidi="ar-SA"/>
        </w:rPr>
        <w:t>3.1.4</w:t>
      </w:r>
      <w:r>
        <w:rPr>
          <w:rFonts w:hint="eastAsia" w:ascii="黑体" w:hAnsi="宋体" w:eastAsia="黑体" w:cs="黑体"/>
          <w:b/>
          <w:bCs/>
          <w:color w:val="auto"/>
          <w:sz w:val="21"/>
          <w:szCs w:val="21"/>
          <w:highlight w:val="none"/>
        </w:rPr>
        <w:t>服务组织架构</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3.1.4.1</w:t>
      </w:r>
      <w:r>
        <w:rPr>
          <w:rFonts w:hint="eastAsia" w:ascii="宋体" w:hAnsi="宋体" w:eastAsia="宋体" w:cs="宋体"/>
          <w:b/>
          <w:bCs/>
          <w:color w:val="auto"/>
          <w:sz w:val="21"/>
          <w:szCs w:val="21"/>
          <w:highlight w:val="none"/>
        </w:rPr>
        <w:t>服务组织架构</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本项目服务组织架构主要包括服务管理机构、服务实施机构和服务监督机构三方。如图所示：</w:t>
      </w:r>
    </w:p>
    <w:p>
      <w:pPr>
        <w:keepNext w:val="0"/>
        <w:keepLines w:val="0"/>
        <w:widowControl/>
        <w:suppressLineNumbers w:val="0"/>
        <w:spacing w:before="0" w:beforeAutospacing="0" w:after="0" w:afterAutospacing="0" w:line="360" w:lineRule="auto"/>
        <w:ind w:left="0" w:right="0" w:firstLine="0" w:firstLineChars="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4"/>
          <w:szCs w:val="24"/>
          <w:highlight w:val="none"/>
          <w:lang w:val="en-US" w:eastAsia="zh-CN" w:bidi="ar"/>
        </w:rPr>
        <w:drawing>
          <wp:inline distT="0" distB="0" distL="114300" distR="114300">
            <wp:extent cx="4582795" cy="796925"/>
            <wp:effectExtent l="0" t="0" r="4445" b="10795"/>
            <wp:docPr id="2" name="图片 29"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9" descr="IMG_264"/>
                    <pic:cNvPicPr>
                      <a:picLocks noChangeAspect="1"/>
                    </pic:cNvPicPr>
                  </pic:nvPicPr>
                  <pic:blipFill>
                    <a:blip r:embed="rId14"/>
                    <a:stretch>
                      <a:fillRect/>
                    </a:stretch>
                  </pic:blipFill>
                  <pic:spPr>
                    <a:xfrm>
                      <a:off x="0" y="0"/>
                      <a:ext cx="4582795" cy="796925"/>
                    </a:xfrm>
                    <a:prstGeom prst="rect">
                      <a:avLst/>
                    </a:prstGeom>
                    <a:noFill/>
                    <a:ln w="9525">
                      <a:noFill/>
                    </a:ln>
                  </pic:spPr>
                </pic:pic>
              </a:graphicData>
            </a:graphic>
          </wp:inline>
        </w:drawing>
      </w:r>
    </w:p>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黑体" w:hAnsi="宋体" w:eastAsia="黑体" w:cs="Times New Roman"/>
          <w:color w:val="auto"/>
          <w:sz w:val="21"/>
          <w:szCs w:val="21"/>
          <w:highlight w:val="none"/>
        </w:rPr>
      </w:pPr>
      <w:r>
        <w:rPr>
          <w:rFonts w:hint="eastAsia" w:ascii="黑体" w:hAnsi="宋体" w:eastAsia="黑体" w:cs="黑体"/>
          <w:color w:val="auto"/>
          <w:kern w:val="0"/>
          <w:sz w:val="21"/>
          <w:szCs w:val="21"/>
          <w:highlight w:val="none"/>
          <w:lang w:val="en-US" w:eastAsia="zh-CN" w:bidi="ar"/>
        </w:rPr>
        <w:t>图4</w:t>
      </w:r>
      <w:r>
        <w:rPr>
          <w:rFonts w:hint="eastAsia" w:ascii="黑体" w:hAnsi="宋体" w:eastAsia="黑体" w:cs="Times New Roman"/>
          <w:color w:val="auto"/>
          <w:kern w:val="0"/>
          <w:sz w:val="21"/>
          <w:szCs w:val="21"/>
          <w:highlight w:val="none"/>
          <w:lang w:val="en-US" w:eastAsia="zh-CN" w:bidi="ar"/>
        </w:rPr>
        <w:t>-3</w:t>
      </w:r>
      <w:r>
        <w:rPr>
          <w:rFonts w:hint="eastAsia" w:ascii="黑体" w:hAnsi="宋体" w:eastAsia="黑体" w:cs="黑体"/>
          <w:color w:val="auto"/>
          <w:kern w:val="0"/>
          <w:sz w:val="21"/>
          <w:szCs w:val="21"/>
          <w:highlight w:val="none"/>
          <w:lang w:val="en-US" w:eastAsia="zh-CN" w:bidi="ar"/>
        </w:rPr>
        <w:t>服务组织架构</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3.1.4.2</w:t>
      </w:r>
      <w:r>
        <w:rPr>
          <w:rFonts w:hint="eastAsia" w:ascii="宋体" w:hAnsi="宋体" w:eastAsia="宋体" w:cs="宋体"/>
          <w:b/>
          <w:bCs/>
          <w:color w:val="auto"/>
          <w:sz w:val="21"/>
          <w:szCs w:val="21"/>
          <w:highlight w:val="none"/>
        </w:rPr>
        <w:t>服务实施机构及职责</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其中，服务实施机构主要由项目负责人、开发服务小组、测试服务小组、实施服务小组、验收服务小组、运营服务小组等组成。相关职责如下：</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项目负责人：作为项目的领导者和管理者，负责项目的整体规划、组织、实施和控制。项目负责人需要具备良好的沟通能力、团队管理能力和项目管理经验，确保项目按时、按质、按量完成。</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需求分析服务小组：负责收集和分析用户需求，将用户需求转化为可执行的项目计划。需求小组人员需要与用户进行深入的沟通，准确理解用户的需求。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实施服务小组：基于需求分析结果，提供设计、开发、测试等服务，以及系统部署服务等。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运营监控服务：在项目部署完成后，负责项目的日常维护、性能监控、处故障理和技术支持，以确保软件稳定运行，及时响应用户反馈。</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3.1.4.3</w:t>
      </w:r>
      <w:r>
        <w:rPr>
          <w:rFonts w:hint="eastAsia" w:ascii="宋体" w:hAnsi="宋体" w:eastAsia="宋体" w:cs="宋体"/>
          <w:b/>
          <w:bCs/>
          <w:color w:val="auto"/>
          <w:sz w:val="21"/>
          <w:szCs w:val="21"/>
          <w:highlight w:val="none"/>
        </w:rPr>
        <w:t>服务运行机制</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本项目的服务运行机制涵盖了从项目启动、需求分析、开发、运营维护到项目监控、风险管理和资源管理的全过程，以确保项目的顺利进行和成功运营。其详细的服务运行机制如下：</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1.</w:t>
      </w:r>
      <w:r>
        <w:rPr>
          <w:rFonts w:hint="eastAsia" w:ascii="宋体" w:hAnsi="宋体" w:eastAsia="宋体" w:cs="宋体"/>
          <w:b/>
          <w:bCs/>
          <w:color w:val="auto"/>
          <w:kern w:val="0"/>
          <w:sz w:val="21"/>
          <w:szCs w:val="21"/>
          <w:highlight w:val="none"/>
          <w:lang w:val="en-US" w:eastAsia="zh-CN" w:bidi="ar"/>
        </w:rPr>
        <w:t>项目启动与准备阶段</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确定项目负责人和项目团队，明确人员角色分工。</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制定项目章程，包括交付文档、交付物、日清进度、会议沟通计划、项目变更流程等。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明确项目需求和输出需求文件，确定项目的里程碑和完工标准。</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2.</w:t>
      </w:r>
      <w:r>
        <w:rPr>
          <w:rFonts w:hint="eastAsia" w:ascii="宋体" w:hAnsi="宋体" w:eastAsia="宋体" w:cs="宋体"/>
          <w:b/>
          <w:bCs/>
          <w:color w:val="auto"/>
          <w:kern w:val="0"/>
          <w:sz w:val="21"/>
          <w:szCs w:val="21"/>
          <w:highlight w:val="none"/>
          <w:lang w:val="en-US" w:eastAsia="zh-CN" w:bidi="ar"/>
        </w:rPr>
        <w:t>需求分析与确认阶段</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需求分析：依据需求文件，由项目负责人、产品经理、测试、开发等相关干系人进行评估分析，输出工作说明书。</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需求确认：通过</w:t>
      </w:r>
      <w:r>
        <w:rPr>
          <w:rFonts w:hint="default" w:ascii="Times New Roman" w:hAnsi="Times New Roman" w:eastAsia="宋体" w:cs="Times New Roman"/>
          <w:color w:val="auto"/>
          <w:kern w:val="0"/>
          <w:sz w:val="21"/>
          <w:szCs w:val="21"/>
          <w:highlight w:val="none"/>
          <w:lang w:val="en-US" w:eastAsia="zh-CN" w:bidi="ar"/>
        </w:rPr>
        <w:t>demo</w:t>
      </w:r>
      <w:r>
        <w:rPr>
          <w:rFonts w:hint="eastAsia" w:ascii="宋体" w:hAnsi="宋体" w:eastAsia="宋体" w:cs="宋体"/>
          <w:color w:val="auto"/>
          <w:kern w:val="0"/>
          <w:sz w:val="21"/>
          <w:szCs w:val="21"/>
          <w:highlight w:val="none"/>
          <w:lang w:val="en-US" w:eastAsia="zh-CN" w:bidi="ar"/>
        </w:rPr>
        <w:t>的形式（如原型、</w:t>
      </w:r>
      <w:r>
        <w:rPr>
          <w:rFonts w:hint="default" w:ascii="Times New Roman" w:hAnsi="Times New Roman" w:eastAsia="宋体" w:cs="Times New Roman"/>
          <w:color w:val="auto"/>
          <w:kern w:val="0"/>
          <w:sz w:val="21"/>
          <w:szCs w:val="21"/>
          <w:highlight w:val="none"/>
          <w:lang w:val="en-US" w:eastAsia="zh-CN" w:bidi="ar"/>
        </w:rPr>
        <w:t>UI</w:t>
      </w:r>
      <w:r>
        <w:rPr>
          <w:rFonts w:hint="eastAsia" w:ascii="宋体" w:hAnsi="宋体" w:eastAsia="宋体" w:cs="宋体"/>
          <w:color w:val="auto"/>
          <w:kern w:val="0"/>
          <w:sz w:val="21"/>
          <w:szCs w:val="21"/>
          <w:highlight w:val="none"/>
          <w:lang w:val="en-US" w:eastAsia="zh-CN" w:bidi="ar"/>
        </w:rPr>
        <w:t>图）呈现需求，与需求提出方进行沟通确认，并签署书面文件。</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需求评审：内部开发需求评审，确定使用的技术、风险点，并据此明确项目计划排期。</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3</w:t>
      </w:r>
      <w:r>
        <w:rPr>
          <w:rFonts w:hint="eastAsia" w:ascii="宋体" w:hAnsi="宋体" w:eastAsia="宋体" w:cs="宋体"/>
          <w:b/>
          <w:bCs/>
          <w:color w:val="auto"/>
          <w:kern w:val="0"/>
          <w:sz w:val="21"/>
          <w:szCs w:val="21"/>
          <w:highlight w:val="none"/>
          <w:lang w:val="en-US" w:eastAsia="zh-CN" w:bidi="ar"/>
        </w:rPr>
        <w:t>服务实施阶段</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进度管理：按照排期计划进行每日任务完成情况汇总和次日工作计划安排。</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质量管理：确保代码质量，采用自动化测试和代码审查方法提高代码质量。</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变更管理：在项目执行过程中，对于提出的需求变更，需按照变更流程进行评估、记录和确认。</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4.</w:t>
      </w:r>
      <w:r>
        <w:rPr>
          <w:rFonts w:hint="eastAsia" w:ascii="宋体" w:hAnsi="宋体" w:eastAsia="宋体" w:cs="宋体"/>
          <w:b/>
          <w:bCs/>
          <w:color w:val="auto"/>
          <w:kern w:val="0"/>
          <w:sz w:val="21"/>
          <w:szCs w:val="21"/>
          <w:highlight w:val="none"/>
          <w:lang w:val="en-US" w:eastAsia="zh-CN" w:bidi="ar"/>
        </w:rPr>
        <w:t>运营与维护阶段</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技术支持与维护：建立专业的技术支持团队，负责软件项目的技术支持和维护工作，确保软件稳定运行。</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用户体验优化：不断优化软件界面和功能，提高用户的操作便利性和体验感。</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安全保障：加强软件项目的安全防护，建立健全的安全管理制度，防范各类安全风险。</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5.</w:t>
      </w:r>
      <w:r>
        <w:rPr>
          <w:rFonts w:hint="eastAsia" w:ascii="宋体" w:hAnsi="宋体" w:eastAsia="宋体" w:cs="宋体"/>
          <w:b/>
          <w:bCs/>
          <w:color w:val="auto"/>
          <w:kern w:val="0"/>
          <w:sz w:val="21"/>
          <w:szCs w:val="21"/>
          <w:highlight w:val="none"/>
          <w:lang w:val="en-US" w:eastAsia="zh-CN" w:bidi="ar"/>
        </w:rPr>
        <w:t>项目监控与风险管理</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项目监控：通过定期的项目例会、进度报告等方式，确保项目的整体计划没有偏差。</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风险管理：在项目开始之前进行风险评估，识别可能出现的问题和风险，并制定相应的应对措施和计划。</w:t>
      </w:r>
    </w:p>
    <w:p>
      <w:pPr>
        <w:keepNext w:val="0"/>
        <w:keepLines w:val="0"/>
        <w:widowControl/>
        <w:suppressLineNumbers w:val="0"/>
        <w:spacing w:before="0" w:beforeAutospacing="0" w:after="0" w:afterAutospacing="0" w:line="360" w:lineRule="auto"/>
        <w:ind w:left="0" w:right="0" w:firstLine="422" w:firstLineChars="200"/>
        <w:jc w:val="both"/>
        <w:outlineLvl w:val="9"/>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kern w:val="0"/>
          <w:sz w:val="21"/>
          <w:szCs w:val="21"/>
          <w:highlight w:val="none"/>
          <w:lang w:val="en-US" w:eastAsia="zh-CN" w:bidi="ar"/>
        </w:rPr>
        <w:t>6.</w:t>
      </w:r>
      <w:r>
        <w:rPr>
          <w:rFonts w:hint="eastAsia" w:ascii="宋体" w:hAnsi="宋体" w:eastAsia="宋体" w:cs="宋体"/>
          <w:b/>
          <w:bCs/>
          <w:color w:val="auto"/>
          <w:kern w:val="0"/>
          <w:sz w:val="21"/>
          <w:szCs w:val="21"/>
          <w:highlight w:val="none"/>
          <w:lang w:val="en-US" w:eastAsia="zh-CN" w:bidi="ar"/>
        </w:rPr>
        <w:t>资源管理与成本控制</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资源管理：合理规划和管理项目所需的人力、物力和财力资源，确保项目所需资源的及时提供和充分利用。</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成本控制：合理规划软件项目的运营成本，提高资源利用效率，降低运营成本。</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31" w:name="_Toc180513506"/>
      <w:bookmarkEnd w:id="31"/>
      <w:r>
        <w:rPr>
          <w:rFonts w:hint="eastAsia" w:ascii="宋体" w:hAnsi="宋体" w:eastAsia="宋体" w:cs="宋体"/>
          <w:b/>
          <w:bCs/>
          <w:color w:val="auto"/>
          <w:kern w:val="2"/>
          <w:sz w:val="21"/>
          <w:szCs w:val="21"/>
          <w:lang w:val="en-US" w:eastAsia="zh-CN" w:bidi="ar-SA"/>
        </w:rPr>
        <w:t>3.2</w:t>
      </w:r>
      <w:r>
        <w:rPr>
          <w:rFonts w:hint="eastAsia" w:ascii="黑体" w:hAnsi="宋体" w:eastAsia="黑体" w:cs="黑体"/>
          <w:b/>
          <w:bCs/>
          <w:color w:val="auto"/>
          <w:sz w:val="21"/>
          <w:szCs w:val="21"/>
          <w:highlight w:val="none"/>
        </w:rPr>
        <w:t>平台运营服务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针对本项目，基于支撑软件提供平台运营服务，包括工具平台部署服务、数据共享交互服务、日常运营服务、相关系统咨询服务。</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32" w:name="_Toc180513507"/>
      <w:bookmarkEnd w:id="32"/>
      <w:r>
        <w:rPr>
          <w:rFonts w:hint="eastAsia" w:ascii="宋体" w:hAnsi="宋体" w:eastAsia="宋体" w:cs="宋体"/>
          <w:b/>
          <w:bCs/>
          <w:color w:val="auto"/>
          <w:kern w:val="2"/>
          <w:sz w:val="21"/>
          <w:szCs w:val="21"/>
          <w:lang w:val="en-US" w:eastAsia="zh-CN" w:bidi="ar-SA"/>
        </w:rPr>
        <w:t>3.2.1</w:t>
      </w:r>
      <w:r>
        <w:rPr>
          <w:rFonts w:hint="eastAsia" w:ascii="黑体" w:hAnsi="宋体" w:eastAsia="黑体" w:cs="黑体"/>
          <w:b/>
          <w:bCs/>
          <w:color w:val="auto"/>
          <w:sz w:val="21"/>
          <w:szCs w:val="21"/>
          <w:highlight w:val="none"/>
        </w:rPr>
        <w:t>服务内容</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3.2.1.1</w:t>
      </w:r>
      <w:r>
        <w:rPr>
          <w:rFonts w:hint="eastAsia" w:ascii="宋体" w:hAnsi="宋体" w:eastAsia="宋体" w:cs="宋体"/>
          <w:b/>
          <w:bCs/>
          <w:color w:val="auto"/>
          <w:sz w:val="21"/>
          <w:szCs w:val="21"/>
          <w:highlight w:val="none"/>
        </w:rPr>
        <w:t>工具平台部署服务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提供工具平台部署服务，基于省医保信息平台现有环境部署，并按照文档说明，对该支撑工具平台进行启动调试，试运行正常后正式上线使用。</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3.2.1.2</w:t>
      </w:r>
      <w:r>
        <w:rPr>
          <w:rFonts w:hint="eastAsia" w:ascii="宋体" w:hAnsi="宋体" w:eastAsia="宋体" w:cs="宋体"/>
          <w:b/>
          <w:bCs/>
          <w:color w:val="auto"/>
          <w:sz w:val="21"/>
          <w:szCs w:val="21"/>
          <w:highlight w:val="none"/>
        </w:rPr>
        <w:t>数据共享交互服务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提供的共享交互服务，通过与其他相关系统进行数据对接，监控相关共享数据与交换数据，保证数据的准确性和稳定性。</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3.2.1.3</w:t>
      </w:r>
      <w:r>
        <w:rPr>
          <w:rFonts w:hint="eastAsia" w:ascii="宋体" w:hAnsi="宋体" w:eastAsia="宋体" w:cs="宋体"/>
          <w:b/>
          <w:bCs/>
          <w:color w:val="auto"/>
          <w:sz w:val="21"/>
          <w:szCs w:val="21"/>
          <w:highlight w:val="none"/>
        </w:rPr>
        <w:t>数据处理服务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通过与省医保信息平台中的相关应用进行对接，采集其中的账户共济类的基础数据，并对这些基础数据进行整合、分析和标准化处理，形成家庭共济绑定数据、家庭共济结算数据、异地共济拨付数据和异地共济清算数据，以支撑全省异地家庭共济业务的运行。</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3.2.1.4</w:t>
      </w:r>
      <w:r>
        <w:rPr>
          <w:rFonts w:hint="eastAsia" w:ascii="宋体" w:hAnsi="宋体" w:eastAsia="宋体" w:cs="宋体"/>
          <w:b/>
          <w:bCs/>
          <w:color w:val="auto"/>
          <w:sz w:val="21"/>
          <w:szCs w:val="21"/>
          <w:highlight w:val="none"/>
        </w:rPr>
        <w:t>日常运营服务</w:t>
      </w:r>
    </w:p>
    <w:p>
      <w:pPr>
        <w:keepNext w:val="0"/>
        <w:keepLines w:val="0"/>
        <w:widowControl/>
        <w:suppressLineNumbers w:val="0"/>
        <w:spacing w:before="0" w:beforeAutospacing="0" w:after="0" w:afterAutospacing="0" w:line="360" w:lineRule="auto"/>
        <w:ind w:left="0" w:right="0" w:firstLine="420" w:firstLineChars="200"/>
        <w:jc w:val="left"/>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提供7*24小时的响应服务和5*8小时的日常运营服务，即实现针对账务共济业务问题受理、常见问题解析视频受理、平台服务问题受理和需求功能新增。此外，保证在任何时候用户单位都能及时找到服务人员。如遇服务人员无法解决的问题或需要，服务商的专业技术人员或二线专家应在2小时内赶到现场支持。系统问题需上报省医保局进行修复，数据问题需纳入本地平台日常运营服务中。</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3.2.1.5</w:t>
      </w:r>
      <w:r>
        <w:rPr>
          <w:rFonts w:hint="eastAsia" w:ascii="宋体" w:hAnsi="宋体" w:eastAsia="宋体" w:cs="宋体"/>
          <w:b/>
          <w:bCs/>
          <w:color w:val="auto"/>
          <w:sz w:val="21"/>
          <w:szCs w:val="21"/>
          <w:highlight w:val="none"/>
        </w:rPr>
        <w:t>相关应用升级扩展服务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根据职工基本医疗保险个人账户家庭共济政策要求和业务要求，对陕西省医保信息平台相关应用进行适应性的升级扩展，满足异地就医情况下个人账户家庭共济。主要包括升级需求确认、升级实施、测试等内容。</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33" w:name="_Toc180513508"/>
      <w:bookmarkEnd w:id="33"/>
      <w:r>
        <w:rPr>
          <w:rFonts w:hint="eastAsia" w:ascii="宋体" w:hAnsi="宋体" w:eastAsia="宋体" w:cs="宋体"/>
          <w:b/>
          <w:bCs/>
          <w:color w:val="auto"/>
          <w:kern w:val="2"/>
          <w:sz w:val="21"/>
          <w:szCs w:val="21"/>
          <w:lang w:val="en-US" w:eastAsia="zh-CN" w:bidi="ar-SA"/>
        </w:rPr>
        <w:t>3.2.2</w:t>
      </w:r>
      <w:r>
        <w:rPr>
          <w:rFonts w:hint="eastAsia" w:ascii="黑体" w:hAnsi="宋体" w:eastAsia="黑体" w:cs="黑体"/>
          <w:b/>
          <w:bCs/>
          <w:color w:val="auto"/>
          <w:sz w:val="21"/>
          <w:szCs w:val="21"/>
          <w:highlight w:val="none"/>
        </w:rPr>
        <w:t>服务范围</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服务范围：陕西省医保信息平台，个人账户家庭共济业务所涉及的关联系统，包括异地就医管理子系统、医保业务基础子系统、两定服务子系统、两定机构的</w:t>
      </w:r>
      <w:r>
        <w:rPr>
          <w:rFonts w:hint="default" w:ascii="Times New Roman" w:hAnsi="Times New Roman" w:eastAsia="宋体" w:cs="Times New Roman"/>
          <w:color w:val="auto"/>
          <w:kern w:val="0"/>
          <w:sz w:val="21"/>
          <w:szCs w:val="21"/>
          <w:highlight w:val="none"/>
          <w:lang w:val="en-US" w:eastAsia="zh-CN" w:bidi="ar"/>
        </w:rPr>
        <w:t>HIS</w:t>
      </w:r>
      <w:r>
        <w:rPr>
          <w:rFonts w:hint="eastAsia" w:ascii="宋体" w:hAnsi="宋体" w:eastAsia="宋体" w:cs="宋体"/>
          <w:color w:val="auto"/>
          <w:kern w:val="0"/>
          <w:sz w:val="21"/>
          <w:szCs w:val="21"/>
          <w:highlight w:val="none"/>
          <w:lang w:val="en-US" w:eastAsia="zh-CN" w:bidi="ar"/>
        </w:rPr>
        <w:t>，以及各医保统筹区的医保部门、经办中心以及参保人员。</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34" w:name="_Toc180513509"/>
      <w:bookmarkEnd w:id="34"/>
      <w:r>
        <w:rPr>
          <w:rFonts w:hint="eastAsia" w:ascii="宋体" w:hAnsi="宋体" w:eastAsia="宋体" w:cs="宋体"/>
          <w:b/>
          <w:bCs/>
          <w:color w:val="auto"/>
          <w:kern w:val="2"/>
          <w:sz w:val="21"/>
          <w:szCs w:val="21"/>
          <w:lang w:val="en-US" w:eastAsia="zh-CN" w:bidi="ar-SA"/>
        </w:rPr>
        <w:t>3.2.3</w:t>
      </w:r>
      <w:r>
        <w:rPr>
          <w:rFonts w:hint="eastAsia" w:ascii="黑体" w:hAnsi="宋体" w:eastAsia="黑体" w:cs="黑体"/>
          <w:b/>
          <w:bCs/>
          <w:color w:val="auto"/>
          <w:sz w:val="21"/>
          <w:szCs w:val="21"/>
          <w:highlight w:val="none"/>
        </w:rPr>
        <w:t>服务要求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1.现场服务：本项目需提供不少于3人的服务人员以保证项目运行。</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2.响应时间：收到问题2小时内反馈、根据故障等级和需求分类进行服务时间规划。</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35" w:name="_Toc180513510"/>
      <w:bookmarkEnd w:id="35"/>
      <w:r>
        <w:rPr>
          <w:rFonts w:hint="eastAsia" w:ascii="宋体" w:hAnsi="宋体" w:eastAsia="宋体" w:cs="宋体"/>
          <w:b/>
          <w:bCs/>
          <w:color w:val="auto"/>
          <w:kern w:val="2"/>
          <w:sz w:val="21"/>
          <w:szCs w:val="21"/>
          <w:lang w:val="en-US" w:eastAsia="zh-CN" w:bidi="ar-SA"/>
        </w:rPr>
        <w:t>3.2.4</w:t>
      </w:r>
      <w:r>
        <w:rPr>
          <w:rFonts w:hint="eastAsia" w:ascii="黑体" w:hAnsi="宋体" w:eastAsia="黑体" w:cs="黑体"/>
          <w:b/>
          <w:bCs/>
          <w:color w:val="auto"/>
          <w:sz w:val="21"/>
          <w:szCs w:val="21"/>
          <w:highlight w:val="none"/>
        </w:rPr>
        <w:t>服务流程</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需求分析</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根据省内跨统筹区个人账户家庭共济业务进行调研分析，对平台的运营服务内容进行梳理、归纳。对所确认的需求进行评估，最终确定平台运营服务的内容。</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支撑工具平台部署</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基于服务的需要，将完成测试后的支撑软件工具部署在陕西省医保信息平台上的相关医保核心区域，并进行参数适配、联调测试等工作。</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接口对接联调</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对部署后的支撑软件工具与省医保信息平台中的相关应用进行接口对接联调，以实现账户共济数据和异地个账下拨、财务数据等数据的对接。</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4.</w:t>
      </w:r>
      <w:r>
        <w:rPr>
          <w:rFonts w:hint="eastAsia" w:ascii="宋体" w:hAnsi="宋体" w:eastAsia="宋体" w:cs="宋体"/>
          <w:color w:val="auto"/>
          <w:kern w:val="0"/>
          <w:sz w:val="21"/>
          <w:szCs w:val="21"/>
          <w:highlight w:val="none"/>
          <w:lang w:val="en-US" w:eastAsia="zh-CN" w:bidi="ar"/>
        </w:rPr>
        <w:t>数据处理服务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对支撑软件工具与相关应用系统的共享交换数据进行整合、分析和标准化处理，并对这些数据进行监控分析，以实时掌握全省及各医保统筹区异地账户共济业务的运行情况。</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5.</w:t>
      </w:r>
      <w:r>
        <w:rPr>
          <w:rFonts w:hint="eastAsia" w:ascii="宋体" w:hAnsi="宋体" w:eastAsia="宋体" w:cs="宋体"/>
          <w:color w:val="auto"/>
          <w:kern w:val="0"/>
          <w:sz w:val="21"/>
          <w:szCs w:val="21"/>
          <w:highlight w:val="none"/>
          <w:lang w:val="en-US" w:eastAsia="zh-CN" w:bidi="ar"/>
        </w:rPr>
        <w:t>日常运营</w:t>
      </w:r>
    </w:p>
    <w:p>
      <w:pPr>
        <w:keepNext w:val="0"/>
        <w:keepLines w:val="0"/>
        <w:widowControl/>
        <w:suppressLineNumbers w:val="0"/>
        <w:spacing w:before="0" w:beforeAutospacing="0" w:after="0" w:afterAutospacing="0" w:line="360" w:lineRule="auto"/>
        <w:ind w:left="0" w:right="0" w:firstLine="420" w:firstLineChars="200"/>
        <w:jc w:val="left"/>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提供5*8小时的日常运营服务，包含针对账务共济业务问题、平台服务问题和需求功能新增。此外，收集用户实际使用中的问题和改进建议，根据反馈和实际情况，及时调整相关服务内容。</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6.</w:t>
      </w:r>
      <w:r>
        <w:rPr>
          <w:rFonts w:hint="eastAsia" w:ascii="宋体" w:hAnsi="宋体" w:eastAsia="宋体" w:cs="宋体"/>
          <w:color w:val="auto"/>
          <w:kern w:val="0"/>
          <w:sz w:val="21"/>
          <w:szCs w:val="21"/>
          <w:highlight w:val="none"/>
          <w:lang w:val="en-US" w:eastAsia="zh-CN" w:bidi="ar"/>
        </w:rPr>
        <w:t>相关应用升级迭代</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根据省内异地账户家庭共济政策的变化和新增的业务需求，细化服务事项，对陕西省医保信息平台相关应用进行适应性的升级扩展，满足异地就医情况下个人账户家庭共济。</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36" w:name="_Toc180513512"/>
      <w:bookmarkEnd w:id="36"/>
      <w:bookmarkStart w:id="37" w:name="_Toc180513511"/>
      <w:bookmarkEnd w:id="37"/>
      <w:r>
        <w:rPr>
          <w:rFonts w:hint="eastAsia" w:ascii="宋体" w:hAnsi="宋体" w:eastAsia="宋体" w:cs="宋体"/>
          <w:b/>
          <w:bCs/>
          <w:color w:val="auto"/>
          <w:kern w:val="2"/>
          <w:sz w:val="21"/>
          <w:szCs w:val="21"/>
          <w:lang w:val="en-US" w:eastAsia="zh-CN" w:bidi="ar-SA"/>
        </w:rPr>
        <w:t>3.2.5</w:t>
      </w:r>
      <w:r>
        <w:rPr>
          <w:rFonts w:hint="eastAsia" w:ascii="黑体" w:hAnsi="宋体" w:eastAsia="黑体" w:cs="黑体"/>
          <w:b/>
          <w:bCs/>
          <w:color w:val="auto"/>
          <w:sz w:val="21"/>
          <w:szCs w:val="21"/>
          <w:highlight w:val="none"/>
        </w:rPr>
        <w:t>交付物与交付物质量</w:t>
      </w:r>
    </w:p>
    <w:p>
      <w:pPr>
        <w:pStyle w:val="9"/>
        <w:widowControl/>
        <w:spacing w:line="360" w:lineRule="auto"/>
        <w:ind w:left="0" w:firstLine="480"/>
        <w:outlineLvl w:val="9"/>
        <w:rPr>
          <w:rFonts w:hint="default" w:ascii="Cambria" w:hAnsi="Cambria" w:eastAsia="宋体" w:cs="Times New Roman"/>
          <w:color w:val="auto"/>
          <w:kern w:val="2"/>
          <w:sz w:val="21"/>
          <w:szCs w:val="21"/>
          <w:highlight w:val="none"/>
        </w:rPr>
      </w:pPr>
      <w:r>
        <w:rPr>
          <w:rFonts w:hint="eastAsia" w:ascii="黑体" w:hAnsi="宋体" w:eastAsia="黑体" w:cs="黑体"/>
          <w:color w:val="auto"/>
          <w:kern w:val="2"/>
          <w:sz w:val="21"/>
          <w:szCs w:val="21"/>
          <w:highlight w:val="none"/>
        </w:rPr>
        <w:t>表</w:t>
      </w:r>
      <w:r>
        <w:rPr>
          <w:rFonts w:hint="default" w:ascii="Cambria" w:hAnsi="Cambria" w:eastAsia="Cambria" w:cs="Cambria"/>
          <w:color w:val="auto"/>
          <w:kern w:val="2"/>
          <w:sz w:val="21"/>
          <w:szCs w:val="21"/>
          <w:highlight w:val="none"/>
        </w:rPr>
        <w:t>5-</w:t>
      </w:r>
      <w:bookmarkStart w:id="38" w:name="_Toc5537"/>
      <w:bookmarkEnd w:id="38"/>
      <w:bookmarkStart w:id="39" w:name="_Toc1150223004"/>
      <w:bookmarkEnd w:id="39"/>
      <w:bookmarkStart w:id="40" w:name="_Toc1399980087"/>
      <w:r>
        <w:rPr>
          <w:rFonts w:hint="default" w:ascii="Cambria" w:hAnsi="Cambria" w:eastAsia="黑体" w:cs="Times New Roman"/>
          <w:color w:val="auto"/>
          <w:kern w:val="2"/>
          <w:sz w:val="21"/>
          <w:szCs w:val="21"/>
          <w:highlight w:val="none"/>
        </w:rPr>
        <w:t>1</w:t>
      </w:r>
      <w:bookmarkEnd w:id="40"/>
      <w:r>
        <w:rPr>
          <w:rFonts w:hint="eastAsia" w:ascii="黑体" w:hAnsi="宋体" w:eastAsia="黑体" w:cs="黑体"/>
          <w:color w:val="auto"/>
          <w:kern w:val="2"/>
          <w:sz w:val="21"/>
          <w:szCs w:val="21"/>
          <w:highlight w:val="none"/>
        </w:rPr>
        <w:t>交付物与交付物质量</w:t>
      </w:r>
    </w:p>
    <w:tbl>
      <w:tblPr>
        <w:tblStyle w:val="10"/>
        <w:tblW w:w="4883" w:type="pct"/>
        <w:tblInd w:w="22"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16"/>
        <w:gridCol w:w="2328"/>
        <w:gridCol w:w="497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序号</w:t>
            </w:r>
          </w:p>
        </w:tc>
        <w:tc>
          <w:tcPr>
            <w:tcW w:w="1398" w:type="pct"/>
            <w:tcBorders>
              <w:top w:val="single" w:color="000000" w:sz="4" w:space="0"/>
              <w:left w:val="nil"/>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实施内容</w:t>
            </w:r>
          </w:p>
        </w:tc>
        <w:tc>
          <w:tcPr>
            <w:tcW w:w="2990" w:type="pct"/>
            <w:tcBorders>
              <w:top w:val="single" w:color="000000" w:sz="4" w:space="0"/>
              <w:left w:val="nil"/>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ind w:left="0" w:firstLine="480"/>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交付物</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outlineLvl w:val="9"/>
              <w:rPr>
                <w:rFonts w:hint="default" w:ascii="Times New Roman" w:hAnsi="Times New Roman" w:eastAsia="宋体" w:cs="Times New Roman"/>
                <w:iCs/>
                <w:color w:val="auto"/>
                <w:kern w:val="2"/>
                <w:sz w:val="21"/>
                <w:szCs w:val="21"/>
                <w:highlight w:val="none"/>
              </w:rPr>
            </w:pPr>
            <w:r>
              <w:rPr>
                <w:rFonts w:hint="default" w:ascii="Times New Roman" w:hAnsi="Times New Roman" w:eastAsia="宋体" w:cs="Times New Roman"/>
                <w:iCs/>
                <w:color w:val="auto"/>
                <w:kern w:val="2"/>
                <w:sz w:val="21"/>
                <w:szCs w:val="21"/>
                <w:highlight w:val="none"/>
              </w:rPr>
              <w:t>1</w:t>
            </w:r>
          </w:p>
        </w:tc>
        <w:tc>
          <w:tcPr>
            <w:tcW w:w="1398" w:type="pct"/>
            <w:tcBorders>
              <w:top w:val="single" w:color="000000" w:sz="4" w:space="0"/>
              <w:left w:val="nil"/>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jc w:val="left"/>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工具平台部署服务</w:t>
            </w:r>
          </w:p>
        </w:tc>
        <w:tc>
          <w:tcPr>
            <w:tcW w:w="2990" w:type="pct"/>
            <w:tcBorders>
              <w:top w:val="single" w:color="000000" w:sz="4" w:space="0"/>
              <w:left w:val="nil"/>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jc w:val="left"/>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支撑软件工具的部署包及部署发布记录表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outlineLvl w:val="9"/>
              <w:rPr>
                <w:rFonts w:hint="default" w:ascii="Times New Roman" w:hAnsi="Times New Roman" w:eastAsia="宋体" w:cs="Times New Roman"/>
                <w:iCs/>
                <w:color w:val="auto"/>
                <w:kern w:val="2"/>
                <w:sz w:val="21"/>
                <w:szCs w:val="21"/>
                <w:highlight w:val="none"/>
              </w:rPr>
            </w:pPr>
            <w:r>
              <w:rPr>
                <w:rFonts w:hint="default" w:ascii="Times New Roman" w:hAnsi="Times New Roman" w:eastAsia="宋体" w:cs="Times New Roman"/>
                <w:iCs/>
                <w:color w:val="auto"/>
                <w:kern w:val="2"/>
                <w:sz w:val="21"/>
                <w:szCs w:val="21"/>
                <w:highlight w:val="none"/>
              </w:rPr>
              <w:t>2</w:t>
            </w:r>
          </w:p>
        </w:tc>
        <w:tc>
          <w:tcPr>
            <w:tcW w:w="1398" w:type="pct"/>
            <w:tcBorders>
              <w:top w:val="single" w:color="000000" w:sz="4" w:space="0"/>
              <w:left w:val="nil"/>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jc w:val="left"/>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数据共享交互服务</w:t>
            </w:r>
          </w:p>
        </w:tc>
        <w:tc>
          <w:tcPr>
            <w:tcW w:w="2990" w:type="pct"/>
            <w:tcBorders>
              <w:top w:val="single" w:color="000000" w:sz="4" w:space="0"/>
              <w:left w:val="nil"/>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jc w:val="left"/>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数据共享交互记录表（每月至少</w:t>
            </w:r>
            <w:r>
              <w:rPr>
                <w:rFonts w:hint="default" w:ascii="Times New Roman" w:hAnsi="Times New Roman" w:eastAsia="宋体" w:cs="Times New Roman"/>
                <w:iCs/>
                <w:color w:val="auto"/>
                <w:kern w:val="2"/>
                <w:sz w:val="21"/>
                <w:szCs w:val="21"/>
                <w:highlight w:val="none"/>
              </w:rPr>
              <w:t>1</w:t>
            </w:r>
            <w:r>
              <w:rPr>
                <w:rFonts w:hint="eastAsia" w:ascii="宋体" w:hAnsi="宋体" w:eastAsia="宋体" w:cs="宋体"/>
                <w:iCs/>
                <w:color w:val="auto"/>
                <w:kern w:val="2"/>
                <w:sz w:val="21"/>
                <w:szCs w:val="21"/>
                <w:highlight w:val="none"/>
              </w:rPr>
              <w:t>次，按需增加）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outlineLvl w:val="9"/>
              <w:rPr>
                <w:rFonts w:hint="default" w:ascii="Times New Roman" w:hAnsi="Times New Roman" w:eastAsia="宋体" w:cs="Times New Roman"/>
                <w:iCs/>
                <w:color w:val="auto"/>
                <w:kern w:val="2"/>
                <w:sz w:val="21"/>
                <w:szCs w:val="21"/>
                <w:highlight w:val="none"/>
              </w:rPr>
            </w:pPr>
            <w:r>
              <w:rPr>
                <w:rFonts w:hint="default" w:ascii="Times New Roman" w:hAnsi="Times New Roman" w:eastAsia="宋体" w:cs="Times New Roman"/>
                <w:iCs/>
                <w:color w:val="auto"/>
                <w:kern w:val="2"/>
                <w:sz w:val="21"/>
                <w:szCs w:val="21"/>
                <w:highlight w:val="none"/>
              </w:rPr>
              <w:t>3</w:t>
            </w:r>
          </w:p>
        </w:tc>
        <w:tc>
          <w:tcPr>
            <w:tcW w:w="1398" w:type="pct"/>
            <w:tcBorders>
              <w:top w:val="single" w:color="000000" w:sz="4" w:space="0"/>
              <w:left w:val="nil"/>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jc w:val="left"/>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数据处理服务</w:t>
            </w:r>
          </w:p>
        </w:tc>
        <w:tc>
          <w:tcPr>
            <w:tcW w:w="2990" w:type="pct"/>
            <w:tcBorders>
              <w:top w:val="single" w:color="000000" w:sz="4" w:space="0"/>
              <w:left w:val="nil"/>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jc w:val="left"/>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数据处理记录表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outlineLvl w:val="9"/>
              <w:rPr>
                <w:rFonts w:hint="default" w:ascii="Times New Roman" w:hAnsi="Times New Roman" w:eastAsia="宋体" w:cs="Times New Roman"/>
                <w:iCs/>
                <w:color w:val="auto"/>
                <w:kern w:val="2"/>
                <w:sz w:val="21"/>
                <w:szCs w:val="21"/>
                <w:highlight w:val="none"/>
              </w:rPr>
            </w:pPr>
            <w:r>
              <w:rPr>
                <w:rFonts w:hint="default" w:ascii="Times New Roman" w:hAnsi="Times New Roman" w:eastAsia="宋体" w:cs="Times New Roman"/>
                <w:iCs/>
                <w:color w:val="auto"/>
                <w:kern w:val="2"/>
                <w:sz w:val="21"/>
                <w:szCs w:val="21"/>
                <w:highlight w:val="none"/>
              </w:rPr>
              <w:t>4</w:t>
            </w:r>
          </w:p>
        </w:tc>
        <w:tc>
          <w:tcPr>
            <w:tcW w:w="1398" w:type="pct"/>
            <w:tcBorders>
              <w:top w:val="single" w:color="000000" w:sz="4" w:space="0"/>
              <w:left w:val="nil"/>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jc w:val="left"/>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日常运营服务</w:t>
            </w:r>
          </w:p>
        </w:tc>
        <w:tc>
          <w:tcPr>
            <w:tcW w:w="2990" w:type="pct"/>
            <w:tcBorders>
              <w:top w:val="single" w:color="000000" w:sz="4" w:space="0"/>
              <w:left w:val="nil"/>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jc w:val="left"/>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运营服务周报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outlineLvl w:val="9"/>
              <w:rPr>
                <w:rFonts w:hint="default" w:ascii="Times New Roman" w:hAnsi="Times New Roman" w:eastAsia="宋体" w:cs="Times New Roman"/>
                <w:iCs/>
                <w:color w:val="auto"/>
                <w:kern w:val="2"/>
                <w:sz w:val="21"/>
                <w:szCs w:val="21"/>
                <w:highlight w:val="none"/>
              </w:rPr>
            </w:pPr>
            <w:r>
              <w:rPr>
                <w:rFonts w:hint="default" w:ascii="Times New Roman" w:hAnsi="Times New Roman" w:eastAsia="宋体" w:cs="Times New Roman"/>
                <w:iCs/>
                <w:color w:val="auto"/>
                <w:kern w:val="2"/>
                <w:sz w:val="21"/>
                <w:szCs w:val="21"/>
                <w:highlight w:val="none"/>
              </w:rPr>
              <w:t>5</w:t>
            </w:r>
          </w:p>
        </w:tc>
        <w:tc>
          <w:tcPr>
            <w:tcW w:w="1398" w:type="pct"/>
            <w:tcBorders>
              <w:top w:val="single" w:color="000000" w:sz="4" w:space="0"/>
              <w:left w:val="nil"/>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jc w:val="left"/>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相关应用升级扩展服务</w:t>
            </w:r>
          </w:p>
        </w:tc>
        <w:tc>
          <w:tcPr>
            <w:tcW w:w="2990" w:type="pct"/>
            <w:tcBorders>
              <w:top w:val="single" w:color="000000" w:sz="4" w:space="0"/>
              <w:left w:val="nil"/>
              <w:bottom w:val="single" w:color="000000" w:sz="4" w:space="0"/>
              <w:right w:val="single" w:color="000000" w:sz="4" w:space="0"/>
            </w:tcBorders>
            <w:shd w:val="clear" w:color="auto" w:fill="FFFFFF"/>
            <w:vAlign w:val="center"/>
          </w:tcPr>
          <w:p>
            <w:pPr>
              <w:pStyle w:val="13"/>
              <w:keepNext w:val="0"/>
              <w:keepLines w:val="0"/>
              <w:widowControl/>
              <w:suppressLineNumbers w:val="0"/>
              <w:spacing w:line="360" w:lineRule="auto"/>
              <w:jc w:val="left"/>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升级记录表</w:t>
            </w:r>
          </w:p>
        </w:tc>
      </w:tr>
    </w:tbl>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 xml:space="preserve"> </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41" w:name="_Toc180513514"/>
      <w:bookmarkEnd w:id="41"/>
      <w:bookmarkStart w:id="42" w:name="_Toc180513513"/>
      <w:bookmarkEnd w:id="42"/>
      <w:r>
        <w:rPr>
          <w:rFonts w:hint="eastAsia" w:ascii="宋体" w:hAnsi="宋体" w:eastAsia="宋体" w:cs="宋体"/>
          <w:b/>
          <w:bCs/>
          <w:color w:val="auto"/>
          <w:kern w:val="2"/>
          <w:sz w:val="21"/>
          <w:szCs w:val="21"/>
          <w:lang w:val="en-US" w:eastAsia="zh-CN" w:bidi="ar-SA"/>
        </w:rPr>
        <w:t>3.3</w:t>
      </w:r>
      <w:r>
        <w:rPr>
          <w:rFonts w:hint="eastAsia" w:ascii="黑体" w:hAnsi="宋体" w:eastAsia="黑体" w:cs="黑体"/>
          <w:b/>
          <w:bCs/>
          <w:color w:val="auto"/>
          <w:sz w:val="21"/>
          <w:szCs w:val="21"/>
          <w:highlight w:val="none"/>
        </w:rPr>
        <w:t>培训服务</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43" w:name="_Toc180513515"/>
      <w:bookmarkEnd w:id="43"/>
      <w:r>
        <w:rPr>
          <w:rFonts w:hint="eastAsia" w:ascii="宋体" w:hAnsi="宋体" w:eastAsia="宋体" w:cs="宋体"/>
          <w:b/>
          <w:bCs/>
          <w:color w:val="auto"/>
          <w:kern w:val="2"/>
          <w:sz w:val="21"/>
          <w:szCs w:val="21"/>
          <w:lang w:val="en-US" w:eastAsia="zh-CN" w:bidi="ar-SA"/>
        </w:rPr>
        <w:t>3.3.1</w:t>
      </w:r>
      <w:r>
        <w:rPr>
          <w:rFonts w:hint="eastAsia" w:ascii="黑体" w:hAnsi="宋体" w:eastAsia="黑体" w:cs="黑体"/>
          <w:b/>
          <w:bCs/>
          <w:color w:val="auto"/>
          <w:sz w:val="21"/>
          <w:szCs w:val="21"/>
          <w:highlight w:val="none"/>
        </w:rPr>
        <w:t>服务目标</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本项目所提供的相关培训服务目标如下：</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使参训人员全面了解和掌握省内跨统筹区职工基本医疗保险个人账户家庭共济的政策背景、目的意义、操作流程及注意事项。</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提高参训人员在实际工作中应用家庭共济政策的能力和效率，确保政策得到有效执行。</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增强经办人员对家庭共济相关平台工具的认知度和满意度，保证医保经办工作顺利开展。</w:t>
      </w:r>
    </w:p>
    <w:p>
      <w:pPr>
        <w:widowControl/>
        <w:numPr>
          <w:ilvl w:val="2"/>
          <w:numId w:val="0"/>
        </w:numPr>
        <w:spacing w:line="360" w:lineRule="auto"/>
        <w:ind w:left="3686"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44" w:name="_Toc180513516"/>
      <w:bookmarkEnd w:id="44"/>
      <w:r>
        <w:rPr>
          <w:rFonts w:hint="eastAsia" w:ascii="宋体" w:hAnsi="宋体" w:eastAsia="宋体" w:cs="宋体"/>
          <w:b/>
          <w:bCs/>
          <w:color w:val="auto"/>
          <w:kern w:val="2"/>
          <w:sz w:val="21"/>
          <w:szCs w:val="21"/>
          <w:lang w:val="en-US" w:eastAsia="zh-CN" w:bidi="ar-SA"/>
        </w:rPr>
        <w:t>3.3.2</w:t>
      </w:r>
      <w:r>
        <w:rPr>
          <w:rFonts w:hint="eastAsia" w:ascii="黑体" w:hAnsi="宋体" w:eastAsia="黑体" w:cs="黑体"/>
          <w:b/>
          <w:bCs/>
          <w:color w:val="auto"/>
          <w:sz w:val="21"/>
          <w:szCs w:val="21"/>
          <w:highlight w:val="none"/>
        </w:rPr>
        <w:t>服务内容</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针对异地账户共济管理平台和异地账户共济交互平台应用，提供满足省医保局要求的师资、资料等条件，并制定相应的培训方案和计划。</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培训时间：由省医保局指定。</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培训频次：全省培训不少于</w:t>
      </w: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培训方式：线上云会议（集中培训）。</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培训人数：每次不少于</w:t>
      </w:r>
      <w:r>
        <w:rPr>
          <w:rFonts w:hint="default" w:ascii="Times New Roman" w:hAnsi="Times New Roman" w:eastAsia="宋体" w:cs="Times New Roman"/>
          <w:color w:val="auto"/>
          <w:kern w:val="0"/>
          <w:sz w:val="21"/>
          <w:szCs w:val="21"/>
          <w:highlight w:val="none"/>
          <w:lang w:val="en-US" w:eastAsia="zh-CN" w:bidi="ar"/>
        </w:rPr>
        <w:t>100</w:t>
      </w:r>
      <w:r>
        <w:rPr>
          <w:rFonts w:hint="eastAsia" w:ascii="宋体" w:hAnsi="宋体" w:eastAsia="宋体" w:cs="宋体"/>
          <w:color w:val="auto"/>
          <w:kern w:val="0"/>
          <w:sz w:val="21"/>
          <w:szCs w:val="21"/>
          <w:highlight w:val="none"/>
          <w:lang w:val="en-US" w:eastAsia="zh-CN" w:bidi="ar"/>
        </w:rPr>
        <w:t>人。</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3.3.2.1</w:t>
      </w:r>
      <w:r>
        <w:rPr>
          <w:rFonts w:hint="eastAsia" w:ascii="宋体" w:hAnsi="宋体" w:eastAsia="宋体" w:cs="宋体"/>
          <w:b/>
          <w:bCs/>
          <w:color w:val="auto"/>
          <w:sz w:val="21"/>
          <w:szCs w:val="21"/>
          <w:highlight w:val="none"/>
        </w:rPr>
        <w:t>对应用部门各级系统应用人员的培训</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使应用部门各级系统应用人员能够了解信息系统的建设思想、主要功能和操作规程，能够熟练应用这一系统辅助开展工作，并能结合实际工作需要提出各种改进意见。根据人员对系统的使用特点不同，对应用人员的培训分为两个层次：</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w:t>
      </w: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）对领导培训的主要目的是使有关主管领导对系统有一定的了解，便于领导进行决策和指挥工作；</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w:t>
      </w: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）对其他应用人员的培训，主要使他们在各业务环境下能够很好地利用系统完成相应的专业工作，提高工作效率，提高信息的准确性和全面性。</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3.3.2.2</w:t>
      </w:r>
      <w:r>
        <w:rPr>
          <w:rFonts w:hint="eastAsia" w:ascii="宋体" w:hAnsi="宋体" w:eastAsia="宋体" w:cs="宋体"/>
          <w:b/>
          <w:bCs/>
          <w:color w:val="auto"/>
          <w:sz w:val="21"/>
          <w:szCs w:val="21"/>
          <w:highlight w:val="none"/>
        </w:rPr>
        <w:t>关联协作系统技术人员培训</w:t>
      </w:r>
    </w:p>
    <w:p>
      <w:pPr>
        <w:keepNext w:val="0"/>
        <w:keepLines w:val="0"/>
        <w:widowControl/>
        <w:suppressLineNumbers w:val="0"/>
        <w:spacing w:before="156" w:beforeAutospacing="0" w:after="156"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对于省内跨统筹区个人账户共济业务相关联的应用系统开发商、服务商进行接口培训，通过培训掌握接口服务调用方法，能够完成关联系统接口升级，以及与省内跨统筹区职工基本医疗保险个人账户家庭共济平台应用的对接联调。</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45" w:name="_Toc180513517"/>
      <w:bookmarkEnd w:id="45"/>
      <w:r>
        <w:rPr>
          <w:rFonts w:hint="eastAsia" w:ascii="宋体" w:hAnsi="宋体" w:eastAsia="宋体" w:cs="宋体"/>
          <w:b/>
          <w:bCs/>
          <w:color w:val="auto"/>
          <w:kern w:val="2"/>
          <w:sz w:val="21"/>
          <w:szCs w:val="21"/>
          <w:lang w:val="en-US" w:eastAsia="zh-CN" w:bidi="ar-SA"/>
        </w:rPr>
        <w:t>3.3.3</w:t>
      </w:r>
      <w:r>
        <w:rPr>
          <w:rFonts w:hint="eastAsia" w:ascii="黑体" w:hAnsi="宋体" w:eastAsia="黑体" w:cs="黑体"/>
          <w:b/>
          <w:bCs/>
          <w:color w:val="auto"/>
          <w:sz w:val="21"/>
          <w:szCs w:val="21"/>
          <w:highlight w:val="none"/>
        </w:rPr>
        <w:t>服务范围</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服务范围：陕西省省级及各医保统筹区的医保部门、经办中心的相关管理人员、技术人员。</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46" w:name="_Toc180513518"/>
      <w:bookmarkEnd w:id="46"/>
      <w:r>
        <w:rPr>
          <w:rFonts w:hint="eastAsia" w:ascii="宋体" w:hAnsi="宋体" w:eastAsia="宋体" w:cs="宋体"/>
          <w:b/>
          <w:bCs/>
          <w:color w:val="auto"/>
          <w:kern w:val="2"/>
          <w:sz w:val="21"/>
          <w:szCs w:val="21"/>
          <w:lang w:val="en-US" w:eastAsia="zh-CN" w:bidi="ar-SA"/>
        </w:rPr>
        <w:t>3.3.4</w:t>
      </w:r>
      <w:r>
        <w:rPr>
          <w:rFonts w:hint="eastAsia" w:ascii="黑体" w:hAnsi="宋体" w:eastAsia="黑体" w:cs="黑体"/>
          <w:b/>
          <w:bCs/>
          <w:color w:val="auto"/>
          <w:sz w:val="21"/>
          <w:szCs w:val="21"/>
          <w:highlight w:val="none"/>
        </w:rPr>
        <w:t>服务要求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通过培训服务，让参训人员掌握省内统筹区职工基本医疗账户共济相关系统功能和操作流程，可通过线上或线下培训的方式，配合实操指导完成。</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47" w:name="_Toc180513519"/>
      <w:bookmarkEnd w:id="47"/>
      <w:r>
        <w:rPr>
          <w:rFonts w:hint="eastAsia" w:ascii="宋体" w:hAnsi="宋体" w:eastAsia="宋体" w:cs="宋体"/>
          <w:b/>
          <w:bCs/>
          <w:color w:val="auto"/>
          <w:kern w:val="2"/>
          <w:sz w:val="21"/>
          <w:szCs w:val="21"/>
          <w:lang w:val="en-US" w:eastAsia="zh-CN" w:bidi="ar-SA"/>
        </w:rPr>
        <w:t>3.3.5</w:t>
      </w:r>
      <w:r>
        <w:rPr>
          <w:rFonts w:hint="eastAsia" w:ascii="黑体" w:hAnsi="宋体" w:eastAsia="黑体" w:cs="黑体"/>
          <w:b/>
          <w:bCs/>
          <w:color w:val="auto"/>
          <w:sz w:val="21"/>
          <w:szCs w:val="21"/>
          <w:highlight w:val="none"/>
        </w:rPr>
        <w:t>服务流程</w:t>
      </w:r>
    </w:p>
    <w:p>
      <w:pPr>
        <w:keepNext w:val="0"/>
        <w:keepLines w:val="0"/>
        <w:widowControl/>
        <w:suppressLineNumbers w:val="0"/>
        <w:spacing w:before="156" w:beforeAutospacing="0" w:after="156" w:afterAutospacing="0" w:line="360" w:lineRule="auto"/>
        <w:ind w:left="480" w:right="0" w:firstLine="0" w:firstLineChars="0"/>
        <w:jc w:val="both"/>
        <w:outlineLvl w:val="9"/>
        <w:rPr>
          <w:rFonts w:hint="default" w:ascii="Times New Roman" w:hAnsi="Times New Roman" w:eastAsia="宋体" w:cs="Times New Roman"/>
          <w:b/>
          <w:bCs/>
          <w:color w:val="auto"/>
          <w:kern w:val="2"/>
          <w:sz w:val="21"/>
          <w:szCs w:val="21"/>
          <w:highlight w:val="none"/>
        </w:rPr>
      </w:pPr>
      <w:r>
        <w:rPr>
          <w:rFonts w:hint="default" w:ascii="Times New Roman" w:hAnsi="Times New Roman" w:eastAsia="宋体" w:cs="Times New Roman"/>
          <w:b/>
          <w:bCs/>
          <w:color w:val="auto"/>
          <w:kern w:val="2"/>
          <w:sz w:val="21"/>
          <w:szCs w:val="21"/>
          <w:highlight w:val="none"/>
          <w:lang w:val="en-US" w:eastAsia="zh-CN" w:bidi="ar"/>
        </w:rPr>
        <w:t>1.</w:t>
      </w:r>
      <w:r>
        <w:rPr>
          <w:rFonts w:hint="eastAsia" w:ascii="宋体" w:hAnsi="宋体" w:eastAsia="宋体" w:cs="宋体"/>
          <w:b/>
          <w:bCs/>
          <w:color w:val="auto"/>
          <w:kern w:val="2"/>
          <w:sz w:val="21"/>
          <w:szCs w:val="21"/>
          <w:highlight w:val="none"/>
          <w:lang w:val="en-US" w:eastAsia="zh-CN" w:bidi="ar"/>
        </w:rPr>
        <w:t>政策解读</w:t>
      </w:r>
    </w:p>
    <w:p>
      <w:pPr>
        <w:keepNext w:val="0"/>
        <w:keepLines w:val="0"/>
        <w:widowControl/>
        <w:suppressLineNumbers w:val="0"/>
        <w:spacing w:before="156" w:beforeAutospacing="0" w:after="156"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详细介绍陕西省省内跨统筹区职工基本医疗保险个人账户家庭共济的政策背景、出台依据、主要内容和意义。</w:t>
      </w:r>
    </w:p>
    <w:p>
      <w:pPr>
        <w:keepNext w:val="0"/>
        <w:keepLines w:val="0"/>
        <w:widowControl/>
        <w:suppressLineNumbers w:val="0"/>
        <w:spacing w:before="156" w:beforeAutospacing="0" w:after="156"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分析政策对参保职工及其家庭的积极影响，提高参训人员对政策重要性的认识。</w:t>
      </w:r>
    </w:p>
    <w:p>
      <w:pPr>
        <w:keepNext w:val="0"/>
        <w:keepLines w:val="0"/>
        <w:widowControl/>
        <w:suppressLineNumbers w:val="0"/>
        <w:spacing w:before="156" w:beforeAutospacing="0" w:after="156" w:afterAutospacing="0" w:line="360" w:lineRule="auto"/>
        <w:ind w:left="480" w:right="0" w:firstLine="0" w:firstLineChars="0"/>
        <w:jc w:val="both"/>
        <w:outlineLvl w:val="9"/>
        <w:rPr>
          <w:rFonts w:hint="default" w:ascii="Times New Roman" w:hAnsi="Times New Roman" w:eastAsia="宋体" w:cs="Times New Roman"/>
          <w:b/>
          <w:bCs/>
          <w:color w:val="auto"/>
          <w:kern w:val="2"/>
          <w:sz w:val="21"/>
          <w:szCs w:val="21"/>
          <w:highlight w:val="none"/>
        </w:rPr>
      </w:pPr>
      <w:r>
        <w:rPr>
          <w:rFonts w:hint="default" w:ascii="Times New Roman" w:hAnsi="Times New Roman" w:eastAsia="宋体" w:cs="Times New Roman"/>
          <w:b/>
          <w:bCs/>
          <w:color w:val="auto"/>
          <w:kern w:val="2"/>
          <w:sz w:val="21"/>
          <w:szCs w:val="21"/>
          <w:highlight w:val="none"/>
          <w:lang w:val="en-US" w:eastAsia="zh-CN" w:bidi="ar"/>
        </w:rPr>
        <w:t>2.</w:t>
      </w:r>
      <w:r>
        <w:rPr>
          <w:rFonts w:hint="eastAsia" w:ascii="宋体" w:hAnsi="宋体" w:eastAsia="宋体" w:cs="宋体"/>
          <w:b/>
          <w:bCs/>
          <w:color w:val="auto"/>
          <w:kern w:val="2"/>
          <w:sz w:val="21"/>
          <w:szCs w:val="21"/>
          <w:highlight w:val="none"/>
          <w:lang w:val="en-US" w:eastAsia="zh-CN" w:bidi="ar"/>
        </w:rPr>
        <w:t>操作流程与指南</w:t>
      </w:r>
    </w:p>
    <w:p>
      <w:pPr>
        <w:keepNext w:val="0"/>
        <w:keepLines w:val="0"/>
        <w:widowControl/>
        <w:suppressLineNumbers w:val="0"/>
        <w:spacing w:before="156" w:beforeAutospacing="0" w:after="156"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讲解账户共济服务的具体操作流程，包含账户共济核心系统、异地账户共济清算系统、异地账户共济财务系统等。</w:t>
      </w:r>
    </w:p>
    <w:p>
      <w:pPr>
        <w:keepNext w:val="0"/>
        <w:keepLines w:val="0"/>
        <w:widowControl/>
        <w:suppressLineNumbers w:val="0"/>
        <w:spacing w:before="156" w:beforeAutospacing="0" w:after="156"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提供详细的操作手册和案例分析，帮助参训人员快速掌握实际操作技能。</w:t>
      </w:r>
    </w:p>
    <w:p>
      <w:pPr>
        <w:keepNext w:val="0"/>
        <w:keepLines w:val="0"/>
        <w:widowControl/>
        <w:suppressLineNumbers w:val="0"/>
        <w:spacing w:before="156" w:beforeAutospacing="0" w:after="156" w:afterAutospacing="0" w:line="360" w:lineRule="auto"/>
        <w:ind w:left="480" w:right="0" w:firstLine="0" w:firstLineChars="0"/>
        <w:jc w:val="both"/>
        <w:outlineLvl w:val="9"/>
        <w:rPr>
          <w:rFonts w:hint="default" w:ascii="Times New Roman" w:hAnsi="Times New Roman" w:eastAsia="宋体" w:cs="Times New Roman"/>
          <w:b/>
          <w:bCs/>
          <w:color w:val="auto"/>
          <w:kern w:val="2"/>
          <w:sz w:val="21"/>
          <w:szCs w:val="21"/>
          <w:highlight w:val="none"/>
        </w:rPr>
      </w:pPr>
      <w:r>
        <w:rPr>
          <w:rFonts w:hint="default" w:ascii="Times New Roman" w:hAnsi="Times New Roman" w:eastAsia="宋体" w:cs="Times New Roman"/>
          <w:b/>
          <w:bCs/>
          <w:color w:val="auto"/>
          <w:kern w:val="2"/>
          <w:sz w:val="21"/>
          <w:szCs w:val="21"/>
          <w:highlight w:val="none"/>
          <w:lang w:val="en-US" w:eastAsia="zh-CN" w:bidi="ar"/>
        </w:rPr>
        <w:t>3.</w:t>
      </w:r>
      <w:r>
        <w:rPr>
          <w:rFonts w:hint="eastAsia" w:ascii="宋体" w:hAnsi="宋体" w:eastAsia="宋体" w:cs="宋体"/>
          <w:b/>
          <w:bCs/>
          <w:color w:val="auto"/>
          <w:kern w:val="2"/>
          <w:sz w:val="21"/>
          <w:szCs w:val="21"/>
          <w:highlight w:val="none"/>
          <w:lang w:val="en-US" w:eastAsia="zh-CN" w:bidi="ar"/>
        </w:rPr>
        <w:t>问题解答与疑难点剖析</w:t>
      </w:r>
    </w:p>
    <w:p>
      <w:pPr>
        <w:keepNext w:val="0"/>
        <w:keepLines w:val="0"/>
        <w:widowControl/>
        <w:suppressLineNumbers w:val="0"/>
        <w:spacing w:before="156" w:beforeAutospacing="0" w:after="156"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针对参训人员提出的问题，进行逐一解答和剖析，确保参训人员疑惑得到及时解决。</w:t>
      </w:r>
    </w:p>
    <w:p>
      <w:pPr>
        <w:keepNext w:val="0"/>
        <w:keepLines w:val="0"/>
        <w:widowControl/>
        <w:suppressLineNumbers w:val="0"/>
        <w:spacing w:before="156" w:beforeAutospacing="0" w:after="156" w:afterAutospacing="0" w:line="360" w:lineRule="auto"/>
        <w:ind w:left="480" w:right="0" w:firstLine="0" w:firstLineChars="0"/>
        <w:jc w:val="both"/>
        <w:outlineLvl w:val="9"/>
        <w:rPr>
          <w:rFonts w:hint="default" w:ascii="Times New Roman" w:hAnsi="Times New Roman" w:eastAsia="宋体" w:cs="Times New Roman"/>
          <w:color w:val="auto"/>
          <w:kern w:val="2"/>
          <w:sz w:val="21"/>
          <w:szCs w:val="21"/>
          <w:highlight w:val="none"/>
        </w:rPr>
      </w:pPr>
      <w:r>
        <w:rPr>
          <w:rFonts w:hint="default" w:ascii="Times New Roman" w:hAnsi="Times New Roman" w:eastAsia="宋体" w:cs="Times New Roman"/>
          <w:b/>
          <w:bCs/>
          <w:color w:val="auto"/>
          <w:kern w:val="2"/>
          <w:sz w:val="21"/>
          <w:szCs w:val="21"/>
          <w:highlight w:val="none"/>
          <w:lang w:val="en-US" w:eastAsia="zh-CN" w:bidi="ar"/>
        </w:rPr>
        <w:t>4.</w:t>
      </w:r>
      <w:r>
        <w:rPr>
          <w:rFonts w:hint="eastAsia" w:ascii="宋体" w:hAnsi="宋体" w:eastAsia="宋体" w:cs="宋体"/>
          <w:b/>
          <w:bCs/>
          <w:color w:val="auto"/>
          <w:kern w:val="2"/>
          <w:sz w:val="21"/>
          <w:szCs w:val="21"/>
          <w:highlight w:val="none"/>
          <w:lang w:val="en-US" w:eastAsia="zh-CN" w:bidi="ar"/>
        </w:rPr>
        <w:t>实操演练与模拟操作</w:t>
      </w:r>
    </w:p>
    <w:p>
      <w:pPr>
        <w:keepNext w:val="0"/>
        <w:keepLines w:val="0"/>
        <w:widowControl/>
        <w:suppressLineNumbers w:val="0"/>
        <w:spacing w:before="156" w:beforeAutospacing="0" w:after="156"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组织参训人员进行实操演练，模拟家庭共济服务的各个环节，加深理解和记忆。</w:t>
      </w:r>
    </w:p>
    <w:p>
      <w:pPr>
        <w:keepNext w:val="0"/>
        <w:keepLines w:val="0"/>
        <w:widowControl/>
        <w:suppressLineNumbers w:val="0"/>
        <w:spacing w:before="156" w:beforeAutospacing="0" w:after="156"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鼓励参训人员积极参与，提高实际操作能力和应对突发情况的能力。</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48" w:name="_Toc180513520"/>
      <w:bookmarkEnd w:id="48"/>
      <w:r>
        <w:rPr>
          <w:rFonts w:hint="eastAsia" w:ascii="宋体" w:hAnsi="宋体" w:eastAsia="宋体" w:cs="宋体"/>
          <w:b/>
          <w:bCs/>
          <w:color w:val="auto"/>
          <w:kern w:val="2"/>
          <w:sz w:val="21"/>
          <w:szCs w:val="21"/>
          <w:lang w:val="en-US" w:eastAsia="zh-CN" w:bidi="ar-SA"/>
        </w:rPr>
        <w:t>3.3.6</w:t>
      </w:r>
      <w:r>
        <w:rPr>
          <w:rFonts w:hint="eastAsia" w:ascii="黑体" w:hAnsi="宋体" w:eastAsia="黑体" w:cs="黑体"/>
          <w:b/>
          <w:bCs/>
          <w:color w:val="auto"/>
          <w:sz w:val="21"/>
          <w:szCs w:val="21"/>
          <w:highlight w:val="none"/>
        </w:rPr>
        <w:t>交付物与交付物质量</w:t>
      </w:r>
    </w:p>
    <w:p>
      <w:pPr>
        <w:pStyle w:val="9"/>
        <w:widowControl/>
        <w:spacing w:line="360" w:lineRule="auto"/>
        <w:outlineLvl w:val="9"/>
        <w:rPr>
          <w:rFonts w:hint="default" w:ascii="Cambria" w:hAnsi="Cambria" w:eastAsia="黑体" w:cs="Times New Roman"/>
          <w:color w:val="auto"/>
          <w:kern w:val="2"/>
          <w:sz w:val="21"/>
          <w:szCs w:val="21"/>
          <w:highlight w:val="none"/>
        </w:rPr>
      </w:pPr>
      <w:r>
        <w:rPr>
          <w:rFonts w:hint="eastAsia" w:ascii="黑体" w:hAnsi="宋体" w:eastAsia="黑体" w:cs="黑体"/>
          <w:color w:val="auto"/>
          <w:kern w:val="2"/>
          <w:sz w:val="21"/>
          <w:szCs w:val="21"/>
          <w:highlight w:val="none"/>
        </w:rPr>
        <w:t>表</w:t>
      </w:r>
      <w:r>
        <w:rPr>
          <w:rFonts w:hint="default" w:ascii="Cambria" w:hAnsi="Cambria" w:eastAsia="黑体" w:cs="Times New Roman"/>
          <w:color w:val="auto"/>
          <w:kern w:val="2"/>
          <w:sz w:val="21"/>
          <w:szCs w:val="21"/>
          <w:highlight w:val="none"/>
        </w:rPr>
        <w:t>5-5</w:t>
      </w:r>
      <w:r>
        <w:rPr>
          <w:rFonts w:hint="eastAsia" w:ascii="黑体" w:hAnsi="宋体" w:eastAsia="黑体" w:cs="黑体"/>
          <w:color w:val="auto"/>
          <w:kern w:val="2"/>
          <w:sz w:val="21"/>
          <w:szCs w:val="21"/>
          <w:highlight w:val="none"/>
        </w:rPr>
        <w:t>交付物与交付物质量</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 xml:space="preserve"> </w:t>
      </w:r>
    </w:p>
    <w:tbl>
      <w:tblPr>
        <w:tblStyle w:val="10"/>
        <w:tblW w:w="72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3159"/>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31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3"/>
              <w:keepNext w:val="0"/>
              <w:keepLines w:val="0"/>
              <w:widowControl/>
              <w:suppressLineNumbers w:val="0"/>
              <w:spacing w:line="360" w:lineRule="auto"/>
              <w:ind w:left="0" w:firstLine="482"/>
              <w:outlineLvl w:val="9"/>
              <w:rPr>
                <w:rFonts w:hint="default" w:ascii="Times New Roman" w:hAnsi="Times New Roman" w:eastAsia="宋体" w:cs="Times New Roman"/>
                <w:b/>
                <w:bCs w:val="0"/>
                <w:iCs/>
                <w:color w:val="auto"/>
                <w:kern w:val="2"/>
                <w:sz w:val="21"/>
                <w:szCs w:val="21"/>
                <w:highlight w:val="none"/>
              </w:rPr>
            </w:pPr>
            <w:r>
              <w:rPr>
                <w:rFonts w:hint="eastAsia" w:ascii="宋体" w:hAnsi="宋体" w:eastAsia="宋体" w:cs="宋体"/>
                <w:b/>
                <w:bCs w:val="0"/>
                <w:iCs/>
                <w:color w:val="auto"/>
                <w:kern w:val="2"/>
                <w:sz w:val="21"/>
                <w:szCs w:val="21"/>
                <w:highlight w:val="none"/>
              </w:rPr>
              <w:t>交付物</w:t>
            </w:r>
          </w:p>
        </w:tc>
        <w:tc>
          <w:tcPr>
            <w:tcW w:w="4140"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3"/>
              <w:keepNext w:val="0"/>
              <w:keepLines w:val="0"/>
              <w:widowControl/>
              <w:suppressLineNumbers w:val="0"/>
              <w:spacing w:line="360" w:lineRule="auto"/>
              <w:ind w:left="0" w:firstLine="482"/>
              <w:outlineLvl w:val="9"/>
              <w:rPr>
                <w:rFonts w:hint="default" w:ascii="Times New Roman" w:hAnsi="Times New Roman" w:eastAsia="宋体" w:cs="Times New Roman"/>
                <w:b/>
                <w:bCs w:val="0"/>
                <w:iCs/>
                <w:color w:val="auto"/>
                <w:kern w:val="2"/>
                <w:sz w:val="21"/>
                <w:szCs w:val="21"/>
                <w:highlight w:val="none"/>
              </w:rPr>
            </w:pPr>
            <w:r>
              <w:rPr>
                <w:rFonts w:hint="eastAsia" w:ascii="宋体" w:hAnsi="宋体" w:eastAsia="宋体" w:cs="宋体"/>
                <w:b/>
                <w:bCs w:val="0"/>
                <w:iCs/>
                <w:color w:val="auto"/>
                <w:kern w:val="2"/>
                <w:sz w:val="21"/>
                <w:szCs w:val="21"/>
                <w:highlight w:val="none"/>
              </w:rPr>
              <w:t>交付物标准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4" w:hRule="atLeast"/>
          <w:jc w:val="center"/>
        </w:trPr>
        <w:tc>
          <w:tcPr>
            <w:tcW w:w="315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3"/>
              <w:keepNext w:val="0"/>
              <w:keepLines w:val="0"/>
              <w:widowControl/>
              <w:suppressLineNumbers w:val="0"/>
              <w:spacing w:line="360" w:lineRule="auto"/>
              <w:jc w:val="both"/>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bCs/>
                <w:iCs/>
                <w:color w:val="auto"/>
                <w:kern w:val="0"/>
                <w:sz w:val="21"/>
                <w:szCs w:val="21"/>
                <w:highlight w:val="none"/>
              </w:rPr>
              <w:t>《系统培训服务方案》、《培训记录表》、培训资料：《陕西省省内跨统筹区账户共济操作手册》</w:t>
            </w:r>
          </w:p>
        </w:tc>
        <w:tc>
          <w:tcPr>
            <w:tcW w:w="4140"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3"/>
              <w:keepNext w:val="0"/>
              <w:keepLines w:val="0"/>
              <w:widowControl/>
              <w:suppressLineNumbers w:val="0"/>
              <w:spacing w:line="360" w:lineRule="auto"/>
              <w:jc w:val="both"/>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培训服务方案详实，落地性好。培训内容完整全面，培训课件内容准确、逻辑清晰、图文并茂。</w:t>
            </w:r>
          </w:p>
        </w:tc>
      </w:tr>
    </w:tbl>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49" w:name="_Toc180513521"/>
      <w:bookmarkEnd w:id="49"/>
      <w:bookmarkStart w:id="50" w:name="_Toc180513522"/>
      <w:bookmarkEnd w:id="50"/>
      <w:r>
        <w:rPr>
          <w:rFonts w:hint="eastAsia" w:ascii="宋体" w:hAnsi="宋体" w:eastAsia="宋体" w:cs="宋体"/>
          <w:b/>
          <w:bCs/>
          <w:color w:val="auto"/>
          <w:kern w:val="2"/>
          <w:sz w:val="21"/>
          <w:szCs w:val="21"/>
          <w:lang w:val="en-US" w:eastAsia="zh-CN" w:bidi="ar-SA"/>
        </w:rPr>
        <w:t>3.4</w:t>
      </w:r>
      <w:r>
        <w:rPr>
          <w:rFonts w:hint="eastAsia" w:ascii="黑体" w:hAnsi="宋体" w:eastAsia="黑体" w:cs="黑体"/>
          <w:b/>
          <w:bCs/>
          <w:color w:val="auto"/>
          <w:sz w:val="21"/>
          <w:szCs w:val="21"/>
          <w:highlight w:val="none"/>
        </w:rPr>
        <w:t>信息咨询服务</w:t>
      </w:r>
    </w:p>
    <w:p>
      <w:pPr>
        <w:widowControl/>
        <w:numPr>
          <w:ilvl w:val="2"/>
          <w:numId w:val="0"/>
        </w:numPr>
        <w:spacing w:before="156" w:beforeAutospacing="0" w:after="156"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51" w:name="_Toc180513523"/>
      <w:bookmarkEnd w:id="51"/>
      <w:r>
        <w:rPr>
          <w:rFonts w:hint="eastAsia" w:ascii="宋体" w:hAnsi="宋体" w:eastAsia="宋体" w:cs="宋体"/>
          <w:b/>
          <w:bCs/>
          <w:color w:val="auto"/>
          <w:kern w:val="2"/>
          <w:sz w:val="21"/>
          <w:szCs w:val="21"/>
          <w:lang w:val="en-US" w:eastAsia="zh-CN" w:bidi="ar-SA"/>
        </w:rPr>
        <w:t>3.4.1</w:t>
      </w:r>
      <w:r>
        <w:rPr>
          <w:rFonts w:hint="eastAsia" w:ascii="黑体" w:hAnsi="宋体" w:eastAsia="黑体" w:cs="黑体"/>
          <w:b/>
          <w:bCs/>
          <w:color w:val="auto"/>
          <w:sz w:val="21"/>
          <w:szCs w:val="21"/>
          <w:highlight w:val="none"/>
        </w:rPr>
        <w:t>服务内容</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3.4.1.1</w:t>
      </w:r>
      <w:r>
        <w:rPr>
          <w:rFonts w:hint="eastAsia" w:ascii="宋体" w:hAnsi="宋体" w:eastAsia="宋体" w:cs="宋体"/>
          <w:b/>
          <w:bCs/>
          <w:color w:val="auto"/>
          <w:sz w:val="21"/>
          <w:szCs w:val="21"/>
          <w:highlight w:val="none"/>
        </w:rPr>
        <w:t>政策咨询</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kern w:val="2"/>
          <w:sz w:val="21"/>
          <w:szCs w:val="21"/>
          <w:highlight w:val="none"/>
        </w:rPr>
      </w:pPr>
      <w:r>
        <w:rPr>
          <w:rFonts w:hint="eastAsia" w:ascii="宋体" w:hAnsi="宋体" w:eastAsia="宋体" w:cs="宋体"/>
          <w:color w:val="auto"/>
          <w:kern w:val="0"/>
          <w:sz w:val="21"/>
          <w:szCs w:val="21"/>
          <w:highlight w:val="none"/>
          <w:lang w:val="en-US" w:eastAsia="zh-CN" w:bidi="ar"/>
        </w:rPr>
        <w:t>解答关于省内跨统筹区职工医保个人账户家庭共济政策的疑问，包括政策背景、实施目的、适用范围操作流程等</w:t>
      </w:r>
      <w:r>
        <w:rPr>
          <w:rFonts w:hint="eastAsia" w:ascii="宋体" w:hAnsi="宋体" w:eastAsia="宋体" w:cs="宋体"/>
          <w:color w:val="auto"/>
          <w:kern w:val="2"/>
          <w:sz w:val="21"/>
          <w:szCs w:val="21"/>
          <w:highlight w:val="none"/>
          <w:lang w:val="en-US" w:eastAsia="zh-CN" w:bidi="ar"/>
        </w:rPr>
        <w:t>。</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3.4.1.2</w:t>
      </w:r>
      <w:r>
        <w:rPr>
          <w:rFonts w:hint="eastAsia" w:ascii="宋体" w:hAnsi="宋体" w:eastAsia="宋体" w:cs="宋体"/>
          <w:b/>
          <w:bCs/>
          <w:color w:val="auto"/>
          <w:sz w:val="21"/>
          <w:szCs w:val="21"/>
          <w:highlight w:val="none"/>
        </w:rPr>
        <w:t>操作流程指导</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提供详细的操作步骤指导，包括账户共济授权备案、账户共济支出顺序调整、账户共济数据接入、账户共济清算等操作</w:t>
      </w:r>
      <w:r>
        <w:rPr>
          <w:rFonts w:hint="eastAsia" w:ascii="宋体" w:hAnsi="宋体" w:eastAsia="宋体" w:cs="宋体"/>
          <w:color w:val="auto"/>
          <w:kern w:val="2"/>
          <w:sz w:val="21"/>
          <w:szCs w:val="21"/>
          <w:highlight w:val="none"/>
          <w:lang w:val="en-US" w:eastAsia="zh-CN" w:bidi="ar"/>
        </w:rPr>
        <w:t>。</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3.4.1.3</w:t>
      </w:r>
      <w:r>
        <w:rPr>
          <w:rFonts w:hint="eastAsia" w:ascii="宋体" w:hAnsi="宋体" w:eastAsia="宋体" w:cs="宋体"/>
          <w:b/>
          <w:bCs/>
          <w:color w:val="auto"/>
          <w:sz w:val="21"/>
          <w:szCs w:val="21"/>
          <w:highlight w:val="none"/>
        </w:rPr>
        <w:t>技术支持</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针对使用过程中遇到的技术问题，提供及时的技术支持和解决方案</w:t>
      </w:r>
      <w:r>
        <w:rPr>
          <w:rFonts w:hint="eastAsia" w:ascii="宋体" w:hAnsi="宋体" w:eastAsia="宋体" w:cs="宋体"/>
          <w:color w:val="auto"/>
          <w:kern w:val="2"/>
          <w:sz w:val="21"/>
          <w:szCs w:val="21"/>
          <w:highlight w:val="none"/>
          <w:lang w:val="en-US" w:eastAsia="zh-CN" w:bidi="ar"/>
        </w:rPr>
        <w:t>。</w:t>
      </w:r>
    </w:p>
    <w:p>
      <w:pPr>
        <w:widowControl/>
        <w:numPr>
          <w:ilvl w:val="3"/>
          <w:numId w:val="0"/>
        </w:numPr>
        <w:spacing w:line="360" w:lineRule="auto"/>
        <w:ind w:left="0" w:leftChars="0" w:right="0" w:rightChars="0" w:firstLine="0" w:firstLineChars="0"/>
        <w:outlineLvl w:val="9"/>
        <w:rPr>
          <w:rFonts w:hint="default" w:ascii="Times New Roman" w:hAnsi="Times New Roman" w:eastAsia="宋体" w:cs="Times New Roman"/>
          <w:b/>
          <w:bCs/>
          <w:color w:val="auto"/>
          <w:sz w:val="21"/>
          <w:szCs w:val="21"/>
          <w:highlight w:val="none"/>
        </w:rPr>
      </w:pPr>
      <w:r>
        <w:rPr>
          <w:rFonts w:hint="eastAsia" w:ascii="宋体" w:hAnsi="宋体" w:eastAsia="宋体" w:cs="宋体"/>
          <w:b/>
          <w:bCs/>
          <w:color w:val="auto"/>
          <w:kern w:val="2"/>
          <w:sz w:val="21"/>
          <w:szCs w:val="21"/>
          <w:lang w:val="en-US" w:eastAsia="zh-CN" w:bidi="ar-SA"/>
        </w:rPr>
        <w:t>3.4.1.4</w:t>
      </w:r>
      <w:r>
        <w:rPr>
          <w:rFonts w:hint="eastAsia" w:ascii="宋体" w:hAnsi="宋体" w:eastAsia="宋体" w:cs="宋体"/>
          <w:b/>
          <w:bCs/>
          <w:color w:val="auto"/>
          <w:sz w:val="21"/>
          <w:szCs w:val="21"/>
          <w:highlight w:val="none"/>
        </w:rPr>
        <w:t>疑难问题解答</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针对复杂或特殊情况进行个性化解答，确保参保人能够顺利享受家庭共济服务，确保经办人员能够正确办理相关业务。</w:t>
      </w:r>
    </w:p>
    <w:p>
      <w:pPr>
        <w:widowControl/>
        <w:numPr>
          <w:ilvl w:val="2"/>
          <w:numId w:val="0"/>
        </w:numPr>
        <w:spacing w:before="156" w:beforeAutospacing="0" w:after="156"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52" w:name="_Toc180513524"/>
      <w:bookmarkEnd w:id="52"/>
      <w:r>
        <w:rPr>
          <w:rFonts w:hint="eastAsia" w:ascii="宋体" w:hAnsi="宋体" w:eastAsia="宋体" w:cs="宋体"/>
          <w:b/>
          <w:bCs/>
          <w:color w:val="auto"/>
          <w:kern w:val="2"/>
          <w:sz w:val="21"/>
          <w:szCs w:val="21"/>
          <w:lang w:val="en-US" w:eastAsia="zh-CN" w:bidi="ar-SA"/>
        </w:rPr>
        <w:t>3.4.2</w:t>
      </w:r>
      <w:r>
        <w:rPr>
          <w:rFonts w:hint="eastAsia" w:ascii="黑体" w:hAnsi="宋体" w:eastAsia="黑体" w:cs="黑体"/>
          <w:b/>
          <w:bCs/>
          <w:color w:val="auto"/>
          <w:sz w:val="21"/>
          <w:szCs w:val="21"/>
          <w:highlight w:val="none"/>
        </w:rPr>
        <w:t>服务范围</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服务范围：针对陕西省内所有统筹区经办人员，辅助经办人员完成跨统筹区的账户共济业务。</w:t>
      </w:r>
    </w:p>
    <w:p>
      <w:pPr>
        <w:widowControl/>
        <w:numPr>
          <w:ilvl w:val="2"/>
          <w:numId w:val="0"/>
        </w:numPr>
        <w:spacing w:before="156" w:beforeAutospacing="0" w:after="156"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53" w:name="_Toc180513525"/>
      <w:bookmarkEnd w:id="53"/>
      <w:r>
        <w:rPr>
          <w:rFonts w:hint="eastAsia" w:ascii="宋体" w:hAnsi="宋体" w:eastAsia="宋体" w:cs="宋体"/>
          <w:b/>
          <w:bCs/>
          <w:color w:val="auto"/>
          <w:kern w:val="2"/>
          <w:sz w:val="21"/>
          <w:szCs w:val="21"/>
          <w:lang w:val="en-US" w:eastAsia="zh-CN" w:bidi="ar-SA"/>
        </w:rPr>
        <w:t>3.4.3</w:t>
      </w:r>
      <w:r>
        <w:rPr>
          <w:rFonts w:hint="eastAsia" w:ascii="黑体" w:hAnsi="宋体" w:eastAsia="黑体" w:cs="黑体"/>
          <w:b/>
          <w:bCs/>
          <w:color w:val="auto"/>
          <w:sz w:val="21"/>
          <w:szCs w:val="21"/>
          <w:highlight w:val="none"/>
        </w:rPr>
        <w:t>服务要求</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kern w:val="2"/>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咨询服务人员需具备专业的医保政策知识和丰富的服务经验，能够准确解答各类问题</w:t>
      </w:r>
      <w:r>
        <w:rPr>
          <w:rFonts w:hint="eastAsia" w:ascii="宋体" w:hAnsi="宋体" w:eastAsia="宋体" w:cs="宋体"/>
          <w:color w:val="auto"/>
          <w:kern w:val="2"/>
          <w:sz w:val="21"/>
          <w:szCs w:val="21"/>
          <w:highlight w:val="none"/>
          <w:lang w:val="en-US" w:eastAsia="zh-CN" w:bidi="ar"/>
        </w:rPr>
        <w:t>。</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收到咨询</w:t>
      </w: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小时内反馈、根据故障等级和需求分类进行服务时间规划。</w:t>
      </w:r>
      <w:r>
        <w:rPr>
          <w:rFonts w:hint="eastAsia" w:ascii="宋体" w:hAnsi="宋体" w:eastAsia="宋体" w:cs="宋体"/>
          <w:color w:val="auto"/>
          <w:kern w:val="2"/>
          <w:sz w:val="21"/>
          <w:szCs w:val="21"/>
          <w:highlight w:val="none"/>
          <w:lang w:val="en-US" w:eastAsia="zh-CN" w:bidi="ar"/>
        </w:rPr>
        <w:t>。</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对待每位咨询者都要保持耐心和细致，确保问题得到全面、准确的解答</w:t>
      </w:r>
      <w:r>
        <w:rPr>
          <w:rFonts w:hint="eastAsia" w:ascii="宋体" w:hAnsi="宋体" w:eastAsia="宋体" w:cs="宋体"/>
          <w:color w:val="auto"/>
          <w:kern w:val="2"/>
          <w:sz w:val="21"/>
          <w:szCs w:val="21"/>
          <w:highlight w:val="none"/>
          <w:lang w:val="en-US" w:eastAsia="zh-CN" w:bidi="ar"/>
        </w:rPr>
        <w:t>。</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4.</w:t>
      </w:r>
      <w:r>
        <w:rPr>
          <w:rFonts w:hint="eastAsia" w:ascii="宋体" w:hAnsi="宋体" w:eastAsia="宋体" w:cs="宋体"/>
          <w:color w:val="auto"/>
          <w:kern w:val="0"/>
          <w:sz w:val="21"/>
          <w:szCs w:val="21"/>
          <w:highlight w:val="none"/>
          <w:lang w:val="en-US" w:eastAsia="zh-CN" w:bidi="ar"/>
        </w:rPr>
        <w:t>严格遵守信息保密原则，对咨询过程中涉及的个人信息予以严格保护。</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5.</w:t>
      </w:r>
      <w:r>
        <w:rPr>
          <w:rFonts w:hint="eastAsia" w:ascii="宋体" w:hAnsi="宋体" w:eastAsia="宋体" w:cs="宋体"/>
          <w:color w:val="auto"/>
          <w:kern w:val="0"/>
          <w:sz w:val="21"/>
          <w:szCs w:val="21"/>
          <w:highlight w:val="none"/>
          <w:lang w:val="en-US" w:eastAsia="zh-CN" w:bidi="ar"/>
        </w:rPr>
        <w:t>提供不少于</w:t>
      </w:r>
      <w:r>
        <w:rPr>
          <w:rFonts w:hint="default" w:ascii="Times New Roman" w:hAnsi="Times New Roman" w:eastAsia="宋体" w:cs="Times New Roman"/>
          <w:color w:val="auto"/>
          <w:kern w:val="0"/>
          <w:sz w:val="21"/>
          <w:szCs w:val="21"/>
          <w:highlight w:val="none"/>
          <w:lang w:val="en-US" w:eastAsia="zh-CN" w:bidi="ar"/>
        </w:rPr>
        <w:t>24</w:t>
      </w:r>
      <w:r>
        <w:rPr>
          <w:rFonts w:hint="eastAsia" w:ascii="宋体" w:hAnsi="宋体" w:eastAsia="宋体" w:cs="宋体"/>
          <w:color w:val="auto"/>
          <w:kern w:val="0"/>
          <w:sz w:val="21"/>
          <w:szCs w:val="21"/>
          <w:highlight w:val="none"/>
          <w:lang w:val="en-US" w:eastAsia="zh-CN" w:bidi="ar"/>
        </w:rPr>
        <w:t>次的咨询服务。</w:t>
      </w:r>
    </w:p>
    <w:p>
      <w:pPr>
        <w:widowControl/>
        <w:numPr>
          <w:ilvl w:val="2"/>
          <w:numId w:val="0"/>
        </w:numPr>
        <w:spacing w:before="156" w:beforeAutospacing="0" w:after="156"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54" w:name="_Toc180513526"/>
      <w:bookmarkEnd w:id="54"/>
      <w:r>
        <w:rPr>
          <w:rFonts w:hint="eastAsia" w:ascii="宋体" w:hAnsi="宋体" w:eastAsia="宋体" w:cs="宋体"/>
          <w:b/>
          <w:bCs/>
          <w:color w:val="auto"/>
          <w:kern w:val="2"/>
          <w:sz w:val="21"/>
          <w:szCs w:val="21"/>
          <w:lang w:val="en-US" w:eastAsia="zh-CN" w:bidi="ar-SA"/>
        </w:rPr>
        <w:t>3.4.4</w:t>
      </w:r>
      <w:r>
        <w:rPr>
          <w:rFonts w:hint="eastAsia" w:ascii="黑体" w:hAnsi="宋体" w:eastAsia="黑体" w:cs="黑体"/>
          <w:b/>
          <w:bCs/>
          <w:color w:val="auto"/>
          <w:sz w:val="21"/>
          <w:szCs w:val="21"/>
          <w:highlight w:val="none"/>
        </w:rPr>
        <w:t>服务流程</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1.</w:t>
      </w:r>
      <w:r>
        <w:rPr>
          <w:rFonts w:hint="eastAsia" w:ascii="宋体" w:hAnsi="宋体" w:eastAsia="宋体" w:cs="宋体"/>
          <w:color w:val="auto"/>
          <w:kern w:val="0"/>
          <w:sz w:val="21"/>
          <w:szCs w:val="21"/>
          <w:highlight w:val="none"/>
          <w:lang w:val="en-US" w:eastAsia="zh-CN" w:bidi="ar"/>
        </w:rPr>
        <w:t>经办人通过拨打服务电话或通过服务</w:t>
      </w:r>
      <w:r>
        <w:rPr>
          <w:rFonts w:hint="default" w:ascii="Times New Roman" w:hAnsi="Times New Roman" w:eastAsia="宋体" w:cs="Times New Roman"/>
          <w:color w:val="auto"/>
          <w:kern w:val="0"/>
          <w:sz w:val="21"/>
          <w:szCs w:val="21"/>
          <w:highlight w:val="none"/>
          <w:lang w:val="en-US" w:eastAsia="zh-CN" w:bidi="ar"/>
        </w:rPr>
        <w:t>QQ</w:t>
      </w:r>
      <w:r>
        <w:rPr>
          <w:rFonts w:hint="eastAsia" w:ascii="宋体" w:hAnsi="宋体" w:eastAsia="宋体" w:cs="宋体"/>
          <w:color w:val="auto"/>
          <w:kern w:val="0"/>
          <w:sz w:val="21"/>
          <w:szCs w:val="21"/>
          <w:highlight w:val="none"/>
          <w:lang w:val="en-US" w:eastAsia="zh-CN" w:bidi="ar"/>
        </w:rPr>
        <w:t>群和微信群进行咨询。</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val="en-US" w:eastAsia="zh-CN" w:bidi="ar"/>
        </w:rPr>
        <w:t>咨询者详细说明咨询内容，包括个人基本情况、遇到的问题等。</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服务人员根据咨询内容，提供专业、详细的解答和操作流程指导。</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4.</w:t>
      </w:r>
      <w:r>
        <w:rPr>
          <w:rFonts w:hint="eastAsia" w:ascii="宋体" w:hAnsi="宋体" w:eastAsia="宋体" w:cs="宋体"/>
          <w:color w:val="auto"/>
          <w:kern w:val="0"/>
          <w:sz w:val="21"/>
          <w:szCs w:val="21"/>
          <w:highlight w:val="none"/>
          <w:lang w:val="en-US" w:eastAsia="zh-CN" w:bidi="ar"/>
        </w:rPr>
        <w:t>服务人员的协助下，咨询者完成相关操作或解决遇到的问题。</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5.</w:t>
      </w:r>
      <w:r>
        <w:rPr>
          <w:rFonts w:hint="eastAsia" w:ascii="宋体" w:hAnsi="宋体" w:eastAsia="宋体" w:cs="宋体"/>
          <w:color w:val="auto"/>
          <w:kern w:val="0"/>
          <w:sz w:val="21"/>
          <w:szCs w:val="21"/>
          <w:highlight w:val="none"/>
          <w:lang w:val="en-US" w:eastAsia="zh-CN" w:bidi="ar"/>
        </w:rPr>
        <w:t>服务人员主动收集咨询者的反馈意见，对于未解决的问题进行跟进处理，确保服务质量。</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6.</w:t>
      </w:r>
      <w:r>
        <w:rPr>
          <w:rFonts w:hint="eastAsia" w:ascii="宋体" w:hAnsi="宋体" w:eastAsia="宋体" w:cs="宋体"/>
          <w:color w:val="auto"/>
          <w:kern w:val="0"/>
          <w:sz w:val="21"/>
          <w:szCs w:val="21"/>
          <w:highlight w:val="none"/>
          <w:lang w:val="en-US" w:eastAsia="zh-CN" w:bidi="ar"/>
        </w:rPr>
        <w:t>收集并整理经办人员日常问题以及处理办法，生成《常见咨询问题处理手册》，并及时更新至门户系统，供全省经办人员下载使用。</w:t>
      </w:r>
    </w:p>
    <w:p>
      <w:pPr>
        <w:widowControl/>
        <w:numPr>
          <w:ilvl w:val="2"/>
          <w:numId w:val="0"/>
        </w:numPr>
        <w:spacing w:before="156" w:beforeAutospacing="0" w:after="156"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55" w:name="_Toc180513527"/>
      <w:bookmarkEnd w:id="55"/>
      <w:r>
        <w:rPr>
          <w:rFonts w:hint="eastAsia" w:ascii="宋体" w:hAnsi="宋体" w:eastAsia="宋体" w:cs="宋体"/>
          <w:b/>
          <w:bCs/>
          <w:color w:val="auto"/>
          <w:kern w:val="2"/>
          <w:sz w:val="21"/>
          <w:szCs w:val="21"/>
          <w:lang w:val="en-US" w:eastAsia="zh-CN" w:bidi="ar-SA"/>
        </w:rPr>
        <w:t>3.4.5</w:t>
      </w:r>
      <w:r>
        <w:rPr>
          <w:rFonts w:hint="eastAsia" w:ascii="黑体" w:hAnsi="宋体" w:eastAsia="黑体" w:cs="黑体"/>
          <w:b/>
          <w:bCs/>
          <w:color w:val="auto"/>
          <w:sz w:val="21"/>
          <w:szCs w:val="21"/>
          <w:highlight w:val="none"/>
        </w:rPr>
        <w:t>交付物与交付物质量</w:t>
      </w:r>
    </w:p>
    <w:p>
      <w:pPr>
        <w:pStyle w:val="9"/>
        <w:widowControl/>
        <w:spacing w:line="360" w:lineRule="auto"/>
        <w:outlineLvl w:val="9"/>
        <w:rPr>
          <w:rFonts w:hint="default" w:ascii="Cambria" w:hAnsi="Cambria" w:eastAsia="黑体" w:cs="Times New Roman"/>
          <w:color w:val="auto"/>
          <w:kern w:val="2"/>
          <w:sz w:val="21"/>
          <w:szCs w:val="21"/>
          <w:highlight w:val="none"/>
        </w:rPr>
      </w:pPr>
      <w:r>
        <w:rPr>
          <w:rFonts w:hint="eastAsia" w:ascii="黑体" w:hAnsi="宋体" w:eastAsia="黑体" w:cs="黑体"/>
          <w:color w:val="auto"/>
          <w:kern w:val="2"/>
          <w:sz w:val="21"/>
          <w:szCs w:val="21"/>
          <w:highlight w:val="none"/>
        </w:rPr>
        <w:t>表</w:t>
      </w:r>
      <w:r>
        <w:rPr>
          <w:rFonts w:hint="default" w:ascii="Cambria" w:hAnsi="Cambria" w:eastAsia="黑体" w:cs="Times New Roman"/>
          <w:color w:val="auto"/>
          <w:kern w:val="2"/>
          <w:sz w:val="21"/>
          <w:szCs w:val="21"/>
          <w:highlight w:val="none"/>
        </w:rPr>
        <w:t>5-</w:t>
      </w:r>
      <w:bookmarkStart w:id="56" w:name="_Toc25969"/>
      <w:bookmarkEnd w:id="56"/>
      <w:bookmarkStart w:id="57" w:name="_Toc1732556287"/>
      <w:bookmarkEnd w:id="57"/>
      <w:bookmarkStart w:id="58" w:name="_Toc1625472036"/>
      <w:r>
        <w:rPr>
          <w:rFonts w:hint="default" w:ascii="Cambria" w:hAnsi="Cambria" w:eastAsia="黑体" w:cs="Times New Roman"/>
          <w:color w:val="auto"/>
          <w:kern w:val="2"/>
          <w:sz w:val="21"/>
          <w:szCs w:val="21"/>
          <w:highlight w:val="none"/>
        </w:rPr>
        <w:t xml:space="preserve">7 </w:t>
      </w:r>
      <w:bookmarkEnd w:id="58"/>
      <w:r>
        <w:rPr>
          <w:rFonts w:hint="eastAsia" w:ascii="黑体" w:hAnsi="宋体" w:eastAsia="黑体" w:cs="黑体"/>
          <w:color w:val="auto"/>
          <w:kern w:val="2"/>
          <w:sz w:val="21"/>
          <w:szCs w:val="21"/>
          <w:highlight w:val="none"/>
        </w:rPr>
        <w:t>交付物与交付物质量</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 xml:space="preserve"> </w:t>
      </w:r>
    </w:p>
    <w:tbl>
      <w:tblPr>
        <w:tblStyle w:val="10"/>
        <w:tblW w:w="7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2593"/>
        <w:gridCol w:w="47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2593"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3"/>
              <w:keepNext w:val="0"/>
              <w:keepLines w:val="0"/>
              <w:widowControl/>
              <w:suppressLineNumbers w:val="0"/>
              <w:spacing w:line="360" w:lineRule="auto"/>
              <w:ind w:left="0" w:firstLine="482"/>
              <w:outlineLvl w:val="9"/>
              <w:rPr>
                <w:rFonts w:hint="default" w:ascii="Times New Roman" w:hAnsi="Times New Roman" w:eastAsia="宋体" w:cs="Times New Roman"/>
                <w:b/>
                <w:bCs w:val="0"/>
                <w:iCs/>
                <w:color w:val="auto"/>
                <w:kern w:val="2"/>
                <w:sz w:val="21"/>
                <w:szCs w:val="21"/>
                <w:highlight w:val="none"/>
              </w:rPr>
            </w:pPr>
            <w:r>
              <w:rPr>
                <w:rFonts w:hint="eastAsia" w:ascii="宋体" w:hAnsi="宋体" w:eastAsia="宋体" w:cs="宋体"/>
                <w:b/>
                <w:bCs w:val="0"/>
                <w:iCs/>
                <w:color w:val="auto"/>
                <w:kern w:val="2"/>
                <w:sz w:val="21"/>
                <w:szCs w:val="21"/>
                <w:highlight w:val="none"/>
              </w:rPr>
              <w:t>交付物</w:t>
            </w:r>
          </w:p>
        </w:tc>
        <w:tc>
          <w:tcPr>
            <w:tcW w:w="476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3"/>
              <w:keepNext w:val="0"/>
              <w:keepLines w:val="0"/>
              <w:widowControl/>
              <w:suppressLineNumbers w:val="0"/>
              <w:spacing w:line="360" w:lineRule="auto"/>
              <w:ind w:left="0" w:firstLine="482"/>
              <w:outlineLvl w:val="9"/>
              <w:rPr>
                <w:rFonts w:hint="default" w:ascii="Times New Roman" w:hAnsi="Times New Roman" w:eastAsia="宋体" w:cs="Times New Roman"/>
                <w:b/>
                <w:bCs w:val="0"/>
                <w:iCs/>
                <w:color w:val="auto"/>
                <w:kern w:val="2"/>
                <w:sz w:val="21"/>
                <w:szCs w:val="21"/>
                <w:highlight w:val="none"/>
              </w:rPr>
            </w:pPr>
            <w:r>
              <w:rPr>
                <w:rFonts w:hint="eastAsia" w:ascii="宋体" w:hAnsi="宋体" w:eastAsia="宋体" w:cs="宋体"/>
                <w:b/>
                <w:bCs w:val="0"/>
                <w:iCs/>
                <w:color w:val="auto"/>
                <w:kern w:val="2"/>
                <w:sz w:val="21"/>
                <w:szCs w:val="21"/>
                <w:highlight w:val="none"/>
              </w:rPr>
              <w:t>交付物标准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26" w:hRule="atLeast"/>
          <w:jc w:val="center"/>
        </w:trPr>
        <w:tc>
          <w:tcPr>
            <w:tcW w:w="2593"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3"/>
              <w:keepNext w:val="0"/>
              <w:keepLines w:val="0"/>
              <w:widowControl/>
              <w:suppressLineNumbers w:val="0"/>
              <w:spacing w:line="360" w:lineRule="auto"/>
              <w:jc w:val="both"/>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《常见咨询问题处理手册》</w:t>
            </w:r>
          </w:p>
        </w:tc>
        <w:tc>
          <w:tcPr>
            <w:tcW w:w="476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3"/>
              <w:keepNext w:val="0"/>
              <w:keepLines w:val="0"/>
              <w:widowControl/>
              <w:suppressLineNumbers w:val="0"/>
              <w:spacing w:line="360" w:lineRule="auto"/>
              <w:jc w:val="both"/>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内容详实，落地性好。内容准确、逻辑清晰、图文并茂。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76" w:hRule="atLeast"/>
          <w:jc w:val="center"/>
        </w:trPr>
        <w:tc>
          <w:tcPr>
            <w:tcW w:w="2593"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3"/>
              <w:keepNext w:val="0"/>
              <w:keepLines w:val="0"/>
              <w:widowControl/>
              <w:suppressLineNumbers w:val="0"/>
              <w:spacing w:line="360" w:lineRule="auto"/>
              <w:jc w:val="both"/>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《咨询记录表》</w:t>
            </w:r>
          </w:p>
        </w:tc>
        <w:tc>
          <w:tcPr>
            <w:tcW w:w="476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3"/>
              <w:keepNext w:val="0"/>
              <w:keepLines w:val="0"/>
              <w:widowControl/>
              <w:suppressLineNumbers w:val="0"/>
              <w:spacing w:line="360" w:lineRule="auto"/>
              <w:jc w:val="both"/>
              <w:outlineLvl w:val="9"/>
              <w:rPr>
                <w:rFonts w:hint="default" w:ascii="Times New Roman" w:hAnsi="Times New Roman" w:eastAsia="宋体" w:cs="Times New Roman"/>
                <w:iCs/>
                <w:color w:val="auto"/>
                <w:kern w:val="2"/>
                <w:sz w:val="21"/>
                <w:szCs w:val="21"/>
                <w:highlight w:val="none"/>
              </w:rPr>
            </w:pPr>
            <w:r>
              <w:rPr>
                <w:rFonts w:hint="eastAsia" w:ascii="宋体" w:hAnsi="宋体" w:eastAsia="宋体" w:cs="宋体"/>
                <w:iCs/>
                <w:color w:val="auto"/>
                <w:kern w:val="2"/>
                <w:sz w:val="21"/>
                <w:szCs w:val="21"/>
                <w:highlight w:val="none"/>
              </w:rPr>
              <w:t>记录清晰，详实准确。咨询服务量大于等于</w:t>
            </w:r>
            <w:r>
              <w:rPr>
                <w:rFonts w:hint="default" w:ascii="Times New Roman" w:hAnsi="Times New Roman" w:eastAsia="宋体" w:cs="Times New Roman"/>
                <w:iCs/>
                <w:color w:val="auto"/>
                <w:kern w:val="2"/>
                <w:sz w:val="21"/>
                <w:szCs w:val="21"/>
                <w:highlight w:val="none"/>
              </w:rPr>
              <w:t>24</w:t>
            </w:r>
            <w:r>
              <w:rPr>
                <w:rFonts w:hint="eastAsia" w:ascii="宋体" w:hAnsi="宋体" w:eastAsia="宋体" w:cs="宋体"/>
                <w:iCs/>
                <w:color w:val="auto"/>
                <w:kern w:val="2"/>
                <w:sz w:val="21"/>
                <w:szCs w:val="21"/>
                <w:highlight w:val="none"/>
              </w:rPr>
              <w:t>次。</w:t>
            </w:r>
          </w:p>
        </w:tc>
      </w:tr>
    </w:tbl>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 xml:space="preserve">  </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59" w:name="_Toc180513529"/>
      <w:bookmarkEnd w:id="59"/>
      <w:r>
        <w:rPr>
          <w:rFonts w:hint="eastAsia" w:ascii="宋体" w:hAnsi="宋体" w:eastAsia="宋体" w:cs="宋体"/>
          <w:b/>
          <w:bCs/>
          <w:color w:val="auto"/>
          <w:kern w:val="2"/>
          <w:sz w:val="21"/>
          <w:szCs w:val="21"/>
          <w:lang w:val="en-US" w:eastAsia="zh-CN" w:bidi="ar-SA"/>
        </w:rPr>
        <w:t>3.5</w:t>
      </w:r>
      <w:r>
        <w:rPr>
          <w:rFonts w:hint="eastAsia" w:ascii="黑体" w:hAnsi="宋体" w:eastAsia="黑体" w:cs="黑体"/>
          <w:b/>
          <w:bCs/>
          <w:color w:val="auto"/>
          <w:sz w:val="21"/>
          <w:szCs w:val="21"/>
          <w:highlight w:val="none"/>
        </w:rPr>
        <w:t>服务考核办法和应用</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为保障本项目的服务质量，由项目单位开展对项目服务提供方进行服务考核评估。服务评估内容主要包括服务质量、服务交付、服务管理和服务满意度等方面。按季度服务考核，每周期服务评估分值满分为</w:t>
      </w:r>
      <w:r>
        <w:rPr>
          <w:rFonts w:hint="default" w:ascii="Times New Roman" w:hAnsi="Times New Roman" w:eastAsia="宋体" w:cs="Times New Roman"/>
          <w:color w:val="auto"/>
          <w:kern w:val="0"/>
          <w:sz w:val="21"/>
          <w:szCs w:val="21"/>
          <w:highlight w:val="none"/>
          <w:lang w:val="en-US" w:eastAsia="zh-CN" w:bidi="ar"/>
        </w:rPr>
        <w:t>100</w:t>
      </w:r>
      <w:r>
        <w:rPr>
          <w:rFonts w:hint="eastAsia" w:ascii="宋体" w:hAnsi="宋体" w:eastAsia="宋体" w:cs="宋体"/>
          <w:color w:val="auto"/>
          <w:kern w:val="0"/>
          <w:sz w:val="21"/>
          <w:szCs w:val="21"/>
          <w:highlight w:val="none"/>
          <w:lang w:val="en-US" w:eastAsia="zh-CN" w:bidi="ar"/>
        </w:rPr>
        <w:t>分，并分为四个评估等级。由项目单位常态化开展日常服务记录。每个服务考核周期对期间的日常服务记录进行汇总，阶段性地对周期内的服务进行综合考核评价，形成阶段性服务考核结果。</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项目单位根据阶段性服务评估分值按下表确定对应阶段的服务费用付款比例：</w:t>
      </w:r>
    </w:p>
    <w:p>
      <w:pPr>
        <w:pStyle w:val="9"/>
        <w:widowControl/>
        <w:spacing w:line="360" w:lineRule="auto"/>
        <w:outlineLvl w:val="9"/>
        <w:rPr>
          <w:rFonts w:hint="default" w:ascii="Arial" w:hAnsi="Arial" w:eastAsia="黑体" w:cs="Times New Roman"/>
          <w:color w:val="auto"/>
          <w:kern w:val="2"/>
          <w:sz w:val="21"/>
          <w:szCs w:val="21"/>
          <w:highlight w:val="none"/>
        </w:rPr>
      </w:pPr>
      <w:r>
        <w:rPr>
          <w:rFonts w:hint="eastAsia" w:ascii="黑体" w:hAnsi="宋体" w:eastAsia="黑体" w:cs="黑体"/>
          <w:color w:val="auto"/>
          <w:kern w:val="2"/>
          <w:sz w:val="21"/>
          <w:szCs w:val="21"/>
          <w:highlight w:val="none"/>
        </w:rPr>
        <w:t>表</w:t>
      </w:r>
      <w:r>
        <w:rPr>
          <w:rFonts w:hint="default" w:ascii="Arial" w:hAnsi="Arial" w:eastAsia="黑体" w:cs="Times New Roman"/>
          <w:color w:val="auto"/>
          <w:kern w:val="2"/>
          <w:sz w:val="21"/>
          <w:szCs w:val="21"/>
          <w:highlight w:val="none"/>
        </w:rPr>
        <w:t>5-9</w:t>
      </w:r>
      <w:r>
        <w:rPr>
          <w:rFonts w:hint="eastAsia" w:ascii="黑体" w:hAnsi="宋体" w:eastAsia="黑体" w:cs="黑体"/>
          <w:color w:val="auto"/>
          <w:kern w:val="2"/>
          <w:sz w:val="21"/>
          <w:szCs w:val="21"/>
          <w:highlight w:val="none"/>
        </w:rPr>
        <w:t>服务考核结果应用表</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 xml:space="preserve"> </w:t>
      </w:r>
    </w:p>
    <w:tbl>
      <w:tblPr>
        <w:tblStyle w:val="10"/>
        <w:tblW w:w="74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2078"/>
        <w:gridCol w:w="793"/>
        <w:gridCol w:w="45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70" w:hRule="atLeast"/>
          <w:jc w:val="center"/>
        </w:trPr>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b/>
                <w:bCs w:val="0"/>
                <w:color w:val="auto"/>
                <w:sz w:val="21"/>
                <w:szCs w:val="21"/>
                <w:highlight w:val="none"/>
              </w:rPr>
            </w:pPr>
            <w:r>
              <w:rPr>
                <w:rFonts w:hint="eastAsia" w:ascii="宋体" w:hAnsi="宋体" w:eastAsia="宋体" w:cs="宋体"/>
                <w:b/>
                <w:bCs w:val="0"/>
                <w:color w:val="auto"/>
                <w:kern w:val="0"/>
                <w:sz w:val="21"/>
                <w:szCs w:val="21"/>
                <w:highlight w:val="none"/>
                <w:lang w:val="en-US" w:eastAsia="zh-CN" w:bidi="ar"/>
              </w:rPr>
              <w:t>服务考评分值</w:t>
            </w:r>
          </w:p>
        </w:tc>
        <w:tc>
          <w:tcPr>
            <w:tcW w:w="53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b/>
                <w:bCs w:val="0"/>
                <w:color w:val="auto"/>
                <w:sz w:val="21"/>
                <w:szCs w:val="21"/>
                <w:highlight w:val="none"/>
              </w:rPr>
            </w:pPr>
            <w:r>
              <w:rPr>
                <w:rFonts w:hint="eastAsia" w:ascii="宋体" w:hAnsi="宋体" w:eastAsia="宋体" w:cs="宋体"/>
                <w:b/>
                <w:bCs w:val="0"/>
                <w:color w:val="auto"/>
                <w:kern w:val="0"/>
                <w:sz w:val="21"/>
                <w:szCs w:val="21"/>
                <w:highlight w:val="none"/>
                <w:lang w:val="en-US" w:eastAsia="zh-CN" w:bidi="ar"/>
              </w:rPr>
              <w:t>等级</w:t>
            </w:r>
          </w:p>
        </w:tc>
        <w:tc>
          <w:tcPr>
            <w:tcW w:w="30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b/>
                <w:bCs w:val="0"/>
                <w:color w:val="auto"/>
                <w:sz w:val="21"/>
                <w:szCs w:val="21"/>
                <w:highlight w:val="none"/>
              </w:rPr>
            </w:pPr>
            <w:r>
              <w:rPr>
                <w:rFonts w:hint="eastAsia" w:ascii="宋体" w:hAnsi="宋体" w:eastAsia="宋体" w:cs="宋体"/>
                <w:b/>
                <w:bCs w:val="0"/>
                <w:color w:val="auto"/>
                <w:kern w:val="0"/>
                <w:sz w:val="21"/>
                <w:szCs w:val="21"/>
                <w:highlight w:val="none"/>
                <w:lang w:val="en-US" w:eastAsia="zh-CN" w:bidi="ar"/>
              </w:rPr>
              <w:t>付款比例（%）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≥90</w:t>
            </w:r>
            <w:r>
              <w:rPr>
                <w:rFonts w:hint="eastAsia" w:ascii="宋体" w:hAnsi="宋体" w:eastAsia="宋体" w:cs="Times New Roman"/>
                <w:color w:val="auto"/>
                <w:kern w:val="0"/>
                <w:sz w:val="21"/>
                <w:szCs w:val="21"/>
                <w:highlight w:val="none"/>
                <w:lang w:val="en-US" w:eastAsia="zh-CN" w:bidi="ar"/>
              </w:rPr>
              <w:t xml:space="preserve"> </w:t>
            </w:r>
            <w:r>
              <w:rPr>
                <w:rFonts w:hint="eastAsia" w:ascii="宋体" w:hAnsi="宋体" w:eastAsia="宋体" w:cs="宋体"/>
                <w:color w:val="auto"/>
                <w:kern w:val="0"/>
                <w:sz w:val="21"/>
                <w:szCs w:val="21"/>
                <w:highlight w:val="none"/>
                <w:lang w:val="en-US" w:eastAsia="zh-CN" w:bidi="ar"/>
              </w:rPr>
              <w:t>分</w:t>
            </w:r>
          </w:p>
        </w:tc>
        <w:tc>
          <w:tcPr>
            <w:tcW w:w="53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A</w:t>
            </w:r>
          </w:p>
        </w:tc>
        <w:tc>
          <w:tcPr>
            <w:tcW w:w="30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1</w:t>
            </w:r>
            <w:r>
              <w:rPr>
                <w:rFonts w:hint="eastAsia" w:ascii="宋体" w:hAnsi="宋体" w:eastAsia="宋体" w:cs="Times New Roman"/>
                <w:color w:val="auto"/>
                <w:kern w:val="0"/>
                <w:sz w:val="21"/>
                <w:szCs w:val="21"/>
                <w:highlight w:val="none"/>
                <w:lang w:val="en-US" w:eastAsia="zh-CN" w:bidi="ar"/>
              </w:rPr>
              <w:t>00</w:t>
            </w:r>
            <w:r>
              <w:rPr>
                <w:rFonts w:hint="eastAsia" w:ascii="宋体" w:hAnsi="宋体" w:eastAsia="宋体" w:cs="宋体"/>
                <w:color w:val="auto"/>
                <w:kern w:val="0"/>
                <w:sz w:val="21"/>
                <w:szCs w:val="21"/>
                <w:highlight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≥80</w:t>
            </w:r>
            <w:r>
              <w:rPr>
                <w:rFonts w:hint="eastAsia" w:ascii="宋体" w:hAnsi="宋体" w:eastAsia="宋体" w:cs="Times New Roman"/>
                <w:color w:val="auto"/>
                <w:kern w:val="0"/>
                <w:sz w:val="21"/>
                <w:szCs w:val="21"/>
                <w:highlight w:val="none"/>
                <w:lang w:val="en-US" w:eastAsia="zh-CN" w:bidi="ar"/>
              </w:rPr>
              <w:t xml:space="preserve"> </w:t>
            </w:r>
            <w:r>
              <w:rPr>
                <w:rFonts w:hint="eastAsia" w:ascii="宋体" w:hAnsi="宋体" w:eastAsia="宋体" w:cs="宋体"/>
                <w:color w:val="auto"/>
                <w:kern w:val="0"/>
                <w:sz w:val="21"/>
                <w:szCs w:val="21"/>
                <w:highlight w:val="none"/>
                <w:lang w:val="en-US" w:eastAsia="zh-CN" w:bidi="ar"/>
              </w:rPr>
              <w:t>分，</w:t>
            </w:r>
            <w:r>
              <w:rPr>
                <w:rFonts w:hint="eastAsia" w:ascii="宋体" w:hAnsi="宋体" w:eastAsia="宋体" w:cs="Times New Roman"/>
                <w:color w:val="auto"/>
                <w:kern w:val="0"/>
                <w:sz w:val="21"/>
                <w:szCs w:val="21"/>
                <w:highlight w:val="none"/>
                <w:lang w:val="en-US" w:eastAsia="zh-CN" w:bidi="ar"/>
              </w:rPr>
              <w:t>&lt;</w:t>
            </w:r>
            <w:r>
              <w:rPr>
                <w:rFonts w:hint="eastAsia" w:ascii="宋体" w:hAnsi="宋体" w:eastAsia="宋体" w:cs="宋体"/>
                <w:color w:val="auto"/>
                <w:kern w:val="0"/>
                <w:sz w:val="21"/>
                <w:szCs w:val="21"/>
                <w:highlight w:val="none"/>
                <w:lang w:val="en-US" w:eastAsia="zh-CN" w:bidi="ar"/>
              </w:rPr>
              <w:t>90</w:t>
            </w:r>
            <w:r>
              <w:rPr>
                <w:rFonts w:hint="eastAsia" w:ascii="宋体" w:hAnsi="宋体" w:eastAsia="宋体" w:cs="Times New Roman"/>
                <w:color w:val="auto"/>
                <w:kern w:val="0"/>
                <w:sz w:val="21"/>
                <w:szCs w:val="21"/>
                <w:highlight w:val="none"/>
                <w:lang w:val="en-US" w:eastAsia="zh-CN" w:bidi="ar"/>
              </w:rPr>
              <w:t xml:space="preserve"> </w:t>
            </w:r>
            <w:r>
              <w:rPr>
                <w:rFonts w:hint="eastAsia" w:ascii="宋体" w:hAnsi="宋体" w:eastAsia="宋体" w:cs="宋体"/>
                <w:color w:val="auto"/>
                <w:kern w:val="0"/>
                <w:sz w:val="21"/>
                <w:szCs w:val="21"/>
                <w:highlight w:val="none"/>
                <w:lang w:val="en-US" w:eastAsia="zh-CN" w:bidi="ar"/>
              </w:rPr>
              <w:t>分</w:t>
            </w:r>
          </w:p>
        </w:tc>
        <w:tc>
          <w:tcPr>
            <w:tcW w:w="53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B</w:t>
            </w:r>
          </w:p>
        </w:tc>
        <w:tc>
          <w:tcPr>
            <w:tcW w:w="30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color w:val="auto"/>
                <w:sz w:val="21"/>
                <w:szCs w:val="21"/>
                <w:highlight w:val="none"/>
              </w:rPr>
            </w:pPr>
            <w:r>
              <w:rPr>
                <w:rFonts w:hint="eastAsia" w:ascii="宋体" w:hAnsi="宋体" w:eastAsia="宋体" w:cs="Times New Roman"/>
                <w:color w:val="auto"/>
                <w:kern w:val="0"/>
                <w:sz w:val="21"/>
                <w:szCs w:val="21"/>
                <w:highlight w:val="none"/>
                <w:lang w:val="en-US" w:eastAsia="zh-CN" w:bidi="ar"/>
              </w:rPr>
              <w:t>95</w:t>
            </w:r>
            <w:r>
              <w:rPr>
                <w:rFonts w:hint="eastAsia" w:ascii="宋体" w:hAnsi="宋体" w:eastAsia="宋体" w:cs="宋体"/>
                <w:color w:val="auto"/>
                <w:kern w:val="0"/>
                <w:sz w:val="21"/>
                <w:szCs w:val="21"/>
                <w:highlight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≥60</w:t>
            </w:r>
            <w:r>
              <w:rPr>
                <w:rFonts w:hint="eastAsia" w:ascii="宋体" w:hAnsi="宋体" w:eastAsia="宋体" w:cs="Times New Roman"/>
                <w:color w:val="auto"/>
                <w:kern w:val="0"/>
                <w:sz w:val="21"/>
                <w:szCs w:val="21"/>
                <w:highlight w:val="none"/>
                <w:lang w:val="en-US" w:eastAsia="zh-CN" w:bidi="ar"/>
              </w:rPr>
              <w:t xml:space="preserve"> </w:t>
            </w:r>
            <w:r>
              <w:rPr>
                <w:rFonts w:hint="eastAsia" w:ascii="宋体" w:hAnsi="宋体" w:eastAsia="宋体" w:cs="宋体"/>
                <w:color w:val="auto"/>
                <w:kern w:val="0"/>
                <w:sz w:val="21"/>
                <w:szCs w:val="21"/>
                <w:highlight w:val="none"/>
                <w:lang w:val="en-US" w:eastAsia="zh-CN" w:bidi="ar"/>
              </w:rPr>
              <w:t>分，</w:t>
            </w:r>
            <w:r>
              <w:rPr>
                <w:rFonts w:hint="eastAsia" w:ascii="宋体" w:hAnsi="宋体" w:eastAsia="宋体" w:cs="Times New Roman"/>
                <w:color w:val="auto"/>
                <w:kern w:val="0"/>
                <w:sz w:val="21"/>
                <w:szCs w:val="21"/>
                <w:highlight w:val="none"/>
                <w:lang w:val="en-US" w:eastAsia="zh-CN" w:bidi="ar"/>
              </w:rPr>
              <w:t>&lt;</w:t>
            </w:r>
            <w:r>
              <w:rPr>
                <w:rFonts w:hint="eastAsia" w:ascii="宋体" w:hAnsi="宋体" w:eastAsia="宋体" w:cs="宋体"/>
                <w:color w:val="auto"/>
                <w:kern w:val="0"/>
                <w:sz w:val="21"/>
                <w:szCs w:val="21"/>
                <w:highlight w:val="none"/>
                <w:lang w:val="en-US" w:eastAsia="zh-CN" w:bidi="ar"/>
              </w:rPr>
              <w:t>8</w:t>
            </w:r>
            <w:r>
              <w:rPr>
                <w:rFonts w:hint="eastAsia" w:ascii="宋体" w:hAnsi="宋体" w:eastAsia="宋体" w:cs="Times New Roman"/>
                <w:color w:val="auto"/>
                <w:kern w:val="0"/>
                <w:sz w:val="21"/>
                <w:szCs w:val="21"/>
                <w:highlight w:val="none"/>
                <w:lang w:val="en-US" w:eastAsia="zh-CN" w:bidi="ar"/>
              </w:rPr>
              <w:t>0 分</w:t>
            </w:r>
          </w:p>
        </w:tc>
        <w:tc>
          <w:tcPr>
            <w:tcW w:w="53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C</w:t>
            </w:r>
          </w:p>
        </w:tc>
        <w:tc>
          <w:tcPr>
            <w:tcW w:w="30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color w:val="auto"/>
                <w:sz w:val="21"/>
                <w:szCs w:val="21"/>
                <w:highlight w:val="none"/>
              </w:rPr>
            </w:pPr>
            <w:r>
              <w:rPr>
                <w:rFonts w:hint="eastAsia" w:ascii="宋体" w:hAnsi="宋体" w:eastAsia="宋体" w:cs="Times New Roman"/>
                <w:color w:val="auto"/>
                <w:kern w:val="0"/>
                <w:sz w:val="21"/>
                <w:szCs w:val="21"/>
                <w:highlight w:val="none"/>
                <w:lang w:val="en-US" w:eastAsia="zh-CN" w:bidi="ar"/>
              </w:rPr>
              <w:t>90</w:t>
            </w:r>
            <w:r>
              <w:rPr>
                <w:rFonts w:hint="eastAsia" w:ascii="宋体" w:hAnsi="宋体" w:eastAsia="宋体" w:cs="宋体"/>
                <w:color w:val="auto"/>
                <w:kern w:val="0"/>
                <w:sz w:val="21"/>
                <w:szCs w:val="21"/>
                <w:highlight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9" w:hRule="atLeast"/>
          <w:jc w:val="center"/>
        </w:trPr>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color w:val="auto"/>
                <w:sz w:val="21"/>
                <w:szCs w:val="21"/>
                <w:highlight w:val="none"/>
              </w:rPr>
            </w:pPr>
            <w:r>
              <w:rPr>
                <w:rFonts w:hint="eastAsia" w:ascii="宋体" w:hAnsi="宋体" w:eastAsia="宋体" w:cs="Times New Roman"/>
                <w:color w:val="auto"/>
                <w:kern w:val="0"/>
                <w:sz w:val="21"/>
                <w:szCs w:val="21"/>
                <w:highlight w:val="none"/>
                <w:lang w:val="en-US" w:eastAsia="zh-CN" w:bidi="ar"/>
              </w:rPr>
              <w:t>&lt;60 分</w:t>
            </w:r>
          </w:p>
        </w:tc>
        <w:tc>
          <w:tcPr>
            <w:tcW w:w="53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D</w:t>
            </w:r>
          </w:p>
        </w:tc>
        <w:tc>
          <w:tcPr>
            <w:tcW w:w="30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宋体" w:hAnsi="宋体"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应先进行整改，在下一评估周期内完成整改，评估分值≥</w:t>
            </w:r>
            <w:r>
              <w:rPr>
                <w:rFonts w:hint="eastAsia" w:ascii="宋体" w:hAnsi="宋体" w:eastAsia="宋体" w:cs="Times New Roman"/>
                <w:color w:val="auto"/>
                <w:kern w:val="0"/>
                <w:sz w:val="21"/>
                <w:szCs w:val="21"/>
                <w:highlight w:val="none"/>
                <w:lang w:val="en-US" w:eastAsia="zh-CN" w:bidi="ar"/>
              </w:rPr>
              <w:t>60</w:t>
            </w:r>
            <w:r>
              <w:rPr>
                <w:rFonts w:hint="eastAsia" w:ascii="宋体" w:hAnsi="宋体" w:eastAsia="宋体" w:cs="宋体"/>
                <w:color w:val="auto"/>
                <w:kern w:val="0"/>
                <w:sz w:val="21"/>
                <w:szCs w:val="21"/>
                <w:highlight w:val="none"/>
                <w:lang w:val="en-US" w:eastAsia="zh-CN" w:bidi="ar"/>
              </w:rPr>
              <w:t>分，付款比例为</w:t>
            </w:r>
            <w:r>
              <w:rPr>
                <w:rFonts w:hint="eastAsia" w:ascii="宋体" w:hAnsi="宋体" w:eastAsia="宋体" w:cs="Times New Roman"/>
                <w:color w:val="auto"/>
                <w:kern w:val="0"/>
                <w:sz w:val="21"/>
                <w:szCs w:val="21"/>
                <w:highlight w:val="none"/>
                <w:lang w:val="en-US" w:eastAsia="zh-CN" w:bidi="ar"/>
              </w:rPr>
              <w:t>80%</w:t>
            </w:r>
            <w:r>
              <w:rPr>
                <w:rFonts w:hint="eastAsia" w:ascii="宋体" w:hAnsi="宋体" w:eastAsia="宋体" w:cs="宋体"/>
                <w:color w:val="auto"/>
                <w:kern w:val="0"/>
                <w:sz w:val="21"/>
                <w:szCs w:val="21"/>
                <w:highlight w:val="none"/>
                <w:lang w:val="en-US" w:eastAsia="zh-CN" w:bidi="ar"/>
              </w:rPr>
              <w:t>；整改后评估仍</w:t>
            </w:r>
            <w:r>
              <w:rPr>
                <w:rFonts w:hint="eastAsia" w:ascii="宋体" w:hAnsi="宋体" w:eastAsia="宋体" w:cs="Times New Roman"/>
                <w:color w:val="auto"/>
                <w:kern w:val="0"/>
                <w:sz w:val="21"/>
                <w:szCs w:val="21"/>
                <w:highlight w:val="none"/>
                <w:lang w:val="en-US" w:eastAsia="zh-CN" w:bidi="ar"/>
              </w:rPr>
              <w:t>&lt;60</w:t>
            </w:r>
            <w:r>
              <w:rPr>
                <w:rFonts w:hint="eastAsia" w:ascii="宋体" w:hAnsi="宋体" w:eastAsia="宋体" w:cs="宋体"/>
                <w:color w:val="auto"/>
                <w:kern w:val="0"/>
                <w:sz w:val="21"/>
                <w:szCs w:val="21"/>
                <w:highlight w:val="none"/>
                <w:lang w:val="en-US" w:eastAsia="zh-CN" w:bidi="ar"/>
              </w:rPr>
              <w:t>分的，付款比例由项目单位和项目服务提供方协商，最低可为</w:t>
            </w:r>
            <w:r>
              <w:rPr>
                <w:rFonts w:hint="eastAsia" w:ascii="宋体" w:hAnsi="宋体" w:eastAsia="宋体" w:cs="Times New Roman"/>
                <w:color w:val="auto"/>
                <w:kern w:val="0"/>
                <w:sz w:val="21"/>
                <w:szCs w:val="21"/>
                <w:highlight w:val="none"/>
                <w:lang w:val="en-US" w:eastAsia="zh-CN" w:bidi="ar"/>
              </w:rPr>
              <w:t>0</w:t>
            </w:r>
            <w:r>
              <w:rPr>
                <w:rFonts w:hint="eastAsia" w:ascii="宋体" w:hAnsi="宋体" w:eastAsia="宋体" w:cs="宋体"/>
                <w:color w:val="auto"/>
                <w:kern w:val="0"/>
                <w:sz w:val="21"/>
                <w:szCs w:val="21"/>
                <w:highlight w:val="none"/>
                <w:lang w:val="en-US" w:eastAsia="zh-CN" w:bidi="ar"/>
              </w:rPr>
              <w:t>。</w:t>
            </w:r>
          </w:p>
        </w:tc>
      </w:tr>
    </w:tbl>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黑体" w:cs="Times New Roman"/>
          <w:color w:val="auto"/>
          <w:sz w:val="21"/>
          <w:szCs w:val="21"/>
          <w:highlight w:val="none"/>
        </w:rPr>
      </w:pPr>
      <w:r>
        <w:rPr>
          <w:rFonts w:hint="default" w:ascii="Times New Roman" w:hAnsi="Times New Roman" w:eastAsia="黑体" w:cs="Times New Roman"/>
          <w:color w:val="auto"/>
          <w:kern w:val="0"/>
          <w:sz w:val="21"/>
          <w:szCs w:val="21"/>
          <w:highlight w:val="none"/>
          <w:lang w:val="en-US" w:eastAsia="zh-CN" w:bidi="ar"/>
        </w:rPr>
        <w:t xml:space="preserve"> </w:t>
      </w:r>
    </w:p>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60" w:name="_Toc180513530"/>
      <w:bookmarkEnd w:id="60"/>
      <w:bookmarkStart w:id="61" w:name="_Toc1917145494"/>
      <w:r>
        <w:rPr>
          <w:rFonts w:hint="eastAsia" w:ascii="宋体" w:hAnsi="宋体" w:eastAsia="宋体" w:cs="宋体"/>
          <w:b/>
          <w:bCs/>
          <w:color w:val="auto"/>
          <w:kern w:val="2"/>
          <w:sz w:val="21"/>
          <w:szCs w:val="21"/>
          <w:lang w:val="en-US" w:eastAsia="zh-CN" w:bidi="ar-SA"/>
        </w:rPr>
        <w:t>3.5.1</w:t>
      </w:r>
      <w:r>
        <w:rPr>
          <w:rFonts w:hint="eastAsia" w:ascii="黑体" w:hAnsi="宋体" w:eastAsia="黑体" w:cs="黑体"/>
          <w:b/>
          <w:bCs/>
          <w:color w:val="auto"/>
          <w:sz w:val="21"/>
          <w:szCs w:val="21"/>
          <w:highlight w:val="none"/>
        </w:rPr>
        <w:t>平台运营服务质量考核</w:t>
      </w:r>
      <w:bookmarkEnd w:id="61"/>
    </w:p>
    <w:p>
      <w:pPr>
        <w:pStyle w:val="14"/>
        <w:keepNext w:val="0"/>
        <w:keepLines w:val="0"/>
        <w:widowControl/>
        <w:suppressLineNumbers w:val="0"/>
        <w:spacing w:line="360" w:lineRule="auto"/>
        <w:ind w:left="0" w:right="0" w:firstLine="480"/>
        <w:outlineLvl w:val="9"/>
        <w:rPr>
          <w:rFonts w:hint="default" w:ascii="Arial" w:hAnsi="Arial" w:eastAsia="宋体" w:cs="Times New Roman"/>
          <w:color w:val="auto"/>
          <w:sz w:val="21"/>
          <w:szCs w:val="21"/>
          <w:highlight w:val="none"/>
        </w:rPr>
      </w:pPr>
      <w:r>
        <w:rPr>
          <w:rFonts w:hint="eastAsia" w:ascii="宋体" w:hAnsi="宋体" w:eastAsia="宋体" w:cs="宋体"/>
          <w:color w:val="auto"/>
          <w:sz w:val="21"/>
          <w:szCs w:val="21"/>
          <w:highlight w:val="none"/>
        </w:rPr>
        <w:t>针对项目服务方进行考核：</w:t>
      </w:r>
    </w:p>
    <w:p>
      <w:pPr>
        <w:keepNext w:val="0"/>
        <w:keepLines w:val="0"/>
        <w:widowControl/>
        <w:suppressLineNumbers w:val="0"/>
        <w:spacing w:before="0" w:beforeAutospacing="0" w:after="0" w:afterAutospacing="0" w:line="360" w:lineRule="auto"/>
        <w:ind w:left="0" w:right="0" w:firstLine="420" w:firstLineChars="200"/>
        <w:jc w:val="center"/>
        <w:outlineLvl w:val="9"/>
        <w:rPr>
          <w:rFonts w:hint="eastAsia" w:ascii="黑体" w:hAnsi="宋体" w:eastAsia="黑体" w:cs="Times New Roman"/>
          <w:color w:val="auto"/>
          <w:sz w:val="21"/>
          <w:szCs w:val="21"/>
          <w:highlight w:val="none"/>
        </w:rPr>
      </w:pPr>
      <w:r>
        <w:rPr>
          <w:rFonts w:hint="eastAsia" w:ascii="黑体" w:hAnsi="宋体" w:eastAsia="黑体" w:cs="黑体"/>
          <w:color w:val="auto"/>
          <w:kern w:val="0"/>
          <w:sz w:val="21"/>
          <w:szCs w:val="21"/>
          <w:highlight w:val="none"/>
          <w:lang w:val="en-US" w:eastAsia="zh-CN" w:bidi="ar"/>
        </w:rPr>
        <w:t>表</w:t>
      </w:r>
      <w:r>
        <w:rPr>
          <w:rFonts w:hint="eastAsia" w:ascii="黑体" w:hAnsi="宋体" w:eastAsia="黑体" w:cs="Times New Roman"/>
          <w:color w:val="auto"/>
          <w:kern w:val="0"/>
          <w:sz w:val="21"/>
          <w:szCs w:val="21"/>
          <w:highlight w:val="none"/>
          <w:lang w:val="en-US" w:eastAsia="zh-CN" w:bidi="ar"/>
        </w:rPr>
        <w:t>5-10</w:t>
      </w:r>
      <w:r>
        <w:rPr>
          <w:rFonts w:hint="eastAsia" w:ascii="黑体" w:hAnsi="宋体" w:eastAsia="黑体" w:cs="黑体"/>
          <w:color w:val="auto"/>
          <w:kern w:val="0"/>
          <w:sz w:val="21"/>
          <w:szCs w:val="21"/>
          <w:highlight w:val="none"/>
          <w:lang w:val="en-US" w:eastAsia="zh-CN" w:bidi="ar"/>
        </w:rPr>
        <w:t>平台运营服务考核评估指标体系表</w:t>
      </w:r>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黑体" w:cs="Times New Roman"/>
          <w:color w:val="auto"/>
          <w:sz w:val="21"/>
          <w:szCs w:val="21"/>
          <w:highlight w:val="none"/>
        </w:rPr>
      </w:pPr>
      <w:r>
        <w:rPr>
          <w:rFonts w:hint="default" w:ascii="Times New Roman" w:hAnsi="Times New Roman" w:eastAsia="黑体" w:cs="Times New Roman"/>
          <w:color w:val="auto"/>
          <w:kern w:val="0"/>
          <w:sz w:val="21"/>
          <w:szCs w:val="21"/>
          <w:highlight w:val="none"/>
          <w:lang w:val="en-US" w:eastAsia="zh-CN" w:bidi="ar"/>
        </w:rPr>
        <w:t xml:space="preserve"> </w:t>
      </w:r>
    </w:p>
    <w:tbl>
      <w:tblPr>
        <w:tblStyle w:val="10"/>
        <w:tblW w:w="4997"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70"/>
        <w:gridCol w:w="677"/>
        <w:gridCol w:w="495"/>
        <w:gridCol w:w="739"/>
        <w:gridCol w:w="1107"/>
        <w:gridCol w:w="1893"/>
        <w:gridCol w:w="874"/>
        <w:gridCol w:w="731"/>
        <w:gridCol w:w="1060"/>
        <w:gridCol w:w="4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0" w:hRule="atLeast"/>
        </w:trPr>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序号</w:t>
            </w:r>
          </w:p>
        </w:tc>
        <w:tc>
          <w:tcPr>
            <w:tcW w:w="39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服务类别</w:t>
            </w:r>
          </w:p>
        </w:tc>
        <w:tc>
          <w:tcPr>
            <w:tcW w:w="2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考核类别</w:t>
            </w:r>
          </w:p>
        </w:tc>
        <w:tc>
          <w:tcPr>
            <w:tcW w:w="43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考核指标</w:t>
            </w:r>
          </w:p>
        </w:tc>
        <w:tc>
          <w:tcPr>
            <w:tcW w:w="65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考核指标说明</w:t>
            </w:r>
          </w:p>
        </w:tc>
        <w:tc>
          <w:tcPr>
            <w:tcW w:w="11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考核标准</w:t>
            </w:r>
          </w:p>
        </w:tc>
        <w:tc>
          <w:tcPr>
            <w:tcW w:w="51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指标权重</w:t>
            </w:r>
          </w:p>
        </w:tc>
        <w:tc>
          <w:tcPr>
            <w:tcW w:w="42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考核周期</w:t>
            </w:r>
          </w:p>
        </w:tc>
        <w:tc>
          <w:tcPr>
            <w:tcW w:w="6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分值</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0" w:hRule="atLeast"/>
        </w:trPr>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1</w:t>
            </w:r>
          </w:p>
        </w:tc>
        <w:tc>
          <w:tcPr>
            <w:tcW w:w="397"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平台运营服务</w:t>
            </w:r>
          </w:p>
        </w:tc>
        <w:tc>
          <w:tcPr>
            <w:tcW w:w="291"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服务交付</w:t>
            </w:r>
          </w:p>
        </w:tc>
        <w:tc>
          <w:tcPr>
            <w:tcW w:w="43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工具平台部署服务</w:t>
            </w:r>
          </w:p>
        </w:tc>
        <w:tc>
          <w:tcPr>
            <w:tcW w:w="65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软件支撑工具能按时间部署</w:t>
            </w:r>
          </w:p>
        </w:tc>
        <w:tc>
          <w:tcPr>
            <w:tcW w:w="11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由于服务方原因，软件支撑工具未能及时部署，每延迟3个工作日扣3分，总分100分。</w:t>
            </w:r>
          </w:p>
        </w:tc>
        <w:tc>
          <w:tcPr>
            <w:tcW w:w="51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20</w:t>
            </w:r>
          </w:p>
        </w:tc>
        <w:tc>
          <w:tcPr>
            <w:tcW w:w="42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每季度</w:t>
            </w:r>
          </w:p>
        </w:tc>
        <w:tc>
          <w:tcPr>
            <w:tcW w:w="6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left"/>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outlineLvl w:val="9"/>
              <w:rPr>
                <w:rFonts w:hint="eastAsia" w:ascii="宋体" w:hAnsi="宋体" w:eastAsia="宋体" w:cs="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60" w:hRule="atLeast"/>
        </w:trPr>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2</w:t>
            </w:r>
          </w:p>
        </w:tc>
        <w:tc>
          <w:tcPr>
            <w:tcW w:w="397"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291"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43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数据共享交互服务</w:t>
            </w:r>
          </w:p>
        </w:tc>
        <w:tc>
          <w:tcPr>
            <w:tcW w:w="65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数据共享交互的实时性、准确性</w:t>
            </w:r>
          </w:p>
        </w:tc>
        <w:tc>
          <w:tcPr>
            <w:tcW w:w="11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由于服务方原因，相关接口的数据未能及时共享或数据传输错误，不能即时上报国家局，每项扣2分，总分100分，扣完为止。</w:t>
            </w:r>
          </w:p>
        </w:tc>
        <w:tc>
          <w:tcPr>
            <w:tcW w:w="51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15</w:t>
            </w:r>
          </w:p>
        </w:tc>
        <w:tc>
          <w:tcPr>
            <w:tcW w:w="42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每季度</w:t>
            </w:r>
          </w:p>
        </w:tc>
        <w:tc>
          <w:tcPr>
            <w:tcW w:w="6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left"/>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outlineLvl w:val="9"/>
              <w:rPr>
                <w:rFonts w:hint="eastAsia" w:ascii="宋体" w:hAnsi="宋体" w:eastAsia="宋体" w:cs="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60" w:hRule="atLeast"/>
        </w:trPr>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3</w:t>
            </w:r>
          </w:p>
        </w:tc>
        <w:tc>
          <w:tcPr>
            <w:tcW w:w="397"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291"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43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数据处理服务</w:t>
            </w:r>
          </w:p>
        </w:tc>
        <w:tc>
          <w:tcPr>
            <w:tcW w:w="65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数据处理服务的完整性、及时性、准确性</w:t>
            </w:r>
          </w:p>
        </w:tc>
        <w:tc>
          <w:tcPr>
            <w:tcW w:w="11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由于服务方原因，数据未能及时、准确的处理，每延迟1个工作日扣4分，总分100分。</w:t>
            </w:r>
          </w:p>
        </w:tc>
        <w:tc>
          <w:tcPr>
            <w:tcW w:w="51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15</w:t>
            </w:r>
          </w:p>
        </w:tc>
        <w:tc>
          <w:tcPr>
            <w:tcW w:w="42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每季度</w:t>
            </w:r>
          </w:p>
        </w:tc>
        <w:tc>
          <w:tcPr>
            <w:tcW w:w="6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left"/>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outlineLvl w:val="9"/>
              <w:rPr>
                <w:rFonts w:hint="eastAsia" w:ascii="宋体" w:hAnsi="宋体" w:eastAsia="宋体" w:cs="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151" w:hRule="atLeast"/>
        </w:trPr>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4</w:t>
            </w:r>
          </w:p>
        </w:tc>
        <w:tc>
          <w:tcPr>
            <w:tcW w:w="397"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291"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43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日常运营服务</w:t>
            </w:r>
          </w:p>
        </w:tc>
        <w:tc>
          <w:tcPr>
            <w:tcW w:w="65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日常运营服务的及时性</w:t>
            </w:r>
          </w:p>
        </w:tc>
        <w:tc>
          <w:tcPr>
            <w:tcW w:w="11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由于运营服务方原因，未及时响应用户故障问题，并按规定时间解决问题每次扣2分，总分100分。</w:t>
            </w:r>
          </w:p>
        </w:tc>
        <w:tc>
          <w:tcPr>
            <w:tcW w:w="51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20</w:t>
            </w:r>
          </w:p>
        </w:tc>
        <w:tc>
          <w:tcPr>
            <w:tcW w:w="42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每季度</w:t>
            </w:r>
          </w:p>
        </w:tc>
        <w:tc>
          <w:tcPr>
            <w:tcW w:w="6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left"/>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outlineLvl w:val="9"/>
              <w:rPr>
                <w:rFonts w:hint="eastAsia" w:ascii="宋体" w:hAnsi="宋体" w:eastAsia="宋体" w:cs="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60" w:hRule="atLeast"/>
        </w:trPr>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5</w:t>
            </w:r>
          </w:p>
        </w:tc>
        <w:tc>
          <w:tcPr>
            <w:tcW w:w="397"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291"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43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相关应用升级扩展服务</w:t>
            </w:r>
          </w:p>
        </w:tc>
        <w:tc>
          <w:tcPr>
            <w:tcW w:w="65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根据政策变化、用户需求变更等的调整，进行相关应用升级扩展服务的及时性、合理性</w:t>
            </w:r>
          </w:p>
        </w:tc>
        <w:tc>
          <w:tcPr>
            <w:tcW w:w="11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服务方可根据异地账户共济政策变化、用户需求变更等，及时、合理的对陕西省医保信息平台相关应用进行适应性的升级扩展，每次未响应扣1分，总分100分。</w:t>
            </w:r>
          </w:p>
        </w:tc>
        <w:tc>
          <w:tcPr>
            <w:tcW w:w="51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20</w:t>
            </w:r>
          </w:p>
        </w:tc>
        <w:tc>
          <w:tcPr>
            <w:tcW w:w="42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每季度</w:t>
            </w:r>
          </w:p>
        </w:tc>
        <w:tc>
          <w:tcPr>
            <w:tcW w:w="6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left"/>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outlineLvl w:val="9"/>
              <w:rPr>
                <w:rFonts w:hint="eastAsia" w:ascii="宋体" w:hAnsi="宋体" w:eastAsia="宋体" w:cs="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0" w:hRule="atLeast"/>
        </w:trPr>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6</w:t>
            </w:r>
          </w:p>
        </w:tc>
        <w:tc>
          <w:tcPr>
            <w:tcW w:w="397"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2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用户满意度</w:t>
            </w:r>
          </w:p>
        </w:tc>
        <w:tc>
          <w:tcPr>
            <w:tcW w:w="43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服务对象满意度</w:t>
            </w:r>
          </w:p>
        </w:tc>
        <w:tc>
          <w:tcPr>
            <w:tcW w:w="65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考核期对使用支撑软件人员进行满意度，按满意，一般，不满意等级划分。</w:t>
            </w:r>
          </w:p>
        </w:tc>
        <w:tc>
          <w:tcPr>
            <w:tcW w:w="111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按百分比模式进行，根据调研服务对象的数量，满意人员占比进行计算，全部人员满意为100分。</w:t>
            </w:r>
          </w:p>
        </w:tc>
        <w:tc>
          <w:tcPr>
            <w:tcW w:w="51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10</w:t>
            </w:r>
          </w:p>
        </w:tc>
        <w:tc>
          <w:tcPr>
            <w:tcW w:w="42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每季度</w:t>
            </w:r>
          </w:p>
        </w:tc>
        <w:tc>
          <w:tcPr>
            <w:tcW w:w="6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left"/>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outlineLvl w:val="9"/>
              <w:rPr>
                <w:rFonts w:hint="eastAsia" w:ascii="宋体" w:hAnsi="宋体" w:eastAsia="宋体" w:cs="宋体"/>
                <w:color w:val="auto"/>
                <w:sz w:val="21"/>
                <w:szCs w:val="21"/>
                <w:highlight w:val="none"/>
              </w:rPr>
            </w:pPr>
          </w:p>
        </w:tc>
      </w:tr>
    </w:tbl>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62" w:name="_Toc180513531"/>
      <w:bookmarkEnd w:id="62"/>
      <w:bookmarkStart w:id="63" w:name="_Toc619678070"/>
      <w:r>
        <w:rPr>
          <w:rFonts w:hint="eastAsia" w:ascii="宋体" w:hAnsi="宋体" w:eastAsia="宋体" w:cs="宋体"/>
          <w:b/>
          <w:bCs/>
          <w:color w:val="auto"/>
          <w:kern w:val="2"/>
          <w:sz w:val="21"/>
          <w:szCs w:val="21"/>
          <w:lang w:val="en-US" w:eastAsia="zh-CN" w:bidi="ar-SA"/>
        </w:rPr>
        <w:t>3.5.2</w:t>
      </w:r>
      <w:r>
        <w:rPr>
          <w:rFonts w:hint="eastAsia" w:ascii="黑体" w:hAnsi="宋体" w:eastAsia="黑体" w:cs="黑体"/>
          <w:b/>
          <w:bCs/>
          <w:color w:val="auto"/>
          <w:sz w:val="21"/>
          <w:szCs w:val="21"/>
          <w:highlight w:val="none"/>
        </w:rPr>
        <w:t>培训服务质量考核</w:t>
      </w:r>
      <w:bookmarkEnd w:id="63"/>
    </w:p>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eastAsia" w:ascii="宋体" w:hAnsi="宋体" w:eastAsia="宋体" w:cs="宋体"/>
          <w:color w:val="auto"/>
          <w:kern w:val="0"/>
          <w:sz w:val="21"/>
          <w:szCs w:val="21"/>
          <w:highlight w:val="none"/>
          <w:lang w:val="en-US" w:eastAsia="zh-CN" w:bidi="ar"/>
        </w:rPr>
        <w:t>针对项目服务方进行考核：</w:t>
      </w:r>
    </w:p>
    <w:p>
      <w:pPr>
        <w:keepNext w:val="0"/>
        <w:keepLines w:val="0"/>
        <w:widowControl/>
        <w:suppressLineNumbers w:val="0"/>
        <w:spacing w:before="0" w:beforeAutospacing="0" w:after="0" w:afterAutospacing="0" w:line="360" w:lineRule="auto"/>
        <w:ind w:left="0" w:right="0" w:firstLine="420" w:firstLineChars="200"/>
        <w:jc w:val="center"/>
        <w:outlineLvl w:val="9"/>
        <w:rPr>
          <w:rFonts w:hint="eastAsia" w:ascii="黑体" w:hAnsi="宋体" w:eastAsia="黑体" w:cs="Times New Roman"/>
          <w:color w:val="auto"/>
          <w:sz w:val="21"/>
          <w:szCs w:val="21"/>
          <w:highlight w:val="none"/>
        </w:rPr>
      </w:pPr>
      <w:r>
        <w:rPr>
          <w:rFonts w:hint="eastAsia" w:ascii="黑体" w:hAnsi="宋体" w:eastAsia="黑体" w:cs="黑体"/>
          <w:color w:val="auto"/>
          <w:kern w:val="0"/>
          <w:sz w:val="21"/>
          <w:szCs w:val="21"/>
          <w:highlight w:val="none"/>
          <w:lang w:val="en-US" w:eastAsia="zh-CN" w:bidi="ar"/>
        </w:rPr>
        <w:t>表</w:t>
      </w:r>
      <w:r>
        <w:rPr>
          <w:rFonts w:hint="eastAsia" w:ascii="黑体" w:hAnsi="宋体" w:eastAsia="黑体" w:cs="Times New Roman"/>
          <w:color w:val="auto"/>
          <w:kern w:val="0"/>
          <w:sz w:val="21"/>
          <w:szCs w:val="21"/>
          <w:highlight w:val="none"/>
          <w:lang w:val="en-US" w:eastAsia="zh-CN" w:bidi="ar"/>
        </w:rPr>
        <w:t xml:space="preserve">5-11 </w:t>
      </w:r>
      <w:r>
        <w:rPr>
          <w:rFonts w:hint="eastAsia" w:ascii="黑体" w:hAnsi="宋体" w:eastAsia="黑体" w:cs="黑体"/>
          <w:color w:val="auto"/>
          <w:kern w:val="0"/>
          <w:sz w:val="21"/>
          <w:szCs w:val="21"/>
          <w:highlight w:val="none"/>
          <w:lang w:val="en-US" w:eastAsia="zh-CN" w:bidi="ar"/>
        </w:rPr>
        <w:t>培训服务考核评估指标体系表</w:t>
      </w:r>
    </w:p>
    <w:tbl>
      <w:tblPr>
        <w:tblStyle w:val="10"/>
        <w:tblW w:w="4997"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58"/>
        <w:gridCol w:w="664"/>
        <w:gridCol w:w="488"/>
        <w:gridCol w:w="721"/>
        <w:gridCol w:w="1656"/>
        <w:gridCol w:w="1872"/>
        <w:gridCol w:w="692"/>
        <w:gridCol w:w="459"/>
        <w:gridCol w:w="1178"/>
        <w:gridCol w:w="3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43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序号</w:t>
            </w:r>
          </w:p>
        </w:tc>
        <w:tc>
          <w:tcPr>
            <w:tcW w:w="65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服务类别</w:t>
            </w:r>
          </w:p>
        </w:tc>
        <w:tc>
          <w:tcPr>
            <w:tcW w:w="4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考核类别</w:t>
            </w: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考核指标</w:t>
            </w:r>
          </w:p>
        </w:tc>
        <w:tc>
          <w:tcPr>
            <w:tcW w:w="169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考核指标说明</w:t>
            </w:r>
          </w:p>
        </w:tc>
        <w:tc>
          <w:tcPr>
            <w:tcW w:w="19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考核标准</w:t>
            </w:r>
          </w:p>
        </w:tc>
        <w:tc>
          <w:tcPr>
            <w:tcW w:w="6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指标权重</w:t>
            </w:r>
          </w:p>
        </w:tc>
        <w:tc>
          <w:tcPr>
            <w:tcW w:w="44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考核周期</w:t>
            </w:r>
          </w:p>
        </w:tc>
        <w:tc>
          <w:tcPr>
            <w:tcW w:w="119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分值</w:t>
            </w:r>
          </w:p>
        </w:tc>
        <w:tc>
          <w:tcPr>
            <w:tcW w:w="30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0" w:hRule="atLeast"/>
        </w:trPr>
        <w:tc>
          <w:tcPr>
            <w:tcW w:w="43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1</w:t>
            </w:r>
          </w:p>
        </w:tc>
        <w:tc>
          <w:tcPr>
            <w:tcW w:w="655" w:type="dxa"/>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培训服务</w:t>
            </w:r>
          </w:p>
        </w:tc>
        <w:tc>
          <w:tcPr>
            <w:tcW w:w="471" w:type="dxa"/>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培训内容</w:t>
            </w: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对应用部门各级系统应用人员的培训</w:t>
            </w:r>
          </w:p>
        </w:tc>
        <w:tc>
          <w:tcPr>
            <w:tcW w:w="169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对应用部门各级系统应用人员的培训课程内容是否全面覆盖，结构清晰，逻辑性强，案例丰富，易于理解。</w:t>
            </w:r>
          </w:p>
        </w:tc>
        <w:tc>
          <w:tcPr>
            <w:tcW w:w="19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按培训目标对应用部门各级系统应用人员进行培训，并对培训人员进行培训考核，以考核通过人员占比进行计算，全部通过为100分。</w:t>
            </w:r>
          </w:p>
        </w:tc>
        <w:tc>
          <w:tcPr>
            <w:tcW w:w="6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35</w:t>
            </w:r>
          </w:p>
        </w:tc>
        <w:tc>
          <w:tcPr>
            <w:tcW w:w="44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每次</w:t>
            </w:r>
          </w:p>
        </w:tc>
        <w:tc>
          <w:tcPr>
            <w:tcW w:w="119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30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0" w:hRule="atLeast"/>
        </w:trPr>
        <w:tc>
          <w:tcPr>
            <w:tcW w:w="43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2</w:t>
            </w:r>
          </w:p>
        </w:tc>
        <w:tc>
          <w:tcPr>
            <w:tcW w:w="655" w:type="dxa"/>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471" w:type="dxa"/>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关联协作系统技术人员培训</w:t>
            </w:r>
          </w:p>
        </w:tc>
        <w:tc>
          <w:tcPr>
            <w:tcW w:w="169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关联协作系统技术人员对培训内容的理解程度和应用能力。</w:t>
            </w:r>
          </w:p>
        </w:tc>
        <w:tc>
          <w:tcPr>
            <w:tcW w:w="19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按培训目标对关联协作系统技术人员进行培训，并对关联协作系统技术人员进行培训考核，以考核通过人员占比进行计算，全部通过为100分。</w:t>
            </w:r>
          </w:p>
        </w:tc>
        <w:tc>
          <w:tcPr>
            <w:tcW w:w="6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35</w:t>
            </w:r>
          </w:p>
        </w:tc>
        <w:tc>
          <w:tcPr>
            <w:tcW w:w="44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每次</w:t>
            </w:r>
          </w:p>
        </w:tc>
        <w:tc>
          <w:tcPr>
            <w:tcW w:w="119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30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0" w:hRule="atLeast"/>
        </w:trPr>
        <w:tc>
          <w:tcPr>
            <w:tcW w:w="43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3</w:t>
            </w:r>
          </w:p>
        </w:tc>
        <w:tc>
          <w:tcPr>
            <w:tcW w:w="655" w:type="dxa"/>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4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用户满意度</w:t>
            </w:r>
          </w:p>
        </w:tc>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受训对象满意度</w:t>
            </w:r>
          </w:p>
        </w:tc>
        <w:tc>
          <w:tcPr>
            <w:tcW w:w="169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受训人员对培训内容、培训讲师、培训环境、培训资料等的满意度。</w:t>
            </w:r>
          </w:p>
        </w:tc>
        <w:tc>
          <w:tcPr>
            <w:tcW w:w="19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按百分比模式进行，根据调研对象数量，满意人员占比进行计算，全部人员满意为100分。</w:t>
            </w:r>
          </w:p>
        </w:tc>
        <w:tc>
          <w:tcPr>
            <w:tcW w:w="6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30</w:t>
            </w:r>
          </w:p>
        </w:tc>
        <w:tc>
          <w:tcPr>
            <w:tcW w:w="44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每次</w:t>
            </w:r>
          </w:p>
        </w:tc>
        <w:tc>
          <w:tcPr>
            <w:tcW w:w="119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30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p>
        </w:tc>
      </w:tr>
    </w:tbl>
    <w:p>
      <w:pPr>
        <w:widowControl/>
        <w:numPr>
          <w:ilvl w:val="2"/>
          <w:numId w:val="0"/>
        </w:numPr>
        <w:spacing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64" w:name="_Toc180513532"/>
      <w:bookmarkEnd w:id="64"/>
      <w:r>
        <w:rPr>
          <w:rFonts w:hint="eastAsia" w:ascii="宋体" w:hAnsi="宋体" w:eastAsia="宋体" w:cs="宋体"/>
          <w:b/>
          <w:bCs/>
          <w:color w:val="auto"/>
          <w:kern w:val="2"/>
          <w:sz w:val="21"/>
          <w:szCs w:val="21"/>
          <w:lang w:val="en-US" w:eastAsia="zh-CN" w:bidi="ar-SA"/>
        </w:rPr>
        <w:t>3.5.3</w:t>
      </w:r>
      <w:r>
        <w:rPr>
          <w:rFonts w:hint="eastAsia" w:ascii="黑体" w:hAnsi="宋体" w:eastAsia="黑体" w:cs="黑体"/>
          <w:b/>
          <w:bCs/>
          <w:color w:val="auto"/>
          <w:sz w:val="21"/>
          <w:szCs w:val="21"/>
          <w:highlight w:val="none"/>
        </w:rPr>
        <w:t>信息咨询服务质量考核</w:t>
      </w:r>
    </w:p>
    <w:p>
      <w:pPr>
        <w:pStyle w:val="14"/>
        <w:keepNext w:val="0"/>
        <w:keepLines w:val="0"/>
        <w:widowControl/>
        <w:suppressLineNumbers w:val="0"/>
        <w:spacing w:line="360" w:lineRule="auto"/>
        <w:ind w:left="0" w:right="0" w:firstLine="480"/>
        <w:outlineLvl w:val="9"/>
        <w:rPr>
          <w:rFonts w:hint="default" w:ascii="Arial" w:hAnsi="Arial" w:eastAsia="宋体" w:cs="Times New Roman"/>
          <w:color w:val="auto"/>
          <w:sz w:val="21"/>
          <w:szCs w:val="21"/>
          <w:highlight w:val="none"/>
        </w:rPr>
      </w:pPr>
      <w:r>
        <w:rPr>
          <w:rFonts w:hint="eastAsia" w:ascii="宋体" w:hAnsi="宋体" w:eastAsia="宋体" w:cs="宋体"/>
          <w:color w:val="auto"/>
          <w:sz w:val="21"/>
          <w:szCs w:val="21"/>
          <w:highlight w:val="none"/>
        </w:rPr>
        <w:t>针对项目服务方进行考核：</w:t>
      </w:r>
    </w:p>
    <w:p>
      <w:pPr>
        <w:keepNext w:val="0"/>
        <w:keepLines w:val="0"/>
        <w:widowControl/>
        <w:suppressLineNumbers w:val="0"/>
        <w:spacing w:before="0" w:beforeAutospacing="0" w:after="0" w:afterAutospacing="0" w:line="360" w:lineRule="auto"/>
        <w:ind w:left="0" w:right="0" w:firstLine="0" w:firstLineChars="0"/>
        <w:jc w:val="center"/>
        <w:outlineLvl w:val="9"/>
        <w:rPr>
          <w:rFonts w:hint="eastAsia" w:ascii="黑体" w:hAnsi="宋体" w:eastAsia="黑体" w:cs="Times New Roman"/>
          <w:color w:val="auto"/>
          <w:sz w:val="21"/>
          <w:szCs w:val="21"/>
          <w:highlight w:val="none"/>
        </w:rPr>
      </w:pPr>
      <w:r>
        <w:rPr>
          <w:rFonts w:hint="eastAsia" w:ascii="黑体" w:hAnsi="宋体" w:eastAsia="黑体" w:cs="黑体"/>
          <w:color w:val="auto"/>
          <w:kern w:val="0"/>
          <w:sz w:val="21"/>
          <w:szCs w:val="21"/>
          <w:highlight w:val="none"/>
          <w:lang w:val="en-US" w:eastAsia="zh-CN" w:bidi="ar"/>
        </w:rPr>
        <w:t>表</w:t>
      </w:r>
      <w:r>
        <w:rPr>
          <w:rFonts w:hint="eastAsia" w:ascii="黑体" w:hAnsi="宋体" w:eastAsia="黑体" w:cs="Times New Roman"/>
          <w:color w:val="auto"/>
          <w:kern w:val="0"/>
          <w:sz w:val="21"/>
          <w:szCs w:val="21"/>
          <w:highlight w:val="none"/>
          <w:lang w:val="en-US" w:eastAsia="zh-CN" w:bidi="ar"/>
        </w:rPr>
        <w:t>5-12</w:t>
      </w:r>
      <w:r>
        <w:rPr>
          <w:rFonts w:hint="eastAsia" w:ascii="黑体" w:hAnsi="宋体" w:eastAsia="黑体" w:cs="黑体"/>
          <w:color w:val="auto"/>
          <w:kern w:val="0"/>
          <w:sz w:val="21"/>
          <w:szCs w:val="21"/>
          <w:highlight w:val="none"/>
          <w:lang w:val="en-US" w:eastAsia="zh-CN" w:bidi="ar"/>
        </w:rPr>
        <w:t>信息咨询服务考核评估指标体系表</w:t>
      </w:r>
    </w:p>
    <w:tbl>
      <w:tblPr>
        <w:tblStyle w:val="10"/>
        <w:tblW w:w="4997"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69"/>
        <w:gridCol w:w="611"/>
        <w:gridCol w:w="470"/>
        <w:gridCol w:w="1065"/>
        <w:gridCol w:w="1268"/>
        <w:gridCol w:w="2136"/>
        <w:gridCol w:w="470"/>
        <w:gridCol w:w="470"/>
        <w:gridCol w:w="1087"/>
        <w:gridCol w:w="4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0" w:hRule="atLeast"/>
        </w:trPr>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序号</w:t>
            </w:r>
          </w:p>
        </w:tc>
        <w:tc>
          <w:tcPr>
            <w:tcW w:w="35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服务类别</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考核类别</w:t>
            </w:r>
          </w:p>
        </w:tc>
        <w:tc>
          <w:tcPr>
            <w:tcW w:w="62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考核指标</w:t>
            </w:r>
          </w:p>
        </w:tc>
        <w:tc>
          <w:tcPr>
            <w:tcW w:w="74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考核指标说明</w:t>
            </w:r>
          </w:p>
        </w:tc>
        <w:tc>
          <w:tcPr>
            <w:tcW w:w="125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考核标准</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指标权重</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考核周期</w:t>
            </w:r>
          </w:p>
        </w:tc>
        <w:tc>
          <w:tcPr>
            <w:tcW w:w="63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分值</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bidi="ar"/>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60" w:hRule="atLeast"/>
        </w:trPr>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1</w:t>
            </w:r>
          </w:p>
        </w:tc>
        <w:tc>
          <w:tcPr>
            <w:tcW w:w="359"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信息咨询服务</w:t>
            </w:r>
          </w:p>
        </w:tc>
        <w:tc>
          <w:tcPr>
            <w:tcW w:w="276"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服务效率</w:t>
            </w:r>
          </w:p>
        </w:tc>
        <w:tc>
          <w:tcPr>
            <w:tcW w:w="62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政策咨询</w:t>
            </w:r>
          </w:p>
        </w:tc>
        <w:tc>
          <w:tcPr>
            <w:tcW w:w="74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在约定的响应时间内成功解决用户问题的比例。</w:t>
            </w:r>
          </w:p>
        </w:tc>
        <w:tc>
          <w:tcPr>
            <w:tcW w:w="125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一次性实际解决的问题占所有问题的比率不低于95%，根据未达到比例进行相应扣减，满分100。</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20</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每季度</w:t>
            </w:r>
          </w:p>
        </w:tc>
        <w:tc>
          <w:tcPr>
            <w:tcW w:w="63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left"/>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outlineLvl w:val="9"/>
              <w:rPr>
                <w:rFonts w:hint="eastAsia" w:ascii="宋体" w:hAnsi="宋体" w:eastAsia="宋体" w:cs="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60" w:hRule="atLeast"/>
        </w:trPr>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2</w:t>
            </w:r>
          </w:p>
        </w:tc>
        <w:tc>
          <w:tcPr>
            <w:tcW w:w="359"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276"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62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操作流程引导</w:t>
            </w:r>
          </w:p>
        </w:tc>
        <w:tc>
          <w:tcPr>
            <w:tcW w:w="74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提供操作流程的详细程度、规范性、有效性。</w:t>
            </w:r>
          </w:p>
        </w:tc>
        <w:tc>
          <w:tcPr>
            <w:tcW w:w="125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无法通过操作流程引导使用户业务办事效率提升的数量，产生投诉，每增加一个，扣2分，满分100分。</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20</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每季度</w:t>
            </w:r>
          </w:p>
        </w:tc>
        <w:tc>
          <w:tcPr>
            <w:tcW w:w="63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left"/>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outlineLvl w:val="9"/>
              <w:rPr>
                <w:rFonts w:hint="eastAsia" w:ascii="宋体" w:hAnsi="宋体" w:eastAsia="宋体" w:cs="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60" w:hRule="atLeast"/>
        </w:trPr>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3</w:t>
            </w:r>
          </w:p>
        </w:tc>
        <w:tc>
          <w:tcPr>
            <w:tcW w:w="359"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276"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62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技术支持</w:t>
            </w:r>
          </w:p>
        </w:tc>
        <w:tc>
          <w:tcPr>
            <w:tcW w:w="74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提供技术支持的及时性和准确性。</w:t>
            </w:r>
          </w:p>
        </w:tc>
        <w:tc>
          <w:tcPr>
            <w:tcW w:w="125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按技术支持的及时性程度设定响应时间标准，如电话技术咨询10分钟内响应并准确答复；远程技术指导20分钟内响应并回复；现场技术指导1小时内容响应并回复。产生超时及投诉每个扣减2分，满分100分。</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20</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每季度</w:t>
            </w:r>
          </w:p>
        </w:tc>
        <w:tc>
          <w:tcPr>
            <w:tcW w:w="63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left"/>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outlineLvl w:val="9"/>
              <w:rPr>
                <w:rFonts w:hint="eastAsia" w:ascii="宋体" w:hAnsi="宋体" w:eastAsia="宋体" w:cs="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60" w:hRule="atLeast"/>
        </w:trPr>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4</w:t>
            </w:r>
          </w:p>
        </w:tc>
        <w:tc>
          <w:tcPr>
            <w:tcW w:w="359"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276"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62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疑难问题解答</w:t>
            </w:r>
          </w:p>
        </w:tc>
        <w:tc>
          <w:tcPr>
            <w:tcW w:w="74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用户提出问题到首次回复的时间间隔。</w:t>
            </w:r>
          </w:p>
        </w:tc>
        <w:tc>
          <w:tcPr>
            <w:tcW w:w="125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按咨询疑难问题的紧急程度设定响应时间标准，如常规问题0.5小时内回复并解决，紧急问题2小时内回复并解决。若超时或产生投诉每个扣减2分，满分100分。</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20</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每季度</w:t>
            </w:r>
          </w:p>
        </w:tc>
        <w:tc>
          <w:tcPr>
            <w:tcW w:w="63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left"/>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outlineLvl w:val="9"/>
              <w:rPr>
                <w:rFonts w:hint="eastAsia" w:ascii="宋体" w:hAnsi="宋体" w:eastAsia="宋体" w:cs="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60" w:hRule="atLeast"/>
        </w:trPr>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5</w:t>
            </w:r>
          </w:p>
        </w:tc>
        <w:tc>
          <w:tcPr>
            <w:tcW w:w="359"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outlineLvl w:val="9"/>
              <w:rPr>
                <w:rFonts w:hint="default" w:ascii="Times New Roman" w:hAnsi="Times New Roman" w:cs="Times New Roman"/>
                <w:color w:val="auto"/>
                <w:sz w:val="20"/>
                <w:szCs w:val="20"/>
                <w:highlight w:val="none"/>
              </w:rPr>
            </w:pP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用户满意度</w:t>
            </w:r>
          </w:p>
        </w:tc>
        <w:tc>
          <w:tcPr>
            <w:tcW w:w="62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服务对象满意度</w:t>
            </w:r>
          </w:p>
        </w:tc>
        <w:tc>
          <w:tcPr>
            <w:tcW w:w="744"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考核期对项目服务对象满意度进行调研，按满意，一般，不满意等级划分。</w:t>
            </w:r>
          </w:p>
        </w:tc>
        <w:tc>
          <w:tcPr>
            <w:tcW w:w="125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按百分比模式进行，根据调研对象数量，满意人员占比进行计算，全部人员满意为100分。</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20</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center"/>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每季度</w:t>
            </w:r>
          </w:p>
        </w:tc>
        <w:tc>
          <w:tcPr>
            <w:tcW w:w="63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left"/>
              <w:textAlignment w:val="center"/>
              <w:outlineLvl w:val="9"/>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A:90-100</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B:80-89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C:60-79</w:t>
            </w:r>
            <w:r>
              <w:rPr>
                <w:rFonts w:hint="eastAsia" w:ascii="宋体" w:hAnsi="宋体" w:eastAsia="宋体" w:cs="宋体"/>
                <w:color w:val="auto"/>
                <w:kern w:val="0"/>
                <w:sz w:val="21"/>
                <w:szCs w:val="21"/>
                <w:highlight w:val="none"/>
                <w:lang w:val="en-US" w:eastAsia="zh-CN" w:bidi="ar"/>
              </w:rPr>
              <w:br w:type="textWrapping"/>
            </w:r>
            <w:r>
              <w:rPr>
                <w:rFonts w:hint="eastAsia" w:ascii="宋体" w:hAnsi="宋体" w:eastAsia="宋体" w:cs="宋体"/>
                <w:color w:val="auto"/>
                <w:kern w:val="0"/>
                <w:sz w:val="21"/>
                <w:szCs w:val="21"/>
                <w:highlight w:val="none"/>
                <w:lang w:val="en-US" w:eastAsia="zh-CN" w:bidi="ar"/>
              </w:rPr>
              <w:t>D:0-59</w:t>
            </w:r>
          </w:p>
        </w:tc>
        <w:tc>
          <w:tcPr>
            <w:tcW w:w="2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360" w:lineRule="auto"/>
              <w:ind w:left="0" w:right="0" w:firstLine="0" w:firstLineChars="0"/>
              <w:jc w:val="both"/>
              <w:outlineLvl w:val="9"/>
              <w:rPr>
                <w:rFonts w:hint="eastAsia" w:ascii="宋体" w:hAnsi="宋体" w:eastAsia="宋体" w:cs="宋体"/>
                <w:color w:val="auto"/>
                <w:sz w:val="21"/>
                <w:szCs w:val="21"/>
                <w:highlight w:val="none"/>
              </w:rPr>
            </w:pPr>
          </w:p>
        </w:tc>
      </w:tr>
    </w:tbl>
    <w:p>
      <w:pPr>
        <w:keepNext w:val="0"/>
        <w:keepLines w:val="0"/>
        <w:widowControl/>
        <w:suppressLineNumbers w:val="0"/>
        <w:spacing w:before="0" w:beforeAutospacing="0" w:after="0" w:afterAutospacing="0" w:line="360" w:lineRule="auto"/>
        <w:ind w:left="0" w:right="0" w:firstLine="420" w:firstLineChars="200"/>
        <w:jc w:val="both"/>
        <w:outlineLvl w:val="9"/>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val="en-US" w:eastAsia="zh-CN" w:bidi="ar"/>
        </w:rPr>
        <w:t xml:space="preserve"> </w:t>
      </w:r>
    </w:p>
    <w:p>
      <w:pPr>
        <w:widowControl/>
        <w:numPr>
          <w:ilvl w:val="1"/>
          <w:numId w:val="0"/>
        </w:numPr>
        <w:suppressLineNumbers w:val="0"/>
        <w:spacing w:beforeAutospacing="0" w:afterAutospacing="0" w:line="360" w:lineRule="auto"/>
        <w:ind w:left="0" w:leftChars="0" w:right="0" w:rightChars="0" w:firstLine="0" w:firstLineChars="0"/>
        <w:outlineLvl w:val="9"/>
        <w:rPr>
          <w:rFonts w:hint="default" w:ascii="Times New Roman" w:hAnsi="Times New Roman" w:eastAsia="黑体" w:cs="Times New Roman"/>
          <w:b/>
          <w:bCs/>
          <w:color w:val="auto"/>
          <w:sz w:val="21"/>
          <w:szCs w:val="21"/>
          <w:highlight w:val="none"/>
        </w:rPr>
      </w:pPr>
      <w:bookmarkStart w:id="65" w:name="_Toc180513533"/>
      <w:bookmarkEnd w:id="65"/>
      <w:r>
        <w:rPr>
          <w:rFonts w:hint="eastAsia" w:ascii="宋体" w:hAnsi="宋体" w:eastAsia="宋体" w:cs="宋体"/>
          <w:b/>
          <w:bCs/>
          <w:color w:val="auto"/>
          <w:kern w:val="2"/>
          <w:sz w:val="21"/>
          <w:szCs w:val="21"/>
          <w:lang w:val="en-US" w:eastAsia="zh-CN" w:bidi="ar-SA"/>
        </w:rPr>
        <w:t>3.6</w:t>
      </w:r>
      <w:r>
        <w:rPr>
          <w:rFonts w:hint="eastAsia" w:ascii="黑体" w:hAnsi="宋体" w:eastAsia="黑体" w:cs="黑体"/>
          <w:b/>
          <w:bCs/>
          <w:color w:val="auto"/>
          <w:sz w:val="21"/>
          <w:szCs w:val="21"/>
          <w:highlight w:val="none"/>
        </w:rPr>
        <w:t>其他服务要求</w:t>
      </w:r>
    </w:p>
    <w:p>
      <w:pPr>
        <w:outlineLvl w:val="9"/>
        <w:rPr>
          <w:color w:val="auto"/>
          <w:highlight w:val="none"/>
        </w:rPr>
      </w:pPr>
      <w:r>
        <w:rPr>
          <w:rFonts w:hint="eastAsia" w:ascii="宋体" w:hAnsi="宋体" w:eastAsia="宋体" w:cs="宋体"/>
          <w:color w:val="auto"/>
          <w:kern w:val="0"/>
          <w:sz w:val="21"/>
          <w:szCs w:val="21"/>
          <w:highlight w:val="none"/>
          <w:lang w:val="en-US" w:eastAsia="zh-CN" w:bidi="ar"/>
        </w:rPr>
        <w:t>驻场服务：本项目需提供不少于</w:t>
      </w:r>
      <w:r>
        <w:rPr>
          <w:rFonts w:hint="default" w:ascii="Times New Roman" w:hAnsi="Times New Roman" w:eastAsia="宋体" w:cs="Times New Roman"/>
          <w:color w:val="auto"/>
          <w:kern w:val="0"/>
          <w:sz w:val="21"/>
          <w:szCs w:val="21"/>
          <w:highlight w:val="none"/>
          <w:lang w:val="en-US" w:eastAsia="zh-CN" w:bidi="ar"/>
        </w:rPr>
        <w:t>3</w:t>
      </w:r>
      <w:r>
        <w:rPr>
          <w:rFonts w:hint="eastAsia" w:ascii="宋体" w:hAnsi="宋体" w:eastAsia="宋体" w:cs="宋体"/>
          <w:color w:val="auto"/>
          <w:kern w:val="0"/>
          <w:sz w:val="21"/>
          <w:szCs w:val="21"/>
          <w:highlight w:val="none"/>
          <w:lang w:val="en-US" w:eastAsia="zh-CN" w:bidi="ar"/>
        </w:rPr>
        <w:t>人的服务人员以保证项目运行。</w:t>
      </w:r>
      <w:bookmarkEnd w:id="0"/>
      <w:bookmarkEnd w:id="1"/>
    </w:p>
    <w:bookmarkEnd w:id="2"/>
    <w:bookmarkEnd w:id="3"/>
    <w:bookmarkEnd w:id="4"/>
    <w:bookmarkEnd w:id="5"/>
    <w:bookmarkEnd w:id="6"/>
    <w:bookmarkEnd w:id="7"/>
    <w:bookmarkEnd w:id="8"/>
    <w:p>
      <w:pPr>
        <w:outlineLvl w:val="9"/>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auto"/>
    <w:pitch w:val="default"/>
    <w:sig w:usb0="E00006FF" w:usb1="420024FF" w:usb2="02000000" w:usb3="00000000" w:csb0="2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24" w:lineRule="auto"/>
      </w:pPr>
      <w:r>
        <w:separator/>
      </w:r>
    </w:p>
  </w:footnote>
  <w:footnote w:type="continuationSeparator" w:id="1">
    <w:p>
      <w:pPr>
        <w:spacing w:line="324"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4620052"/>
    <w:multiLevelType w:val="multilevel"/>
    <w:tmpl w:val="84620052"/>
    <w:lvl w:ilvl="0" w:tentative="0">
      <w:start w:val="1"/>
      <w:numFmt w:val="decimal"/>
      <w:lvlText w:val="%1、"/>
      <w:lvlJc w:val="left"/>
      <w:pPr>
        <w:ind w:left="840" w:hanging="360"/>
      </w:pPr>
      <w:rPr>
        <w:rFonts w:hint="default" w:ascii="Times New Roman" w:hAnsi="Times New Roman" w:cs="Times New Roman"/>
      </w:rPr>
    </w:lvl>
    <w:lvl w:ilvl="1" w:tentative="0">
      <w:start w:val="1"/>
      <w:numFmt w:val="lowerLetter"/>
      <w:lvlText w:val="%2)"/>
      <w:lvlJc w:val="left"/>
      <w:pPr>
        <w:ind w:left="1320" w:hanging="420"/>
      </w:pPr>
      <w:rPr>
        <w:rFonts w:hint="default" w:ascii="Times New Roman" w:hAnsi="Times New Roman" w:cs="Times New Roman"/>
      </w:rPr>
    </w:lvl>
    <w:lvl w:ilvl="2" w:tentative="0">
      <w:start w:val="1"/>
      <w:numFmt w:val="lowerRoman"/>
      <w:lvlText w:val="%3."/>
      <w:lvlJc w:val="right"/>
      <w:pPr>
        <w:ind w:left="1740" w:hanging="420"/>
      </w:pPr>
      <w:rPr>
        <w:rFonts w:hint="default" w:ascii="Times New Roman" w:hAnsi="Times New Roman" w:cs="Times New Roman"/>
      </w:rPr>
    </w:lvl>
    <w:lvl w:ilvl="3" w:tentative="0">
      <w:start w:val="1"/>
      <w:numFmt w:val="decimal"/>
      <w:lvlText w:val="%4."/>
      <w:lvlJc w:val="left"/>
      <w:pPr>
        <w:ind w:left="2160" w:hanging="420"/>
      </w:pPr>
      <w:rPr>
        <w:rFonts w:hint="default" w:ascii="Times New Roman" w:hAnsi="Times New Roman" w:cs="Times New Roman"/>
      </w:rPr>
    </w:lvl>
    <w:lvl w:ilvl="4" w:tentative="0">
      <w:start w:val="1"/>
      <w:numFmt w:val="lowerLetter"/>
      <w:lvlText w:val="%5)"/>
      <w:lvlJc w:val="left"/>
      <w:pPr>
        <w:ind w:left="2580" w:hanging="420"/>
      </w:pPr>
      <w:rPr>
        <w:rFonts w:hint="default" w:ascii="Times New Roman" w:hAnsi="Times New Roman" w:cs="Times New Roman"/>
      </w:rPr>
    </w:lvl>
    <w:lvl w:ilvl="5" w:tentative="0">
      <w:start w:val="1"/>
      <w:numFmt w:val="lowerRoman"/>
      <w:lvlText w:val="%6."/>
      <w:lvlJc w:val="right"/>
      <w:pPr>
        <w:ind w:left="3000" w:hanging="420"/>
      </w:pPr>
      <w:rPr>
        <w:rFonts w:hint="default" w:ascii="Times New Roman" w:hAnsi="Times New Roman" w:cs="Times New Roman"/>
      </w:rPr>
    </w:lvl>
    <w:lvl w:ilvl="6" w:tentative="0">
      <w:start w:val="1"/>
      <w:numFmt w:val="decimal"/>
      <w:lvlText w:val="%7."/>
      <w:lvlJc w:val="left"/>
      <w:pPr>
        <w:ind w:left="3420" w:hanging="420"/>
      </w:pPr>
      <w:rPr>
        <w:rFonts w:hint="default" w:ascii="Times New Roman" w:hAnsi="Times New Roman" w:cs="Times New Roman"/>
      </w:rPr>
    </w:lvl>
    <w:lvl w:ilvl="7" w:tentative="0">
      <w:start w:val="1"/>
      <w:numFmt w:val="lowerLetter"/>
      <w:lvlText w:val="%8)"/>
      <w:lvlJc w:val="left"/>
      <w:pPr>
        <w:ind w:left="3840" w:hanging="420"/>
      </w:pPr>
      <w:rPr>
        <w:rFonts w:hint="default" w:ascii="Times New Roman" w:hAnsi="Times New Roman" w:cs="Times New Roman"/>
      </w:rPr>
    </w:lvl>
    <w:lvl w:ilvl="8" w:tentative="0">
      <w:start w:val="1"/>
      <w:numFmt w:val="lowerRoman"/>
      <w:lvlText w:val="%9."/>
      <w:lvlJc w:val="right"/>
      <w:pPr>
        <w:ind w:left="4260" w:hanging="420"/>
      </w:pPr>
      <w:rPr>
        <w:rFonts w:hint="default" w:ascii="Times New Roman" w:hAnsi="Times New Roman"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YxOGFjODY3YjQxNGM1NGYyMDc5YzVmMGFiNGE2N2MifQ=="/>
  </w:docVars>
  <w:rsids>
    <w:rsidRoot w:val="5E815270"/>
    <w:rsid w:val="20E84BE1"/>
    <w:rsid w:val="3DD331AA"/>
    <w:rsid w:val="5E81527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iPriority="0" w:semiHidden="0" w:name="heading 4"/>
    <w:lsdException w:qFormat="1" w:uiPriority="0" w:semiHidden="0" w:name="heading 5"/>
    <w:lsdException w:qFormat="1" w:uiPriority="0" w:semiHidden="0" w:name="heading 6"/>
    <w:lsdException w:qFormat="1" w:uiPriority="0" w:semiHidden="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24" w:lineRule="auto"/>
      <w:jc w:val="both"/>
    </w:pPr>
    <w:rPr>
      <w:rFonts w:ascii="Times New Roman" w:hAnsi="Times New Roman" w:eastAsia="宋体" w:cs="Times New Roman"/>
      <w:kern w:val="2"/>
      <w:sz w:val="21"/>
      <w:szCs w:val="24"/>
      <w:lang w:val="en-US" w:eastAsia="zh-CN" w:bidi="ar-SA"/>
    </w:rPr>
  </w:style>
  <w:style w:type="paragraph" w:styleId="2">
    <w:name w:val="heading 1"/>
    <w:basedOn w:val="1"/>
    <w:next w:val="1"/>
    <w:autoRedefine/>
    <w:qFormat/>
    <w:uiPriority w:val="0"/>
    <w:pPr>
      <w:keepNext/>
      <w:keepLines/>
      <w:pageBreakBefore/>
      <w:widowControl w:val="0"/>
      <w:suppressLineNumbers w:val="0"/>
      <w:spacing w:before="360" w:beforeAutospacing="0" w:after="360" w:afterAutospacing="0" w:line="240" w:lineRule="auto"/>
      <w:ind w:left="0" w:firstLine="0" w:firstLineChars="0"/>
      <w:jc w:val="center"/>
      <w:outlineLvl w:val="0"/>
    </w:pPr>
    <w:rPr>
      <w:rFonts w:hint="default" w:ascii="Times New Roman" w:hAnsi="Times New Roman" w:eastAsia="黑体" w:cs="Times New Roman"/>
      <w:b/>
      <w:bCs/>
      <w:kern w:val="44"/>
      <w:sz w:val="44"/>
      <w:szCs w:val="44"/>
      <w:lang w:val="en-US" w:eastAsia="zh-CN" w:bidi="ar"/>
    </w:rPr>
  </w:style>
  <w:style w:type="paragraph" w:styleId="3">
    <w:name w:val="heading 2"/>
    <w:basedOn w:val="1"/>
    <w:next w:val="1"/>
    <w:semiHidden/>
    <w:unhideWhenUsed/>
    <w:qFormat/>
    <w:uiPriority w:val="0"/>
    <w:pPr>
      <w:keepNext/>
      <w:keepLines/>
      <w:widowControl/>
      <w:kinsoku w:val="0"/>
      <w:autoSpaceDE w:val="0"/>
      <w:autoSpaceDN w:val="0"/>
      <w:adjustRightInd w:val="0"/>
      <w:snapToGrid w:val="0"/>
      <w:spacing w:before="260" w:after="260" w:line="415" w:lineRule="auto"/>
      <w:jc w:val="left"/>
      <w:outlineLvl w:val="1"/>
    </w:pPr>
    <w:rPr>
      <w:rFonts w:ascii="Arial" w:hAnsi="Arial" w:eastAsia="黑体"/>
      <w:b/>
      <w:bCs/>
      <w:color w:val="000000"/>
      <w:kern w:val="0"/>
      <w:sz w:val="32"/>
      <w:szCs w:val="32"/>
    </w:rPr>
  </w:style>
  <w:style w:type="paragraph" w:styleId="4">
    <w:name w:val="heading 3"/>
    <w:basedOn w:val="1"/>
    <w:next w:val="1"/>
    <w:autoRedefine/>
    <w:unhideWhenUsed/>
    <w:qFormat/>
    <w:uiPriority w:val="0"/>
    <w:pPr>
      <w:keepNext/>
      <w:keepLines/>
      <w:widowControl w:val="0"/>
      <w:suppressLineNumbers w:val="0"/>
      <w:spacing w:before="120" w:beforeAutospacing="0" w:after="120" w:afterAutospacing="0" w:line="240" w:lineRule="auto"/>
      <w:ind w:left="0" w:firstLine="0" w:firstLineChars="0"/>
      <w:jc w:val="left"/>
      <w:outlineLvl w:val="2"/>
    </w:pPr>
    <w:rPr>
      <w:rFonts w:hint="default" w:ascii="Times New Roman" w:hAnsi="Times New Roman" w:eastAsia="黑体" w:cs="Times New Roman"/>
      <w:b/>
      <w:bCs/>
      <w:kern w:val="0"/>
      <w:sz w:val="32"/>
      <w:szCs w:val="32"/>
      <w:lang w:val="en-US" w:eastAsia="zh-CN" w:bidi="ar"/>
    </w:rPr>
  </w:style>
  <w:style w:type="paragraph" w:styleId="5">
    <w:name w:val="heading 4"/>
    <w:basedOn w:val="1"/>
    <w:next w:val="1"/>
    <w:autoRedefine/>
    <w:unhideWhenUsed/>
    <w:qFormat/>
    <w:uiPriority w:val="0"/>
    <w:pPr>
      <w:keepNext/>
      <w:keepLines/>
      <w:widowControl w:val="0"/>
      <w:suppressLineNumbers w:val="0"/>
      <w:spacing w:before="120" w:beforeAutospacing="0" w:after="120" w:afterAutospacing="0" w:line="240" w:lineRule="auto"/>
      <w:ind w:left="0" w:firstLine="0" w:firstLineChars="0"/>
      <w:jc w:val="left"/>
      <w:outlineLvl w:val="3"/>
    </w:pPr>
    <w:rPr>
      <w:rFonts w:hint="default" w:ascii="Times New Roman" w:hAnsi="Times New Roman" w:eastAsia="宋体" w:cs="Times New Roman"/>
      <w:b/>
      <w:bCs/>
      <w:kern w:val="0"/>
      <w:sz w:val="28"/>
      <w:szCs w:val="28"/>
      <w:lang w:val="en-US" w:eastAsia="zh-CN" w:bidi="ar"/>
    </w:rPr>
  </w:style>
  <w:style w:type="paragraph" w:styleId="6">
    <w:name w:val="heading 5"/>
    <w:basedOn w:val="1"/>
    <w:next w:val="1"/>
    <w:autoRedefine/>
    <w:unhideWhenUsed/>
    <w:qFormat/>
    <w:uiPriority w:val="0"/>
    <w:pPr>
      <w:keepNext/>
      <w:keepLines/>
      <w:widowControl w:val="0"/>
      <w:suppressLineNumbers w:val="0"/>
      <w:spacing w:before="0" w:beforeAutospacing="1" w:after="0" w:afterAutospacing="1" w:line="240" w:lineRule="auto"/>
      <w:ind w:left="0" w:firstLine="0" w:firstLineChars="0"/>
      <w:jc w:val="left"/>
      <w:outlineLvl w:val="4"/>
    </w:pPr>
    <w:rPr>
      <w:rFonts w:hint="default" w:ascii="Times New Roman" w:hAnsi="Times New Roman" w:eastAsia="宋体" w:cs="Times New Roman"/>
      <w:b/>
      <w:bCs/>
      <w:kern w:val="0"/>
      <w:sz w:val="28"/>
      <w:szCs w:val="28"/>
      <w:lang w:val="en-US" w:eastAsia="zh-CN" w:bidi="ar"/>
    </w:rPr>
  </w:style>
  <w:style w:type="paragraph" w:styleId="7">
    <w:name w:val="heading 6"/>
    <w:basedOn w:val="1"/>
    <w:next w:val="1"/>
    <w:autoRedefine/>
    <w:unhideWhenUsed/>
    <w:qFormat/>
    <w:uiPriority w:val="0"/>
    <w:pPr>
      <w:keepNext/>
      <w:keepLines/>
      <w:widowControl w:val="0"/>
      <w:suppressLineNumbers w:val="0"/>
      <w:spacing w:before="0" w:beforeAutospacing="1" w:after="0" w:afterAutospacing="1" w:line="240" w:lineRule="auto"/>
      <w:ind w:left="0" w:firstLine="0" w:firstLineChars="0"/>
      <w:jc w:val="left"/>
      <w:outlineLvl w:val="5"/>
    </w:pPr>
    <w:rPr>
      <w:rFonts w:hint="default" w:ascii="Times New Roman" w:hAnsi="Times New Roman" w:eastAsia="宋体" w:cs="Times New Roman"/>
      <w:b/>
      <w:bCs/>
      <w:kern w:val="0"/>
      <w:sz w:val="28"/>
      <w:szCs w:val="28"/>
      <w:lang w:val="en-US" w:eastAsia="zh-CN" w:bidi="ar"/>
    </w:rPr>
  </w:style>
  <w:style w:type="paragraph" w:styleId="8">
    <w:name w:val="heading 7"/>
    <w:basedOn w:val="1"/>
    <w:next w:val="1"/>
    <w:autoRedefine/>
    <w:unhideWhenUsed/>
    <w:qFormat/>
    <w:uiPriority w:val="0"/>
    <w:pPr>
      <w:keepNext/>
      <w:keepLines/>
      <w:widowControl w:val="0"/>
      <w:suppressLineNumbers w:val="0"/>
      <w:spacing w:line="240" w:lineRule="auto"/>
      <w:ind w:left="0" w:firstLine="0" w:firstLineChars="0"/>
      <w:jc w:val="both"/>
      <w:outlineLvl w:val="6"/>
    </w:pPr>
    <w:rPr>
      <w:rFonts w:hint="default" w:ascii="Times New Roman" w:hAnsi="Times New Roman" w:eastAsia="宋体" w:cs="Times New Roman"/>
      <w:b/>
      <w:bCs/>
      <w:kern w:val="0"/>
      <w:sz w:val="28"/>
      <w:szCs w:val="28"/>
      <w:lang w:val="en-US" w:eastAsia="zh-CN" w:bidi="ar"/>
    </w:rPr>
  </w:style>
  <w:style w:type="character" w:default="1" w:styleId="11">
    <w:name w:val="Default Paragraph Font"/>
    <w:autoRedefine/>
    <w:semiHidden/>
    <w:qFormat/>
    <w:uiPriority w:val="0"/>
  </w:style>
  <w:style w:type="table" w:default="1" w:styleId="10">
    <w:name w:val="Normal Table"/>
    <w:semiHidden/>
    <w:uiPriority w:val="0"/>
    <w:tblPr>
      <w:tblCellMar>
        <w:top w:w="0" w:type="dxa"/>
        <w:left w:w="108" w:type="dxa"/>
        <w:bottom w:w="0" w:type="dxa"/>
        <w:right w:w="108" w:type="dxa"/>
      </w:tblCellMar>
    </w:tblPr>
  </w:style>
  <w:style w:type="paragraph" w:styleId="9">
    <w:name w:val="caption"/>
    <w:basedOn w:val="1"/>
    <w:next w:val="1"/>
    <w:qFormat/>
    <w:uiPriority w:val="0"/>
    <w:pPr>
      <w:keepNext w:val="0"/>
      <w:keepLines w:val="0"/>
      <w:widowControl w:val="0"/>
      <w:suppressLineNumbers w:val="0"/>
      <w:spacing w:before="0" w:beforeAutospacing="0" w:after="0" w:afterAutospacing="0" w:line="240" w:lineRule="auto"/>
      <w:ind w:left="0" w:right="0" w:firstLine="0" w:firstLineChars="0"/>
      <w:jc w:val="center"/>
    </w:pPr>
    <w:rPr>
      <w:rFonts w:hint="default" w:ascii="Cambria" w:hAnsi="Cambria" w:eastAsia="黑体" w:cs="Times New Roman"/>
      <w:kern w:val="2"/>
      <w:sz w:val="24"/>
      <w:szCs w:val="24"/>
      <w:lang w:val="en-US" w:eastAsia="zh-CN" w:bidi="ar"/>
    </w:rPr>
  </w:style>
  <w:style w:type="paragraph" w:customStyle="1" w:styleId="12">
    <w:name w:val="List Paragraph"/>
    <w:basedOn w:val="1"/>
    <w:autoRedefine/>
    <w:qFormat/>
    <w:uiPriority w:val="0"/>
    <w:pPr>
      <w:spacing w:before="0" w:beforeAutospacing="0" w:after="0" w:afterAutospacing="0" w:line="360" w:lineRule="auto"/>
      <w:ind w:left="0" w:right="0" w:firstLine="420" w:firstLineChars="200"/>
      <w:jc w:val="both"/>
    </w:pPr>
    <w:rPr>
      <w:rFonts w:hint="default" w:ascii="Times New Roman" w:hAnsi="Times New Roman" w:eastAsia="宋体" w:cs="Times New Roman"/>
      <w:kern w:val="0"/>
      <w:sz w:val="24"/>
      <w:szCs w:val="24"/>
      <w:lang w:val="en-US" w:eastAsia="zh-CN" w:bidi="ar"/>
    </w:rPr>
  </w:style>
  <w:style w:type="paragraph" w:customStyle="1" w:styleId="13">
    <w:name w:val="表格(五号)"/>
    <w:basedOn w:val="1"/>
    <w:autoRedefine/>
    <w:qFormat/>
    <w:uiPriority w:val="0"/>
    <w:pPr>
      <w:adjustRightInd w:val="0"/>
      <w:snapToGrid w:val="0"/>
      <w:spacing w:before="0" w:beforeAutospacing="0" w:after="0" w:afterAutospacing="0" w:line="360" w:lineRule="auto"/>
      <w:ind w:left="0" w:right="0" w:firstLine="0" w:firstLineChars="0"/>
      <w:jc w:val="center"/>
    </w:pPr>
    <w:rPr>
      <w:rFonts w:hint="default" w:ascii="Times New Roman" w:hAnsi="Times New Roman" w:eastAsia="宋体" w:cs="Times New Roman"/>
      <w:iCs/>
      <w:color w:val="000000"/>
      <w:kern w:val="2"/>
      <w:sz w:val="21"/>
      <w:szCs w:val="21"/>
      <w:lang w:val="en-US" w:eastAsia="zh-CN" w:bidi="ar"/>
    </w:rPr>
  </w:style>
  <w:style w:type="paragraph" w:customStyle="1" w:styleId="14">
    <w:name w:val="D正文"/>
    <w:basedOn w:val="1"/>
    <w:autoRedefine/>
    <w:qFormat/>
    <w:uiPriority w:val="0"/>
    <w:pPr>
      <w:spacing w:before="0" w:beforeAutospacing="1" w:after="0" w:afterAutospacing="1" w:line="360" w:lineRule="auto"/>
      <w:ind w:firstLine="420" w:firstLineChars="200"/>
      <w:jc w:val="left"/>
    </w:pPr>
    <w:rPr>
      <w:rFonts w:hint="default" w:ascii="Arial" w:hAnsi="Arial" w:eastAsia="宋体" w:cs="Times New Roman"/>
      <w:kern w:val="0"/>
      <w:sz w:val="24"/>
      <w:szCs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1</Lines>
  <Paragraphs>1</Paragraphs>
  <TotalTime>12</TotalTime>
  <ScaleCrop>false</ScaleCrop>
  <LinksUpToDate>false</LinksUpToDate>
  <CharactersWithSpaces>0</CharactersWithSpaces>
  <Application>WPS Office_12.1.0.16417_F1E327BC-269C-435d-A152-05C5408002CA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2024-12-25T07:35:00Z</dcterms:created>
  <dc:creator>李博文</dc:creator>
  <cp:lastModifiedBy>李博文</cp:lastModifiedBy>
  <dcterms:modified xsi:type="dcterms:W3CDTF">2024-12-26T01:52:24Z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ICV">
    <vt:lpwstr>DEC69A7EBC6F45589C8D3CD0606EF782_11</vt:lpwstr>
  </property>
</Properties>
</file>