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EBSD探头采购项目</w:t>
      </w:r>
    </w:p>
    <w:p>
      <w:pPr>
        <w:pStyle w:val="null3"/>
        <w:jc w:val="center"/>
        <w:outlineLvl w:val="2"/>
      </w:pPr>
      <w:r>
        <w:rPr>
          <w:sz w:val="28"/>
          <w:b/>
        </w:rPr>
        <w:t>采购项目编号：</w:t>
      </w:r>
      <w:r>
        <w:rPr>
          <w:sz w:val="28"/>
          <w:b/>
        </w:rPr>
        <w:t>ZMZB2024XBDX-386</w:t>
      </w:r>
      <w:r>
        <w:br/>
      </w:r>
      <w:r>
        <w:br/>
      </w:r>
      <w:r>
        <w:br/>
      </w:r>
    </w:p>
    <w:p>
      <w:pPr>
        <w:pStyle w:val="null3"/>
        <w:jc w:val="center"/>
        <w:outlineLvl w:val="2"/>
      </w:pPr>
      <w:r>
        <w:rPr>
          <w:sz w:val="28"/>
          <w:b/>
        </w:rPr>
        <w:t>西北大学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西北大学</w:t>
      </w:r>
      <w:r>
        <w:rPr/>
        <w:t>委托，拟对</w:t>
      </w:r>
      <w:r>
        <w:rPr/>
        <w:t>EBSD探头采购项目</w:t>
      </w:r>
      <w:r>
        <w:rPr/>
        <w:t>采用竞争性谈判采购方式进行采购，兹邀请供应商参加本项目的竞争性谈判。</w:t>
      </w:r>
    </w:p>
    <w:p>
      <w:pPr>
        <w:pStyle w:val="null3"/>
        <w:outlineLvl w:val="2"/>
      </w:pPr>
      <w:r>
        <w:rPr>
          <w:sz w:val="28"/>
          <w:b/>
        </w:rPr>
        <w:t>一、项目编号：</w:t>
      </w:r>
      <w:r>
        <w:rPr>
          <w:sz w:val="28"/>
          <w:b/>
        </w:rPr>
        <w:t>ZMZB2024XBDX-386</w:t>
      </w:r>
    </w:p>
    <w:p>
      <w:pPr>
        <w:pStyle w:val="null3"/>
        <w:outlineLvl w:val="2"/>
      </w:pPr>
      <w:r>
        <w:rPr>
          <w:sz w:val="28"/>
          <w:b/>
        </w:rPr>
        <w:t>二、项目名称：</w:t>
      </w:r>
      <w:r>
        <w:rPr>
          <w:sz w:val="28"/>
          <w:b/>
        </w:rPr>
        <w:t>EBSD探头采购项目</w:t>
      </w:r>
    </w:p>
    <w:p>
      <w:pPr>
        <w:pStyle w:val="null3"/>
        <w:outlineLvl w:val="2"/>
      </w:pPr>
      <w:r>
        <w:rPr>
          <w:sz w:val="28"/>
          <w:b/>
        </w:rPr>
        <w:t>三、谈判项目简介：</w:t>
      </w:r>
    </w:p>
    <w:p>
      <w:pPr>
        <w:pStyle w:val="null3"/>
        <w:ind w:firstLine="480"/>
      </w:pPr>
      <w:r>
        <w:rPr/>
        <w:t>EBSD探头采购项目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 2023 年度经审计完整的财务审计报告（成立时间至提交响 应文件截止时间不足一年的可提供成立后任意时段的资产负债表），或其开标前三个月内基本账户开户银行出具的资信证明， 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 2024 年 1 月（含 1 月）以来任意一个月的依法缴纳税收的相关凭 据（时间以税款所属日期为准），凭据应有税务机关或代收机关的公章或业务专用章。依法免税或无须缴纳税收的供应商，应提供相应证明文件</w:t>
      </w:r>
    </w:p>
    <w:p>
      <w:pPr>
        <w:pStyle w:val="null3"/>
      </w:pPr>
      <w:r>
        <w:rPr/>
        <w:t>5、社会保障资金缴纳证明：提供 2024 年 1 月（含 1 月）以来至少一个月的社会保障资金缴存单据或社保机构开具的社会保险参保缴费情况证明。依法不需要缴纳社会保障资金的供应商应提供相关文件证明</w:t>
      </w:r>
    </w:p>
    <w:p>
      <w:pPr>
        <w:pStyle w:val="null3"/>
      </w:pPr>
      <w:r>
        <w:rPr/>
        <w:t>6、无重大违法记录声明：参加采购活动前 3 年内在经营活动中没有重大违法记录的书面声明</w:t>
      </w:r>
    </w:p>
    <w:p>
      <w:pPr>
        <w:pStyle w:val="null3"/>
      </w:pPr>
      <w:r>
        <w:rPr/>
        <w:t>7、法定代表人授权书：非法定代表人参加谈判的，须提供法定代表人委托授权书及被授权人身份证，法定代表人参加谈判时,只须提供法定代表人身份证</w:t>
      </w:r>
    </w:p>
    <w:p>
      <w:pPr>
        <w:pStyle w:val="null3"/>
      </w:pPr>
      <w:r>
        <w:rPr/>
        <w:t>8、进口产品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9、本项目不允许联合体投标：非联合体投标声明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88303475</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窦元隆</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采购包1保证金金额：15,600.00元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陕西卓佲项目管理有限公司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根据招标文件要求、投标文件及合同约定执行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EBSD探头采购项目</w:t>
      </w:r>
    </w:p>
    <w:p>
      <w:pPr>
        <w:pStyle w:val="null3"/>
        <w:outlineLvl w:val="2"/>
      </w:pPr>
      <w:r>
        <w:rPr>
          <w:sz w:val="28"/>
          <w:b/>
        </w:rPr>
        <w:t>3.2采购内容</w:t>
      </w:r>
    </w:p>
    <w:p>
      <w:pPr>
        <w:pStyle w:val="null3"/>
      </w:pPr>
      <w:r>
        <w:rPr/>
        <w:t>采购包1：</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EBSD探头</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标的名称：EBSD探头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360"/>
            </w:pPr>
            <w:r>
              <w:rPr>
                <w:rFonts w:ascii="&quot;times new roman&quot;" w:hAnsi="&quot;times new roman&quot;" w:cs="&quot;times new roman&quot;" w:eastAsia="&quot;times new roman&quot;"/>
                <w:sz w:val="21"/>
              </w:rPr>
              <w:t>1.1</w:t>
            </w:r>
            <w:r>
              <w:rPr>
                <w:rFonts w:ascii="宋体" w:hAnsi="宋体" w:cs="宋体" w:eastAsia="宋体"/>
                <w:sz w:val="21"/>
              </w:rPr>
              <w:t>高速低噪音</w:t>
            </w:r>
            <w:r>
              <w:rPr>
                <w:rFonts w:ascii="&quot;times new roman&quot;" w:hAnsi="&quot;times new roman&quot;" w:cs="&quot;times new roman&quot;" w:eastAsia="&quot;times new roman&quot;"/>
                <w:sz w:val="21"/>
              </w:rPr>
              <w:t>CMOS</w:t>
            </w:r>
            <w:r>
              <w:rPr>
                <w:rFonts w:ascii="宋体" w:hAnsi="宋体" w:cs="宋体" w:eastAsia="宋体"/>
                <w:sz w:val="21"/>
              </w:rPr>
              <w:t>相机，分辨率</w:t>
            </w:r>
            <w:r>
              <w:rPr>
                <w:rFonts w:ascii="times new roman, times, serif" w:hAnsi="times new roman, times, serif" w:cs="times new roman, times, serif" w:eastAsia="times new roman, times, serif"/>
                <w:sz w:val="21"/>
              </w:rPr>
              <w:t>1244*1024</w:t>
            </w:r>
            <w:r>
              <w:rPr>
                <w:rFonts w:ascii="宋体" w:hAnsi="宋体" w:cs="宋体" w:eastAsia="宋体"/>
                <w:sz w:val="21"/>
              </w:rPr>
              <w:t>，</w:t>
            </w:r>
            <w:r>
              <w:rPr>
                <w:rFonts w:ascii="宋体" w:hAnsi="宋体" w:cs="宋体" w:eastAsia="宋体"/>
                <w:sz w:val="21"/>
              </w:rPr>
              <w:t>并能够与各主流型号的电镜良好配合</w:t>
            </w:r>
            <w:r>
              <w:rPr>
                <w:rFonts w:ascii="宋体" w:hAnsi="宋体" w:cs="宋体" w:eastAsia="宋体"/>
                <w:sz w:val="21"/>
              </w:rPr>
              <w:t>；</w:t>
            </w:r>
            <w:r>
              <w:rPr>
                <w:rFonts w:ascii="宋体" w:hAnsi="宋体" w:cs="宋体" w:eastAsia="宋体"/>
                <w:sz w:val="21"/>
              </w:rPr>
              <w:t>（提供佐证</w:t>
            </w:r>
            <w:r>
              <w:rPr>
                <w:rFonts w:ascii="宋体" w:hAnsi="宋体" w:cs="宋体" w:eastAsia="宋体"/>
                <w:sz w:val="21"/>
              </w:rPr>
              <w:t>料，佐证材料例如：国家认可的检测机构出具的检测报告、制造商检验报告、产品彩页、官网功能截图等任意一种）</w:t>
            </w:r>
          </w:p>
          <w:p>
            <w:pPr>
              <w:pStyle w:val="null3"/>
              <w:ind w:left="360"/>
            </w:pPr>
            <w:r>
              <w:rPr>
                <w:rFonts w:ascii="&quot;times new roman&quot;" w:hAnsi="&quot;times new roman&quot;" w:cs="&quot;times new roman&quot;" w:eastAsia="&quot;times new roman&quot;"/>
                <w:sz w:val="21"/>
              </w:rPr>
              <w:t>1.2</w:t>
            </w:r>
            <w:r>
              <w:rPr>
                <w:rFonts w:ascii="&quot;times new roman&quot;" w:hAnsi="&quot;times new roman&quot;" w:cs="&quot;times new roman&quot;" w:eastAsia="&quot;times new roman&quot;"/>
                <w:sz w:val="21"/>
              </w:rPr>
              <w:t>EBSD</w:t>
            </w:r>
            <w:r>
              <w:rPr>
                <w:rFonts w:ascii="宋体" w:hAnsi="宋体" w:cs="宋体" w:eastAsia="宋体"/>
                <w:sz w:val="21"/>
              </w:rPr>
              <w:t>在线解析最高标定速度</w:t>
            </w:r>
            <w:r>
              <w:rPr>
                <w:rFonts w:ascii="times new roman, times, serif" w:hAnsi="times new roman, times, serif" w:cs="times new roman, times, serif" w:eastAsia="times new roman, times, serif"/>
                <w:sz w:val="21"/>
              </w:rPr>
              <w:t>600pps</w:t>
            </w:r>
            <w:r>
              <w:rPr>
                <w:rFonts w:ascii="宋体" w:hAnsi="宋体" w:cs="宋体" w:eastAsia="宋体"/>
                <w:sz w:val="21"/>
              </w:rPr>
              <w:t>，，此时花样分辨率仍能保持为</w:t>
            </w:r>
            <w:r>
              <w:rPr>
                <w:rFonts w:ascii="times new roman, times, serif" w:hAnsi="times new roman, times, serif" w:cs="times new roman, times, serif" w:eastAsia="times new roman, times, serif"/>
                <w:sz w:val="21"/>
              </w:rPr>
              <w:t>312*256</w:t>
            </w:r>
            <w:r>
              <w:rPr>
                <w:rFonts w:ascii="宋体" w:hAnsi="宋体" w:cs="宋体" w:eastAsia="宋体"/>
                <w:sz w:val="21"/>
              </w:rPr>
              <w:t>；</w:t>
            </w:r>
            <w:r>
              <w:rPr>
                <w:rFonts w:ascii="宋体" w:hAnsi="宋体" w:cs="宋体" w:eastAsia="宋体"/>
                <w:sz w:val="21"/>
              </w:rPr>
              <w:t>（提供佐证</w:t>
            </w:r>
            <w:r>
              <w:rPr>
                <w:rFonts w:ascii="宋体" w:hAnsi="宋体" w:cs="宋体" w:eastAsia="宋体"/>
                <w:sz w:val="21"/>
              </w:rPr>
              <w:t>料，佐证材料例如：国家认可的检测机构出具的检测报告、制造商检验报告、产品彩页、官网功能截图等任意一种）</w:t>
            </w:r>
          </w:p>
          <w:p>
            <w:pPr>
              <w:pStyle w:val="null3"/>
              <w:ind w:left="360"/>
            </w:pPr>
            <w:r>
              <w:rPr>
                <w:rFonts w:ascii="&quot;times new roman&quot;" w:hAnsi="&quot;times new roman&quot;" w:cs="&quot;times new roman&quot;" w:eastAsia="&quot;times new roman&quot;"/>
                <w:sz w:val="21"/>
              </w:rPr>
              <w:t>1.3</w:t>
            </w:r>
            <w:r>
              <w:rPr>
                <w:rFonts w:ascii="宋体" w:hAnsi="宋体" w:cs="宋体" w:eastAsia="宋体"/>
                <w:sz w:val="21"/>
              </w:rPr>
              <w:t>取向精度高达</w:t>
            </w:r>
            <w:r>
              <w:rPr>
                <w:rFonts w:ascii="&quot;times new roman&quot;" w:hAnsi="&quot;times new roman&quot;" w:cs="&quot;times new roman&quot;" w:eastAsia="&quot;times new roman&quot;"/>
                <w:sz w:val="21"/>
              </w:rPr>
              <w:t>0.05</w:t>
            </w:r>
            <w:r>
              <w:rPr>
                <w:rFonts w:ascii="宋体" w:hAnsi="宋体" w:cs="宋体" w:eastAsia="宋体"/>
                <w:sz w:val="21"/>
              </w:rPr>
              <w:t>度；</w:t>
            </w:r>
            <w:r>
              <w:rPr>
                <w:rFonts w:ascii="宋体" w:hAnsi="宋体" w:cs="宋体" w:eastAsia="宋体"/>
                <w:sz w:val="21"/>
              </w:rPr>
              <w:t>（提供佐证</w:t>
            </w:r>
            <w:r>
              <w:rPr>
                <w:rFonts w:ascii="宋体" w:hAnsi="宋体" w:cs="宋体" w:eastAsia="宋体"/>
                <w:sz w:val="21"/>
              </w:rPr>
              <w:t>料，佐证材料例如：国家认可的检测机构出具的检测报告、制造商检验报告、产品彩页、官网功能截图等任意一种）</w:t>
            </w:r>
          </w:p>
          <w:p>
            <w:pPr>
              <w:pStyle w:val="null3"/>
              <w:ind w:left="360"/>
            </w:pPr>
            <w:r>
              <w:rPr>
                <w:rFonts w:ascii="&quot;times new roman&quot;" w:hAnsi="&quot;times new roman&quot;" w:cs="&quot;times new roman&quot;" w:eastAsia="&quot;times new roman&quot;"/>
                <w:sz w:val="21"/>
              </w:rPr>
              <w:t>1.4</w:t>
            </w:r>
            <w:r>
              <w:rPr>
                <w:rFonts w:ascii="宋体" w:hAnsi="宋体" w:cs="宋体" w:eastAsia="宋体"/>
                <w:sz w:val="21"/>
              </w:rPr>
              <w:t>采用专门定制的光纤传导系统，光通量远大于透镜模组，特别适合弱信号分析；</w:t>
            </w:r>
            <w:r>
              <w:rPr>
                <w:rFonts w:ascii="宋体" w:hAnsi="宋体" w:cs="宋体" w:eastAsia="宋体"/>
                <w:sz w:val="21"/>
              </w:rPr>
              <w:t>（提供佐证</w:t>
            </w:r>
            <w:r>
              <w:rPr>
                <w:rFonts w:ascii="宋体" w:hAnsi="宋体" w:cs="宋体" w:eastAsia="宋体"/>
                <w:sz w:val="21"/>
              </w:rPr>
              <w:t>料，佐证材料例如：国家认可的检测机构出具的检测报告、制造商检验报告、产品彩页、官网功能截图等任意一种）</w:t>
            </w:r>
          </w:p>
          <w:p>
            <w:pPr>
              <w:pStyle w:val="null3"/>
              <w:ind w:left="360"/>
            </w:pPr>
            <w:r>
              <w:rPr>
                <w:rFonts w:ascii="&quot;times new roman&quot;" w:hAnsi="&quot;times new roman&quot;" w:cs="&quot;times new roman&quot;" w:eastAsia="&quot;times new roman&quot;"/>
                <w:sz w:val="21"/>
              </w:rPr>
              <w:t>1.5</w:t>
            </w:r>
            <w:r>
              <w:rPr>
                <w:rFonts w:ascii="宋体" w:hAnsi="宋体" w:cs="宋体" w:eastAsia="宋体"/>
                <w:sz w:val="21"/>
              </w:rPr>
              <w:t>采用主动式防碰撞传感器设计，在碰撞发生前探测器自动预警并后撤，起到保护</w:t>
            </w:r>
            <w:r>
              <w:rPr>
                <w:rFonts w:ascii="&quot;times new roman&quot;" w:hAnsi="&quot;times new roman&quot;" w:cs="&quot;times new roman&quot;" w:eastAsia="&quot;times new roman&quot;"/>
                <w:sz w:val="21"/>
              </w:rPr>
              <w:t>EBSD</w:t>
            </w:r>
            <w:r>
              <w:rPr>
                <w:rFonts w:ascii="宋体" w:hAnsi="宋体" w:cs="宋体" w:eastAsia="宋体"/>
                <w:sz w:val="21"/>
              </w:rPr>
              <w:t>作用；</w:t>
            </w:r>
            <w:r>
              <w:rPr>
                <w:rFonts w:ascii="宋体" w:hAnsi="宋体" w:cs="宋体" w:eastAsia="宋体"/>
                <w:sz w:val="21"/>
              </w:rPr>
              <w:t>（提供佐证</w:t>
            </w:r>
            <w:r>
              <w:rPr>
                <w:rFonts w:ascii="宋体" w:hAnsi="宋体" w:cs="宋体" w:eastAsia="宋体"/>
                <w:sz w:val="21"/>
              </w:rPr>
              <w:t>料，佐证材料例如：国家认可的检测机构出具的检测报告、制造商检验报告、产品彩页、官网功能截图等任意一种）</w:t>
            </w:r>
          </w:p>
          <w:p>
            <w:pPr>
              <w:pStyle w:val="null3"/>
              <w:ind w:left="360"/>
            </w:pPr>
            <w:r>
              <w:rPr>
                <w:rFonts w:ascii="&quot;times new roman&quot;" w:hAnsi="&quot;times new roman&quot;" w:cs="&quot;times new roman&quot;" w:eastAsia="&quot;times new roman&quot;"/>
                <w:sz w:val="21"/>
              </w:rPr>
              <w:t>1.6</w:t>
            </w:r>
            <w:r>
              <w:rPr>
                <w:rFonts w:ascii="宋体" w:hAnsi="宋体" w:cs="宋体" w:eastAsia="宋体"/>
                <w:sz w:val="21"/>
              </w:rPr>
              <w:t>探测器插入退出，最快速度：</w:t>
            </w:r>
            <w:r>
              <w:rPr>
                <w:rFonts w:ascii="&quot;times new roman&quot;" w:hAnsi="&quot;times new roman&quot;" w:cs="&quot;times new roman&quot;" w:eastAsia="&quot;times new roman&quot;"/>
                <w:sz w:val="21"/>
              </w:rPr>
              <w:t>15mm/s</w:t>
            </w:r>
            <w:r>
              <w:rPr>
                <w:rFonts w:ascii="宋体" w:hAnsi="宋体" w:cs="宋体" w:eastAsia="宋体"/>
                <w:sz w:val="21"/>
              </w:rPr>
              <w:t>，精度：优于</w:t>
            </w:r>
            <w:r>
              <w:rPr>
                <w:rFonts w:ascii="times new roman, times, serif" w:hAnsi="times new roman, times, serif" w:cs="times new roman, times, serif" w:eastAsia="times new roman, times, serif"/>
                <w:sz w:val="21"/>
              </w:rPr>
              <w:t>10</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μm</w:t>
            </w:r>
            <w:r>
              <w:rPr>
                <w:rFonts w:ascii="宋体" w:hAnsi="宋体" w:cs="宋体" w:eastAsia="宋体"/>
                <w:sz w:val="21"/>
              </w:rPr>
              <w:t>；</w:t>
            </w:r>
          </w:p>
          <w:p>
            <w:pPr>
              <w:pStyle w:val="null3"/>
              <w:ind w:left="360"/>
            </w:pPr>
            <w:r>
              <w:rPr>
                <w:rFonts w:ascii="&quot;times new roman&quot;" w:hAnsi="&quot;times new roman&quot;" w:cs="&quot;times new roman&quot;" w:eastAsia="&quot;times new roman&quot;"/>
                <w:sz w:val="21"/>
              </w:rPr>
              <w:t>1.7</w:t>
            </w:r>
            <w:r>
              <w:rPr>
                <w:rFonts w:ascii="宋体" w:hAnsi="宋体" w:cs="宋体" w:eastAsia="宋体"/>
                <w:sz w:val="21"/>
              </w:rPr>
              <w:t>软件配置</w:t>
            </w:r>
          </w:p>
          <w:p>
            <w:pPr>
              <w:pStyle w:val="null3"/>
              <w:ind w:left="525"/>
              <w:jc w:val="both"/>
            </w:pPr>
            <w:r>
              <w:rPr>
                <w:rFonts w:ascii="&quot;times new roman&quot;" w:hAnsi="&quot;times new roman&quot;" w:cs="&quot;times new roman&quot;" w:eastAsia="&quot;times new roman&quot;"/>
                <w:sz w:val="21"/>
              </w:rPr>
              <w:t xml:space="preserve">1.7.1 </w:t>
            </w:r>
            <w:r>
              <w:rPr>
                <w:rFonts w:ascii="宋体" w:hAnsi="宋体" w:cs="宋体" w:eastAsia="宋体"/>
                <w:sz w:val="21"/>
              </w:rPr>
              <w:t>操作软件采用多任务设计，可以同时并行数个任务，并支持分屏显示及远程控制</w:t>
            </w:r>
            <w:r>
              <w:rPr>
                <w:rFonts w:ascii="宋体" w:hAnsi="宋体" w:cs="宋体" w:eastAsia="宋体"/>
                <w:sz w:val="21"/>
              </w:rPr>
              <w:t>；</w:t>
            </w:r>
          </w:p>
          <w:p>
            <w:pPr>
              <w:pStyle w:val="null3"/>
              <w:ind w:left="525"/>
              <w:jc w:val="both"/>
            </w:pPr>
            <w:r>
              <w:rPr>
                <w:rFonts w:ascii="&quot;times new roman&quot;" w:hAnsi="&quot;times new roman&quot;" w:cs="&quot;times new roman&quot;" w:eastAsia="&quot;times new roman&quot;"/>
                <w:sz w:val="21"/>
              </w:rPr>
              <w:t xml:space="preserve">1.7.2 </w:t>
            </w:r>
            <w:r>
              <w:rPr>
                <w:rFonts w:ascii="宋体" w:hAnsi="宋体" w:cs="宋体" w:eastAsia="宋体"/>
                <w:sz w:val="21"/>
              </w:rPr>
              <w:t>操作软件完全与能谱仪软件一体化，可根据能谱数据对</w:t>
            </w:r>
            <w:r>
              <w:rPr>
                <w:rFonts w:ascii="times new roman, times, serif" w:hAnsi="times new roman, times, serif" w:cs="times new roman, times, serif" w:eastAsia="times new roman, times, serif"/>
                <w:sz w:val="21"/>
              </w:rPr>
              <w:t>EBSD</w:t>
            </w:r>
            <w:r>
              <w:rPr>
                <w:rFonts w:ascii="宋体" w:hAnsi="宋体" w:cs="宋体" w:eastAsia="宋体"/>
                <w:sz w:val="21"/>
              </w:rPr>
              <w:t>花样进行预过滤，实现对未知相的相鉴定，实现能谱</w:t>
            </w:r>
            <w:r>
              <w:rPr>
                <w:rFonts w:ascii="times new roman, times, serif" w:hAnsi="times new roman, times, serif" w:cs="times new roman, times, serif" w:eastAsia="times new roman, times, serif"/>
                <w:sz w:val="21"/>
              </w:rPr>
              <w:t>EBSD</w:t>
            </w:r>
            <w:r>
              <w:rPr>
                <w:rFonts w:ascii="宋体" w:hAnsi="宋体" w:cs="宋体" w:eastAsia="宋体"/>
                <w:sz w:val="21"/>
              </w:rPr>
              <w:t>同时联机分析且不降速；</w:t>
            </w:r>
          </w:p>
          <w:p>
            <w:pPr>
              <w:pStyle w:val="null3"/>
              <w:ind w:left="525"/>
              <w:jc w:val="both"/>
            </w:pPr>
            <w:r>
              <w:rPr>
                <w:rFonts w:ascii="&quot;times new roman&quot;" w:hAnsi="&quot;times new roman&quot;" w:cs="&quot;times new roman&quot;" w:eastAsia="&quot;times new roman&quot;"/>
                <w:sz w:val="21"/>
              </w:rPr>
              <w:t xml:space="preserve">1.7.3 </w:t>
            </w:r>
            <w:r>
              <w:rPr>
                <w:rFonts w:ascii="宋体" w:hAnsi="宋体" w:cs="宋体" w:eastAsia="宋体"/>
                <w:sz w:val="21"/>
              </w:rPr>
              <w:t>电子图像分辨率高达</w:t>
            </w:r>
            <w:r>
              <w:rPr>
                <w:rFonts w:ascii="times new roman, times, serif" w:hAnsi="times new roman, times, serif" w:cs="times new roman, times, serif" w:eastAsia="times new roman, times, serif"/>
                <w:sz w:val="21"/>
              </w:rPr>
              <w:t>8192*8192</w:t>
            </w:r>
            <w:r>
              <w:rPr>
                <w:rFonts w:ascii="宋体" w:hAnsi="宋体" w:cs="宋体" w:eastAsia="宋体"/>
                <w:sz w:val="21"/>
              </w:rPr>
              <w:t>，</w:t>
            </w:r>
            <w:r>
              <w:rPr>
                <w:rFonts w:ascii="times new roman, times, serif" w:hAnsi="times new roman, times, serif" w:cs="times new roman, times, serif" w:eastAsia="times new roman, times, serif"/>
                <w:sz w:val="21"/>
              </w:rPr>
              <w:t>EBSD</w:t>
            </w:r>
            <w:r>
              <w:rPr>
                <w:rFonts w:ascii="宋体" w:hAnsi="宋体" w:cs="宋体" w:eastAsia="宋体"/>
                <w:sz w:val="21"/>
              </w:rPr>
              <w:t>面分布图分辨率高达</w:t>
            </w:r>
            <w:r>
              <w:rPr>
                <w:rFonts w:ascii="times new roman, times, serif" w:hAnsi="times new roman, times, serif" w:cs="times new roman, times, serif" w:eastAsia="times new roman, times, serif"/>
                <w:sz w:val="21"/>
              </w:rPr>
              <w:t>4096*4096</w:t>
            </w:r>
            <w:r>
              <w:rPr>
                <w:rFonts w:ascii="宋体" w:hAnsi="宋体" w:cs="宋体" w:eastAsia="宋体"/>
                <w:sz w:val="21"/>
              </w:rPr>
              <w:t>；</w:t>
            </w:r>
          </w:p>
          <w:p>
            <w:pPr>
              <w:pStyle w:val="null3"/>
              <w:ind w:left="525"/>
              <w:jc w:val="both"/>
            </w:pPr>
            <w:r>
              <w:rPr>
                <w:rFonts w:ascii="&quot;times new roman&quot;" w:hAnsi="&quot;times new roman&quot;" w:cs="&quot;times new roman&quot;" w:eastAsia="&quot;times new roman&quot;"/>
                <w:sz w:val="21"/>
              </w:rPr>
              <w:t xml:space="preserve">1.7.4 </w:t>
            </w:r>
            <w:r>
              <w:rPr>
                <w:rFonts w:ascii="宋体" w:hAnsi="宋体" w:cs="宋体" w:eastAsia="宋体"/>
                <w:sz w:val="21"/>
              </w:rPr>
              <w:t>动态自动背景扣除技术，探测器参数自动优化。切换样品、更换分析位置、以及</w:t>
            </w:r>
            <w:r>
              <w:rPr>
                <w:rFonts w:ascii="segoe ui symbol" w:hAnsi="segoe ui symbol" w:cs="segoe ui symbol" w:eastAsia="segoe ui symbol"/>
                <w:sz w:val="21"/>
              </w:rPr>
              <w:t>EBSD</w:t>
            </w:r>
            <w:r>
              <w:rPr>
                <w:rFonts w:ascii="宋体" w:hAnsi="宋体" w:cs="宋体" w:eastAsia="宋体"/>
                <w:sz w:val="21"/>
              </w:rPr>
              <w:t>探测器伸缩、倾转后均无需重新扣除动态背景或重新优化；</w:t>
            </w:r>
            <w:r>
              <w:rPr>
                <w:rFonts w:ascii="宋体" w:hAnsi="宋体" w:cs="宋体" w:eastAsia="宋体"/>
                <w:sz w:val="21"/>
              </w:rPr>
              <w:t>（提供佐证</w:t>
            </w:r>
            <w:r>
              <w:rPr>
                <w:rFonts w:ascii="宋体" w:hAnsi="宋体" w:cs="宋体" w:eastAsia="宋体"/>
                <w:sz w:val="21"/>
              </w:rPr>
              <w:t>料，佐证材料例如：国家认可的检测机构出具的检测报告、制造商检验报告、产品彩页、官网功能截图等任意一种）</w:t>
            </w:r>
          </w:p>
          <w:p>
            <w:pPr>
              <w:pStyle w:val="null3"/>
              <w:ind w:left="525"/>
              <w:jc w:val="both"/>
            </w:pPr>
            <w:r>
              <w:rPr>
                <w:rFonts w:ascii="&quot;times new roman&quot;" w:hAnsi="&quot;times new roman&quot;" w:cs="&quot;times new roman&quot;" w:eastAsia="&quot;times new roman&quot;"/>
                <w:sz w:val="21"/>
              </w:rPr>
              <w:t xml:space="preserve">1.7.5 </w:t>
            </w:r>
            <w:r>
              <w:rPr>
                <w:rFonts w:ascii="宋体" w:hAnsi="宋体" w:cs="宋体" w:eastAsia="宋体"/>
                <w:sz w:val="21"/>
              </w:rPr>
              <w:t>能对所有对称性（从三斜到立方）晶体材料的</w:t>
            </w:r>
            <w:r>
              <w:rPr>
                <w:rFonts w:ascii="times new roman, times, serif" w:hAnsi="times new roman, times, serif" w:cs="times new roman, times, serif" w:eastAsia="times new roman, times, serif"/>
                <w:sz w:val="21"/>
              </w:rPr>
              <w:t>EBSP</w:t>
            </w:r>
            <w:r>
              <w:rPr>
                <w:rFonts w:ascii="宋体" w:hAnsi="宋体" w:cs="宋体" w:eastAsia="宋体"/>
                <w:sz w:val="21"/>
              </w:rPr>
              <w:t>花样进行自动化的标定，且各相的反射面可以独立选择，</w:t>
            </w:r>
            <w:r>
              <w:rPr>
                <w:rFonts w:ascii="宋体" w:hAnsi="宋体" w:cs="宋体" w:eastAsia="宋体"/>
                <w:sz w:val="21"/>
              </w:rPr>
              <w:t>可利用</w:t>
            </w:r>
            <w:r>
              <w:rPr>
                <w:rFonts w:ascii="宋体" w:hAnsi="宋体" w:cs="宋体" w:eastAsia="宋体"/>
                <w:sz w:val="21"/>
              </w:rPr>
              <w:t>衍射带边缘</w:t>
            </w:r>
            <w:r>
              <w:rPr>
                <w:rFonts w:ascii="宋体" w:hAnsi="宋体" w:cs="宋体" w:eastAsia="宋体"/>
                <w:sz w:val="21"/>
              </w:rPr>
              <w:t>或</w:t>
            </w:r>
            <w:r>
              <w:rPr>
                <w:rFonts w:ascii="宋体" w:hAnsi="宋体" w:cs="宋体" w:eastAsia="宋体"/>
                <w:sz w:val="21"/>
              </w:rPr>
              <w:t>中间进行</w:t>
            </w:r>
            <w:r>
              <w:rPr>
                <w:rFonts w:ascii="宋体" w:hAnsi="宋体" w:cs="宋体" w:eastAsia="宋体"/>
                <w:sz w:val="21"/>
              </w:rPr>
              <w:t>识别。可识别菊池带宽度以区分晶体结构相似的相。</w:t>
            </w:r>
          </w:p>
          <w:p>
            <w:pPr>
              <w:pStyle w:val="null3"/>
              <w:ind w:left="525"/>
              <w:jc w:val="both"/>
            </w:pPr>
            <w:r>
              <w:rPr>
                <w:rFonts w:ascii="&quot;times new roman&quot;" w:hAnsi="&quot;times new roman&quot;" w:cs="&quot;times new roman&quot;" w:eastAsia="&quot;times new roman&quot;"/>
                <w:sz w:val="21"/>
              </w:rPr>
              <w:t xml:space="preserve">1.7.6 </w:t>
            </w:r>
            <w:r>
              <w:rPr>
                <w:rFonts w:ascii="宋体" w:hAnsi="宋体" w:cs="宋体" w:eastAsia="宋体"/>
                <w:sz w:val="21"/>
              </w:rPr>
              <w:t>配置</w:t>
            </w:r>
            <w:r>
              <w:rPr>
                <w:rFonts w:ascii="times new roman, times, serif" w:hAnsi="times new roman, times, serif" w:cs="times new roman, times, serif" w:eastAsia="times new roman, times, serif"/>
                <w:sz w:val="21"/>
              </w:rPr>
              <w:t>HKL</w:t>
            </w:r>
            <w:r>
              <w:rPr>
                <w:rFonts w:ascii="宋体" w:hAnsi="宋体" w:cs="宋体" w:eastAsia="宋体"/>
                <w:sz w:val="21"/>
              </w:rPr>
              <w:t>及</w:t>
            </w:r>
            <w:r>
              <w:rPr>
                <w:rFonts w:ascii="times new roman, times, serif" w:hAnsi="times new roman, times, serif" w:cs="times new roman, times, serif" w:eastAsia="times new roman, times, serif"/>
                <w:sz w:val="21"/>
              </w:rPr>
              <w:t>ICSD</w:t>
            </w:r>
            <w:r>
              <w:rPr>
                <w:rFonts w:ascii="宋体" w:hAnsi="宋体" w:cs="宋体" w:eastAsia="宋体"/>
                <w:sz w:val="21"/>
              </w:rPr>
              <w:t>海量晶体学数据库，数据容量不小于</w:t>
            </w:r>
            <w:r>
              <w:rPr>
                <w:rFonts w:ascii="times new roman, times, serif" w:hAnsi="times new roman, times, serif" w:cs="times new roman, times, serif" w:eastAsia="times new roman, times, serif"/>
                <w:sz w:val="21"/>
              </w:rPr>
              <w:t>5</w:t>
            </w:r>
            <w:r>
              <w:rPr>
                <w:rFonts w:ascii="宋体" w:hAnsi="宋体" w:cs="宋体" w:eastAsia="宋体"/>
                <w:sz w:val="21"/>
              </w:rPr>
              <w:t>万种；</w:t>
            </w:r>
          </w:p>
          <w:p>
            <w:pPr>
              <w:pStyle w:val="null3"/>
              <w:ind w:left="525"/>
              <w:jc w:val="both"/>
            </w:pPr>
            <w:r>
              <w:rPr>
                <w:rFonts w:ascii="&quot;times new roman&quot;" w:hAnsi="&quot;times new roman&quot;" w:cs="&quot;times new roman&quot;" w:eastAsia="&quot;times new roman&quot;"/>
                <w:sz w:val="21"/>
              </w:rPr>
              <w:t xml:space="preserve">1.7.7 </w:t>
            </w:r>
            <w:r>
              <w:rPr>
                <w:rFonts w:ascii="宋体" w:hAnsi="宋体" w:cs="宋体" w:eastAsia="宋体"/>
                <w:sz w:val="21"/>
              </w:rPr>
              <w:t>采用最优化的</w:t>
            </w:r>
            <w:r>
              <w:rPr>
                <w:rFonts w:ascii="times new roman, times, serif" w:hAnsi="times new roman, times, serif" w:cs="times new roman, times, serif" w:eastAsia="times new roman, times, serif"/>
                <w:sz w:val="21"/>
              </w:rPr>
              <w:t>Hough</w:t>
            </w:r>
            <w:r>
              <w:rPr>
                <w:rFonts w:ascii="宋体" w:hAnsi="宋体" w:cs="宋体" w:eastAsia="宋体"/>
                <w:sz w:val="21"/>
              </w:rPr>
              <w:t>变换，多条带标定方法（最多可以用</w:t>
            </w:r>
            <w:r>
              <w:rPr>
                <w:rFonts w:ascii="times new roman, times, serif" w:hAnsi="times new roman, times, serif" w:cs="times new roman, times, serif" w:eastAsia="times new roman, times, serif"/>
                <w:sz w:val="21"/>
              </w:rPr>
              <w:t>12</w:t>
            </w:r>
            <w:r>
              <w:rPr>
                <w:rFonts w:ascii="宋体" w:hAnsi="宋体" w:cs="宋体" w:eastAsia="宋体"/>
                <w:sz w:val="21"/>
              </w:rPr>
              <w:t>条菊池带进行标定），根据平均角度偏差</w:t>
            </w:r>
            <w:r>
              <w:rPr>
                <w:rFonts w:ascii="times new roman, times, serif" w:hAnsi="times new roman, times, serif" w:cs="times new roman, times, serif" w:eastAsia="times new roman, times, serif"/>
                <w:sz w:val="21"/>
              </w:rPr>
              <w:t>MAD</w:t>
            </w:r>
            <w:r>
              <w:rPr>
                <w:rFonts w:ascii="宋体" w:hAnsi="宋体" w:cs="宋体" w:eastAsia="宋体"/>
                <w:sz w:val="21"/>
              </w:rPr>
              <w:t>等</w:t>
            </w:r>
            <w:r>
              <w:rPr>
                <w:rFonts w:ascii="宋体" w:hAnsi="宋体" w:cs="宋体" w:eastAsia="宋体"/>
                <w:sz w:val="21"/>
              </w:rPr>
              <w:t>进行完全自动化的菊池带识别和花样标定</w:t>
            </w:r>
            <w:r>
              <w:rPr>
                <w:rFonts w:ascii="宋体" w:hAnsi="宋体" w:cs="宋体" w:eastAsia="宋体"/>
                <w:sz w:val="21"/>
              </w:rPr>
              <w:t>；</w:t>
            </w:r>
          </w:p>
          <w:p>
            <w:pPr>
              <w:pStyle w:val="null3"/>
              <w:ind w:left="525"/>
              <w:jc w:val="both"/>
            </w:pPr>
            <w:r>
              <w:rPr>
                <w:rFonts w:ascii="&quot;times new roman&quot;" w:hAnsi="&quot;times new roman&quot;" w:cs="&quot;times new roman&quot;" w:eastAsia="&quot;times new roman&quot;"/>
                <w:sz w:val="21"/>
              </w:rPr>
              <w:t xml:space="preserve">1.7.8 </w:t>
            </w:r>
            <w:r>
              <w:rPr>
                <w:rFonts w:ascii="宋体" w:hAnsi="宋体" w:cs="宋体" w:eastAsia="宋体"/>
                <w:sz w:val="21"/>
              </w:rPr>
              <w:t>配有专用的高精度标定模式，实现更高角度分辨率的标定；</w:t>
            </w:r>
          </w:p>
          <w:p>
            <w:pPr>
              <w:pStyle w:val="null3"/>
              <w:ind w:left="420"/>
              <w:jc w:val="both"/>
            </w:pPr>
            <w:r>
              <w:rPr>
                <w:rFonts w:ascii="&quot;times new roman&quot;" w:hAnsi="&quot;times new roman&quot;" w:cs="&quot;times new roman&quot;" w:eastAsia="&quot;times new roman&quot;"/>
                <w:sz w:val="21"/>
              </w:rPr>
              <w:t xml:space="preserve">1.7.9 </w:t>
            </w:r>
            <w:r>
              <w:rPr>
                <w:rFonts w:ascii="宋体" w:hAnsi="宋体" w:cs="宋体" w:eastAsia="宋体"/>
                <w:sz w:val="21"/>
              </w:rPr>
              <w:t>配有</w:t>
            </w:r>
            <w:r>
              <w:rPr>
                <w:rFonts w:ascii="times new roman, times, serif" w:hAnsi="times new roman, times, serif" w:cs="times new roman, times, serif" w:eastAsia="times new roman, times, serif"/>
                <w:sz w:val="21"/>
              </w:rPr>
              <w:t>64</w:t>
            </w:r>
            <w:r>
              <w:rPr>
                <w:rFonts w:ascii="宋体" w:hAnsi="宋体" w:cs="宋体" w:eastAsia="宋体"/>
                <w:sz w:val="21"/>
              </w:rPr>
              <w:t>位</w:t>
            </w:r>
            <w:r>
              <w:rPr>
                <w:rFonts w:ascii="times new roman, times, serif" w:hAnsi="times new roman, times, serif" w:cs="times new roman, times, serif" w:eastAsia="times new roman, times, serif"/>
                <w:sz w:val="21"/>
              </w:rPr>
              <w:t>EBSD</w:t>
            </w:r>
            <w:r>
              <w:rPr>
                <w:rFonts w:ascii="宋体" w:hAnsi="宋体" w:cs="宋体" w:eastAsia="宋体"/>
                <w:sz w:val="21"/>
              </w:rPr>
              <w:t>数据后处理软件包，和采集软件同一风格，支持</w:t>
            </w:r>
            <w:r>
              <w:rPr>
                <w:rFonts w:ascii="times new roman, times, serif" w:hAnsi="times new roman, times, serif" w:cs="times new roman, times, serif" w:eastAsia="times new roman, times, serif"/>
                <w:sz w:val="21"/>
              </w:rPr>
              <w:t>10</w:t>
            </w:r>
            <w:r>
              <w:rPr>
                <w:rFonts w:ascii="宋体" w:hAnsi="宋体" w:cs="宋体" w:eastAsia="宋体"/>
                <w:sz w:val="21"/>
              </w:rPr>
              <w:t>种语言界面，可处理包含多至</w:t>
            </w:r>
            <w:r>
              <w:rPr>
                <w:rFonts w:ascii="times new roman, times, serif" w:hAnsi="times new roman, times, serif" w:cs="times new roman, times, serif" w:eastAsia="times new roman, times, serif"/>
                <w:sz w:val="21"/>
              </w:rPr>
              <w:t>6400</w:t>
            </w:r>
            <w:r>
              <w:rPr>
                <w:rFonts w:ascii="宋体" w:hAnsi="宋体" w:cs="宋体" w:eastAsia="宋体"/>
                <w:sz w:val="21"/>
              </w:rPr>
              <w:t>万像素的单个文件，包含且不限于如下功能：</w:t>
            </w:r>
          </w:p>
          <w:p>
            <w:pPr>
              <w:pStyle w:val="null3"/>
              <w:ind w:left="420"/>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）数据修饰；（</w:t>
            </w:r>
            <w:r>
              <w:rPr>
                <w:rFonts w:ascii="times new roman, times, serif" w:hAnsi="times new roman, times, serif" w:cs="times new roman, times, serif" w:eastAsia="times new roman, times, serif"/>
                <w:sz w:val="21"/>
              </w:rPr>
              <w:t>2</w:t>
            </w:r>
            <w:r>
              <w:rPr>
                <w:rFonts w:ascii="宋体" w:hAnsi="宋体" w:cs="宋体" w:eastAsia="宋体"/>
                <w:sz w:val="21"/>
              </w:rPr>
              <w:t>）晶粒统计（尺寸、形态等）；</w:t>
            </w:r>
          </w:p>
          <w:p>
            <w:pPr>
              <w:pStyle w:val="null3"/>
              <w:ind w:left="420"/>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）晶界分析（特殊晶界、孪晶、</w:t>
            </w:r>
            <w:r>
              <w:rPr>
                <w:rFonts w:ascii="times new roman, times, serif" w:hAnsi="times new roman, times, serif" w:cs="times new roman, times, serif" w:eastAsia="times new roman, times, serif"/>
                <w:sz w:val="21"/>
              </w:rPr>
              <w:t>CSL</w:t>
            </w:r>
            <w:r>
              <w:rPr>
                <w:rFonts w:ascii="宋体" w:hAnsi="宋体" w:cs="宋体" w:eastAsia="宋体"/>
                <w:sz w:val="21"/>
              </w:rPr>
              <w:t>界面等、相邻及随机取向差曲线及其相似性分析等）；</w:t>
            </w:r>
          </w:p>
          <w:p>
            <w:pPr>
              <w:pStyle w:val="null3"/>
              <w:ind w:left="420"/>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4</w:t>
            </w:r>
            <w:r>
              <w:rPr>
                <w:rFonts w:ascii="宋体" w:hAnsi="宋体" w:cs="宋体" w:eastAsia="宋体"/>
                <w:sz w:val="21"/>
              </w:rPr>
              <w:t>）应变分析（</w:t>
            </w:r>
            <w:r>
              <w:rPr>
                <w:rFonts w:ascii="times new roman, times, serif" w:hAnsi="times new roman, times, serif" w:cs="times new roman, times, serif" w:eastAsia="times new roman, times, serif"/>
                <w:sz w:val="21"/>
              </w:rPr>
              <w:t>KAM</w:t>
            </w:r>
            <w:r>
              <w:rPr>
                <w:rFonts w:ascii="宋体" w:hAnsi="宋体" w:cs="宋体" w:eastAsia="宋体"/>
                <w:sz w:val="21"/>
              </w:rPr>
              <w:t>，</w:t>
            </w:r>
            <w:r>
              <w:rPr>
                <w:rFonts w:ascii="times new roman, times, serif" w:hAnsi="times new roman, times, serif" w:cs="times new roman, times, serif" w:eastAsia="times new roman, times, serif"/>
                <w:sz w:val="21"/>
              </w:rPr>
              <w:t>LAM</w:t>
            </w:r>
            <w:r>
              <w:rPr>
                <w:rFonts w:ascii="宋体" w:hAnsi="宋体" w:cs="宋体" w:eastAsia="宋体"/>
                <w:sz w:val="21"/>
              </w:rPr>
              <w:t>，</w:t>
            </w:r>
            <w:r>
              <w:rPr>
                <w:rFonts w:ascii="times new roman, times, serif" w:hAnsi="times new roman, times, serif" w:cs="times new roman, times, serif" w:eastAsia="times new roman, times, serif"/>
                <w:sz w:val="21"/>
              </w:rPr>
              <w:t>GROD</w:t>
            </w:r>
            <w:r>
              <w:rPr>
                <w:rFonts w:ascii="宋体" w:hAnsi="宋体" w:cs="宋体" w:eastAsia="宋体"/>
                <w:sz w:val="21"/>
              </w:rPr>
              <w:t>，</w:t>
            </w:r>
            <w:r>
              <w:rPr>
                <w:rFonts w:ascii="times new roman, times, serif" w:hAnsi="times new roman, times, serif" w:cs="times new roman, times, serif" w:eastAsia="times new roman, times, serif"/>
                <w:sz w:val="21"/>
              </w:rPr>
              <w:t>GOS</w:t>
            </w:r>
            <w:r>
              <w:rPr>
                <w:rFonts w:ascii="宋体" w:hAnsi="宋体" w:cs="宋体" w:eastAsia="宋体"/>
                <w:sz w:val="21"/>
              </w:rPr>
              <w:t>，</w:t>
            </w:r>
            <w:r>
              <w:rPr>
                <w:rFonts w:ascii="times new roman, times, serif" w:hAnsi="times new roman, times, serif" w:cs="times new roman, times, serif" w:eastAsia="times new roman, times, serif"/>
                <w:sz w:val="21"/>
              </w:rPr>
              <w:t>GND</w:t>
            </w:r>
            <w:r>
              <w:rPr>
                <w:rFonts w:ascii="宋体" w:hAnsi="宋体" w:cs="宋体" w:eastAsia="宋体"/>
                <w:sz w:val="21"/>
              </w:rPr>
              <w:t>等）；</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）极图和反极图；（</w:t>
            </w:r>
            <w:r>
              <w:rPr>
                <w:rFonts w:ascii="times new roman, times, serif" w:hAnsi="times new roman, times, serif" w:cs="times new roman, times, serif" w:eastAsia="times new roman, times, serif"/>
                <w:sz w:val="21"/>
              </w:rPr>
              <w:t>6</w:t>
            </w:r>
            <w:r>
              <w:rPr>
                <w:rFonts w:ascii="宋体" w:hAnsi="宋体" w:cs="宋体" w:eastAsia="宋体"/>
                <w:sz w:val="21"/>
              </w:rPr>
              <w:t>）校准</w:t>
            </w:r>
            <w:r>
              <w:rPr>
                <w:rFonts w:ascii="times new roman, times, serif" w:hAnsi="times new roman, times, serif" w:cs="times new roman, times, serif" w:eastAsia="times new roman, times, serif"/>
                <w:sz w:val="21"/>
              </w:rPr>
              <w:t>EBSD</w:t>
            </w:r>
            <w:r>
              <w:rPr>
                <w:rFonts w:ascii="宋体" w:hAnsi="宋体" w:cs="宋体" w:eastAsia="宋体"/>
                <w:sz w:val="21"/>
              </w:rPr>
              <w:t>分析时由于漂移导致的与电子图像产生的失真；</w:t>
            </w:r>
          </w:p>
          <w:p>
            <w:pPr>
              <w:pStyle w:val="null3"/>
              <w:jc w:val="both"/>
            </w:pPr>
            <w:r>
              <w:rPr>
                <w:rFonts w:ascii="宋体" w:hAnsi="宋体" w:cs="宋体" w:eastAsia="宋体"/>
                <w:sz w:val="24"/>
                <w:b/>
              </w:rPr>
              <w:t>注：以上技术参数不允许负偏离，任意一项负偏离按无效响应处理。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交货时间：合同签订 6 个月交货，15天安装调试到位并交付使用</w:t>
      </w:r>
    </w:p>
    <w:p>
      <w:pPr>
        <w:pStyle w:val="null3"/>
        <w:outlineLvl w:val="3"/>
      </w:pPr>
      <w:r>
        <w:rPr>
          <w:sz w:val="24"/>
          <w:b/>
        </w:rPr>
        <w:t>3.4.2交货地点和方式</w:t>
      </w:r>
    </w:p>
    <w:p>
      <w:pPr>
        <w:pStyle w:val="null3"/>
      </w:pPr>
      <w:r>
        <w:rPr/>
        <w:t>采购包1：</w:t>
      </w:r>
    </w:p>
    <w:p>
      <w:pPr>
        <w:pStyle w:val="null3"/>
      </w:pPr>
      <w:r>
        <w:rPr/>
        <w:t>西北大学化工学院（系）指定地点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合同生效后，乙方开具合同金额等额银行保函，甲方收到银行保函正本后预付合同货款，待货物到达指定地点、安装调试验收合格后，甲方退还银行保函正本。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质保期：自学校验收合格后1年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1.售后服务标准要求： 1.1.经双方签字确认之日起计算，需提供为期一年的免费保修，货物质保期内所有非人为的质量问题由中标单位负责，维修发生的费用由中标单位承担。设备终身提供维修服务，超过质保期后的维修只收零配件成本费。有备品备件库，终身优惠提供本设备的所有备品、备件。 1.2. 货物在使用期间，中标单位接到采购人的维修服务通知后，中标单位以优良的服务态度立即响应投诉，并在2小时内安排技术人员完成与用户沟通提供维修解决方案，解决一般故障；若必要时24至48小时内进驻现场。 3. 中标单位有专门的售后服务人员，建立用户服务挡案，对需方设备进行不定期回访，主动跟综、动态服务，检查设备的运行情况，及时发现问题隐患。 2.售后服务效率要求：即时响应（包括电话响应）；电话响应无法解决时， 48 小时内到达现场。修复时间 8 小时内；如 8 小时内无法修复，应提供相应解决方案。 3、报价要求：3.1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以招标文件的内容和要求作为投标依据； 3.2、进口产品（经专家论证允许采购的情况下）按人民币报价，此报价不受市场价格及外汇汇率波动影响。采购人及招标代理机构不接受任何未办理合法进口手续的非国内生产产品的投标报价。 3.3、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3.4、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 4.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 2023 年度经审计完整的财务审计报告（成立时间至提交响 应文件截止时间不足一年的可提供成立后任意时段的资产负债表），或其开标前三个月内基本账户开户银行出具的资信证明， 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 2024 年 1 月（含 1 月）以来任意一个月的依法缴纳税收的相关凭 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 2024 年 1 月（含 1 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参加采购活动前 3 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非法定代表人参加谈判的，须提供法定代表人委托授权书及被授权人身份证，法定代表人参加谈判时,只须提供法定代表人身份证</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进口产品授权书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本项目不允许联合体投标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标的清单</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商务应答表 供应商认为有必要说明的其他问题</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商务应答表</w:t>
            </w:r>
          </w:p>
        </w:tc>
      </w:tr>
      <w:tr>
        <w:tc>
          <w:tcPr>
            <w:tcW w:type="dxa" w:w="831"/>
          </w:tcPr>
          <w:p>
            <w:pPr>
              <w:pStyle w:val="null3"/>
            </w:pPr>
            <w:r>
              <w:rPr/>
              <w:t>9</w:t>
            </w:r>
          </w:p>
        </w:tc>
        <w:tc>
          <w:tcPr>
            <w:tcW w:type="dxa" w:w="2492"/>
          </w:tcPr>
          <w:p>
            <w:pPr>
              <w:pStyle w:val="null3"/>
            </w:pPr>
            <w:r>
              <w:rPr/>
              <w:t>签署、盖章</w:t>
            </w:r>
          </w:p>
        </w:tc>
        <w:tc>
          <w:tcPr>
            <w:tcW w:type="dxa" w:w="3322"/>
          </w:tcPr>
          <w:p>
            <w:pPr>
              <w:pStyle w:val="null3"/>
            </w:pPr>
            <w:r>
              <w:rPr/>
              <w:t>响应文件的签署、盖章符合文件要求 (合格)，响应文件的签署、盖章不符合文件要求 (不合格)</w:t>
            </w:r>
          </w:p>
        </w:tc>
        <w:tc>
          <w:tcPr>
            <w:tcW w:type="dxa" w:w="1661"/>
          </w:tcPr>
          <w:p>
            <w:pPr>
              <w:pStyle w:val="null3"/>
            </w:pPr>
            <w:r>
              <w:rPr/>
              <w:t>响应文件封面 中小企业声明函 残疾人福利性单位声明函 供应商资格要求 标的清单 报价表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