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84A93">
      <w:pPr>
        <w:jc w:val="right"/>
        <w:rPr>
          <w:rFonts w:hint="eastAsia" w:ascii="宋体" w:hAnsi="宋体" w:eastAsia="宋体" w:cs="宋体"/>
          <w:b/>
          <w:color w:val="auto"/>
          <w:spacing w:val="-20"/>
          <w:sz w:val="32"/>
          <w:szCs w:val="32"/>
          <w:highlight w:val="none"/>
        </w:rPr>
      </w:pPr>
      <w:r>
        <w:rPr>
          <w:rFonts w:hint="eastAsia" w:ascii="宋体" w:hAnsi="宋体" w:eastAsia="宋体" w:cs="宋体"/>
          <w:b/>
          <w:bCs w:val="0"/>
          <w:color w:val="auto"/>
          <w:spacing w:val="-20"/>
          <w:sz w:val="32"/>
          <w:szCs w:val="32"/>
          <w:highlight w:val="none"/>
          <w:lang w:val="en-US" w:eastAsia="zh-CN"/>
        </w:rPr>
        <w:t>合同编号：</w:t>
      </w:r>
    </w:p>
    <w:p w14:paraId="704A64FC">
      <w:pPr>
        <w:rPr>
          <w:rFonts w:hint="eastAsia" w:ascii="宋体" w:hAnsi="宋体" w:eastAsia="宋体" w:cs="宋体"/>
          <w:color w:val="auto"/>
          <w:sz w:val="52"/>
          <w:szCs w:val="52"/>
          <w:highlight w:val="none"/>
        </w:rPr>
      </w:pPr>
    </w:p>
    <w:p w14:paraId="64217858">
      <w:pPr>
        <w:spacing w:line="360" w:lineRule="auto"/>
        <w:jc w:val="center"/>
        <w:rPr>
          <w:rFonts w:hint="eastAsia" w:ascii="宋体" w:hAnsi="宋体" w:eastAsia="宋体" w:cs="宋体"/>
          <w:b/>
          <w:color w:val="auto"/>
          <w:sz w:val="48"/>
          <w:szCs w:val="48"/>
          <w:highlight w:val="none"/>
        </w:rPr>
      </w:pPr>
      <w:bookmarkStart w:id="0" w:name="_GoBack"/>
      <w:r>
        <w:rPr>
          <w:rFonts w:hint="eastAsia" w:ascii="宋体" w:hAnsi="宋体" w:eastAsia="宋体" w:cs="宋体"/>
          <w:b/>
          <w:color w:val="auto"/>
          <w:sz w:val="48"/>
          <w:szCs w:val="48"/>
          <w:highlight w:val="none"/>
          <w:lang w:val="en-US" w:eastAsia="zh-CN"/>
        </w:rPr>
        <w:t>采  购</w:t>
      </w:r>
      <w:r>
        <w:rPr>
          <w:rFonts w:hint="eastAsia" w:ascii="宋体" w:hAnsi="宋体" w:eastAsia="宋体" w:cs="宋体"/>
          <w:b/>
          <w:color w:val="auto"/>
          <w:sz w:val="48"/>
          <w:szCs w:val="48"/>
          <w:highlight w:val="none"/>
        </w:rPr>
        <w:t xml:space="preserve"> 合 同</w:t>
      </w:r>
    </w:p>
    <w:bookmarkEnd w:id="0"/>
    <w:p w14:paraId="2B1244BD">
      <w:pPr>
        <w:spacing w:line="360" w:lineRule="auto"/>
        <w:ind w:firstLine="1767" w:firstLineChars="400"/>
        <w:jc w:val="both"/>
        <w:rPr>
          <w:rFonts w:hint="eastAsia" w:ascii="宋体" w:hAnsi="宋体" w:eastAsia="宋体" w:cs="宋体"/>
          <w:color w:val="auto"/>
          <w:sz w:val="44"/>
          <w:szCs w:val="44"/>
          <w:highlight w:val="none"/>
        </w:rPr>
      </w:pPr>
      <w:r>
        <w:rPr>
          <w:rFonts w:hint="eastAsia" w:ascii="宋体" w:hAnsi="宋体" w:eastAsia="宋体" w:cs="宋体"/>
          <w:b/>
          <w:bCs/>
          <w:color w:val="auto"/>
          <w:sz w:val="44"/>
          <w:szCs w:val="44"/>
          <w:highlight w:val="none"/>
        </w:rPr>
        <w:t>（</w:t>
      </w:r>
      <w:r>
        <w:rPr>
          <w:rFonts w:hint="eastAsia" w:ascii="宋体" w:hAnsi="宋体" w:eastAsia="宋体" w:cs="宋体"/>
          <w:b/>
          <w:bCs/>
          <w:color w:val="auto"/>
          <w:sz w:val="44"/>
          <w:szCs w:val="44"/>
          <w:highlight w:val="none"/>
          <w:lang w:val="en-US" w:eastAsia="zh-CN"/>
        </w:rPr>
        <w:t>项目</w:t>
      </w:r>
      <w:r>
        <w:rPr>
          <w:rFonts w:hint="eastAsia" w:ascii="宋体" w:hAnsi="宋体" w:eastAsia="宋体" w:cs="宋体"/>
          <w:b/>
          <w:bCs/>
          <w:color w:val="auto"/>
          <w:sz w:val="44"/>
          <w:szCs w:val="44"/>
          <w:highlight w:val="none"/>
        </w:rPr>
        <w:t>名称：</w:t>
      </w:r>
      <w:r>
        <w:rPr>
          <w:rFonts w:hint="eastAsia" w:ascii="宋体" w:hAnsi="宋体" w:eastAsia="宋体" w:cs="宋体"/>
          <w:b/>
          <w:bCs/>
          <w:color w:val="auto"/>
          <w:sz w:val="44"/>
          <w:szCs w:val="44"/>
          <w:highlight w:val="none"/>
          <w:lang w:val="en-US" w:eastAsia="zh-CN"/>
        </w:rPr>
        <w:t xml:space="preserve">     </w:t>
      </w:r>
      <w:r>
        <w:rPr>
          <w:rFonts w:hint="eastAsia" w:ascii="宋体" w:hAnsi="宋体" w:eastAsia="宋体" w:cs="宋体"/>
          <w:b/>
          <w:bCs/>
          <w:color w:val="auto"/>
          <w:sz w:val="44"/>
          <w:szCs w:val="44"/>
          <w:highlight w:val="none"/>
        </w:rPr>
        <w:t>）</w:t>
      </w:r>
    </w:p>
    <w:p w14:paraId="366F9AF1">
      <w:pPr>
        <w:spacing w:line="510" w:lineRule="atLeast"/>
        <w:rPr>
          <w:rFonts w:hint="eastAsia" w:ascii="宋体" w:hAnsi="宋体" w:eastAsia="宋体" w:cs="宋体"/>
          <w:b/>
          <w:color w:val="auto"/>
          <w:sz w:val="30"/>
          <w:szCs w:val="30"/>
          <w:highlight w:val="none"/>
        </w:rPr>
      </w:pPr>
    </w:p>
    <w:p w14:paraId="6070278D">
      <w:pPr>
        <w:pStyle w:val="2"/>
        <w:rPr>
          <w:rFonts w:hint="eastAsia" w:ascii="宋体" w:hAnsi="宋体" w:eastAsia="宋体" w:cs="宋体"/>
          <w:b/>
          <w:color w:val="auto"/>
          <w:sz w:val="30"/>
          <w:szCs w:val="30"/>
          <w:highlight w:val="none"/>
        </w:rPr>
      </w:pPr>
    </w:p>
    <w:p w14:paraId="1B212AB6">
      <w:pPr>
        <w:rPr>
          <w:rFonts w:hint="eastAsia" w:ascii="宋体" w:hAnsi="宋体" w:eastAsia="宋体" w:cs="宋体"/>
          <w:color w:val="auto"/>
          <w:highlight w:val="none"/>
        </w:rPr>
      </w:pPr>
    </w:p>
    <w:p w14:paraId="78A5D478">
      <w:pPr>
        <w:pStyle w:val="2"/>
        <w:rPr>
          <w:rFonts w:hint="eastAsia" w:ascii="宋体" w:hAnsi="宋体" w:eastAsia="宋体" w:cs="宋体"/>
          <w:color w:val="auto"/>
          <w:highlight w:val="none"/>
        </w:rPr>
      </w:pPr>
    </w:p>
    <w:p w14:paraId="3B923642">
      <w:pPr>
        <w:spacing w:line="510" w:lineRule="atLeast"/>
        <w:jc w:val="center"/>
        <w:rPr>
          <w:rFonts w:hint="eastAsia" w:ascii="宋体" w:hAnsi="宋体" w:eastAsia="宋体" w:cs="宋体"/>
          <w:b/>
          <w:color w:val="auto"/>
          <w:sz w:val="30"/>
          <w:szCs w:val="30"/>
          <w:highlight w:val="none"/>
        </w:rPr>
      </w:pPr>
    </w:p>
    <w:p w14:paraId="760292C5">
      <w:pPr>
        <w:pStyle w:val="2"/>
        <w:rPr>
          <w:rFonts w:hint="eastAsia" w:ascii="宋体" w:hAnsi="宋体" w:eastAsia="宋体" w:cs="宋体"/>
          <w:b/>
          <w:color w:val="auto"/>
          <w:sz w:val="30"/>
          <w:szCs w:val="30"/>
          <w:highlight w:val="none"/>
        </w:rPr>
      </w:pPr>
    </w:p>
    <w:p w14:paraId="40358D32">
      <w:pPr>
        <w:spacing w:line="510" w:lineRule="atLeast"/>
        <w:jc w:val="both"/>
        <w:rPr>
          <w:rFonts w:hint="eastAsia" w:ascii="宋体" w:hAnsi="宋体" w:eastAsia="宋体" w:cs="宋体"/>
          <w:b/>
          <w:color w:val="auto"/>
          <w:sz w:val="30"/>
          <w:szCs w:val="30"/>
          <w:highlight w:val="none"/>
        </w:rPr>
      </w:pPr>
    </w:p>
    <w:p w14:paraId="3139F151">
      <w:pPr>
        <w:pStyle w:val="2"/>
        <w:rPr>
          <w:rFonts w:hint="eastAsia" w:ascii="宋体" w:hAnsi="宋体" w:eastAsia="宋体" w:cs="宋体"/>
          <w:color w:val="auto"/>
          <w:highlight w:val="none"/>
        </w:rPr>
      </w:pPr>
    </w:p>
    <w:p w14:paraId="316BEAC2">
      <w:pPr>
        <w:spacing w:line="510" w:lineRule="atLeast"/>
        <w:rPr>
          <w:rFonts w:hint="eastAsia" w:ascii="宋体" w:hAnsi="宋体" w:eastAsia="宋体" w:cs="宋体"/>
          <w:b/>
          <w:color w:val="auto"/>
          <w:sz w:val="30"/>
          <w:szCs w:val="30"/>
          <w:highlight w:val="none"/>
        </w:rPr>
      </w:pPr>
    </w:p>
    <w:p w14:paraId="7ABDE620">
      <w:pPr>
        <w:snapToGrid w:val="0"/>
        <w:spacing w:line="360" w:lineRule="auto"/>
        <w:ind w:firstLine="1325" w:firstLineChars="300"/>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rPr>
        <w:t>甲  方：</w:t>
      </w:r>
      <w:r>
        <w:rPr>
          <w:rFonts w:hint="eastAsia" w:ascii="宋体" w:hAnsi="宋体" w:eastAsia="宋体" w:cs="宋体"/>
          <w:b/>
          <w:color w:val="auto"/>
          <w:sz w:val="44"/>
          <w:szCs w:val="44"/>
          <w:highlight w:val="none"/>
          <w:lang w:eastAsia="zh-CN"/>
        </w:rPr>
        <w:t>陕西省人民医院</w:t>
      </w:r>
    </w:p>
    <w:p w14:paraId="3C524683">
      <w:pPr>
        <w:tabs>
          <w:tab w:val="left" w:pos="480"/>
        </w:tabs>
        <w:snapToGrid w:val="0"/>
        <w:spacing w:line="360" w:lineRule="auto"/>
        <w:ind w:firstLine="1325" w:firstLineChars="300"/>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乙  方：</w:t>
      </w:r>
    </w:p>
    <w:p w14:paraId="7C55B998">
      <w:pPr>
        <w:spacing w:line="510" w:lineRule="atLeast"/>
        <w:jc w:val="center"/>
        <w:rPr>
          <w:rFonts w:hint="eastAsia" w:ascii="宋体" w:hAnsi="宋体" w:eastAsia="宋体" w:cs="宋体"/>
          <w:b/>
          <w:color w:val="auto"/>
          <w:sz w:val="30"/>
          <w:szCs w:val="30"/>
          <w:highlight w:val="none"/>
        </w:rPr>
      </w:pPr>
    </w:p>
    <w:p w14:paraId="2E604C5C">
      <w:pPr>
        <w:snapToGrid w:val="0"/>
        <w:spacing w:line="360" w:lineRule="auto"/>
        <w:ind w:firstLine="3092" w:firstLineChars="700"/>
        <w:jc w:val="both"/>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lang w:val="en-US" w:eastAsia="zh-CN"/>
        </w:rPr>
        <w:t xml:space="preserve"> </w:t>
      </w:r>
      <w:r>
        <w:rPr>
          <w:rFonts w:hint="eastAsia" w:ascii="宋体" w:hAnsi="宋体" w:eastAsia="宋体" w:cs="宋体"/>
          <w:b/>
          <w:color w:val="auto"/>
          <w:sz w:val="44"/>
          <w:szCs w:val="44"/>
          <w:highlight w:val="none"/>
        </w:rPr>
        <w:t>年</w:t>
      </w:r>
      <w:r>
        <w:rPr>
          <w:rFonts w:hint="eastAsia" w:ascii="宋体" w:hAnsi="宋体" w:eastAsia="宋体" w:cs="宋体"/>
          <w:b/>
          <w:color w:val="auto"/>
          <w:sz w:val="44"/>
          <w:szCs w:val="44"/>
          <w:highlight w:val="none"/>
          <w:lang w:val="en-US" w:eastAsia="zh-CN"/>
        </w:rPr>
        <w:t xml:space="preserve">   </w:t>
      </w:r>
      <w:r>
        <w:rPr>
          <w:rFonts w:hint="eastAsia" w:ascii="宋体" w:hAnsi="宋体" w:eastAsia="宋体" w:cs="宋体"/>
          <w:b/>
          <w:color w:val="auto"/>
          <w:sz w:val="44"/>
          <w:szCs w:val="44"/>
          <w:highlight w:val="none"/>
        </w:rPr>
        <w:t>月</w:t>
      </w:r>
    </w:p>
    <w:p w14:paraId="25EAE585">
      <w:pPr>
        <w:snapToGrid w:val="0"/>
        <w:spacing w:line="360" w:lineRule="auto"/>
        <w:ind w:firstLine="3092" w:firstLineChars="700"/>
        <w:jc w:val="both"/>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中国  西安</w:t>
      </w:r>
    </w:p>
    <w:p w14:paraId="1C27C2C1">
      <w:pP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p>
    <w:p w14:paraId="0AAE4F39">
      <w:pPr>
        <w:pStyle w:val="3"/>
        <w:numPr>
          <w:ilvl w:val="0"/>
          <w:numId w:val="0"/>
        </w:numPr>
        <w:jc w:val="center"/>
        <w:outlineLvl w:val="0"/>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合同条款及格式</w:t>
      </w:r>
    </w:p>
    <w:p w14:paraId="32647973">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zh-CN"/>
        </w:rPr>
        <w:t>采购人（以下简称甲方）：</w:t>
      </w:r>
      <w:r>
        <w:rPr>
          <w:rFonts w:hint="eastAsia" w:ascii="宋体" w:hAnsi="宋体" w:eastAsia="宋体" w:cs="宋体"/>
          <w:b/>
          <w:bCs/>
          <w:color w:val="auto"/>
          <w:sz w:val="24"/>
          <w:szCs w:val="24"/>
          <w:highlight w:val="none"/>
          <w:u w:val="single"/>
          <w:lang w:val="en-US" w:eastAsia="zh-CN"/>
        </w:rPr>
        <w:t xml:space="preserve">                         </w:t>
      </w:r>
    </w:p>
    <w:p w14:paraId="0CC96727">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
          <w:bCs/>
          <w:color w:val="auto"/>
          <w:sz w:val="24"/>
          <w:szCs w:val="24"/>
          <w:highlight w:val="none"/>
          <w:u w:val="single"/>
          <w:lang w:val="zh-CN"/>
        </w:rPr>
      </w:pPr>
      <w:r>
        <w:rPr>
          <w:rFonts w:hint="eastAsia" w:ascii="宋体" w:hAnsi="宋体" w:eastAsia="宋体" w:cs="宋体"/>
          <w:b/>
          <w:bCs/>
          <w:color w:val="auto"/>
          <w:sz w:val="24"/>
          <w:szCs w:val="24"/>
          <w:highlight w:val="none"/>
          <w:lang w:val="zh-CN"/>
        </w:rPr>
        <w:t>供应商（以下简称乙方）：</w:t>
      </w:r>
      <w:r>
        <w:rPr>
          <w:rFonts w:hint="eastAsia" w:ascii="宋体" w:hAnsi="宋体" w:eastAsia="宋体" w:cs="宋体"/>
          <w:b/>
          <w:bCs/>
          <w:color w:val="auto"/>
          <w:sz w:val="24"/>
          <w:szCs w:val="24"/>
          <w:highlight w:val="none"/>
          <w:u w:val="single"/>
          <w:lang w:val="zh-CN"/>
        </w:rPr>
        <w:t xml:space="preserve">                         </w:t>
      </w:r>
    </w:p>
    <w:p w14:paraId="41874411">
      <w:pPr>
        <w:pStyle w:val="2"/>
        <w:rPr>
          <w:rFonts w:hint="eastAsia" w:ascii="宋体" w:hAnsi="宋体" w:eastAsia="宋体" w:cs="宋体"/>
          <w:lang w:val="en-US" w:eastAsia="zh-CN"/>
        </w:rPr>
      </w:pPr>
    </w:p>
    <w:p w14:paraId="611278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主院区急诊CT维修服务采购项目</w:t>
      </w:r>
      <w:r>
        <w:rPr>
          <w:rFonts w:hint="eastAsia" w:ascii="宋体" w:hAnsi="宋体" w:eastAsia="宋体" w:cs="宋体"/>
          <w:color w:val="auto"/>
          <w:sz w:val="24"/>
          <w:szCs w:val="24"/>
          <w:highlight w:val="none"/>
        </w:rPr>
        <w:t>，按照政府采购程序组织</w:t>
      </w:r>
      <w:r>
        <w:rPr>
          <w:rFonts w:hint="eastAsia" w:ascii="宋体" w:hAnsi="宋体" w:eastAsia="宋体" w:cs="宋体"/>
          <w:color w:val="auto"/>
          <w:sz w:val="24"/>
          <w:szCs w:val="24"/>
          <w:highlight w:val="none"/>
          <w:lang w:val="en-US" w:eastAsia="zh-CN"/>
        </w:rPr>
        <w:t>单一来源采购</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供应商。根据《中</w:t>
      </w:r>
      <w:r>
        <w:rPr>
          <w:rFonts w:hint="eastAsia" w:ascii="宋体" w:hAnsi="宋体" w:eastAsia="宋体" w:cs="宋体"/>
          <w:color w:val="auto"/>
          <w:sz w:val="24"/>
          <w:szCs w:val="24"/>
          <w:highlight w:val="none"/>
          <w:lang w:eastAsia="zh-CN"/>
        </w:rPr>
        <w:t>华</w:t>
      </w:r>
      <w:r>
        <w:rPr>
          <w:rFonts w:hint="eastAsia" w:ascii="宋体" w:hAnsi="宋体" w:eastAsia="宋体" w:cs="宋体"/>
          <w:color w:val="auto"/>
          <w:sz w:val="24"/>
          <w:szCs w:val="24"/>
          <w:highlight w:val="none"/>
        </w:rPr>
        <w:t>人民共和国</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法》《中</w:t>
      </w:r>
      <w:r>
        <w:rPr>
          <w:rFonts w:hint="eastAsia" w:ascii="宋体" w:hAnsi="宋体" w:eastAsia="宋体" w:cs="宋体"/>
          <w:color w:val="auto"/>
          <w:sz w:val="24"/>
          <w:szCs w:val="24"/>
          <w:highlight w:val="none"/>
          <w:lang w:eastAsia="zh-CN"/>
        </w:rPr>
        <w:t>华</w:t>
      </w:r>
      <w:r>
        <w:rPr>
          <w:rFonts w:hint="eastAsia" w:ascii="宋体" w:hAnsi="宋体" w:eastAsia="宋体" w:cs="宋体"/>
          <w:color w:val="auto"/>
          <w:sz w:val="24"/>
          <w:szCs w:val="24"/>
          <w:highlight w:val="none"/>
        </w:rPr>
        <w:t>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》及相关法律法规，甲、乙双方就</w:t>
      </w:r>
      <w:r>
        <w:rPr>
          <w:rFonts w:hint="eastAsia" w:ascii="宋体" w:hAnsi="宋体" w:eastAsia="宋体" w:cs="宋体"/>
          <w:color w:val="auto"/>
          <w:sz w:val="24"/>
          <w:szCs w:val="24"/>
          <w:highlight w:val="none"/>
          <w:u w:val="single"/>
        </w:rPr>
        <w:t>主院区急诊CT维修服务采购项目</w:t>
      </w:r>
      <w:r>
        <w:rPr>
          <w:rFonts w:hint="eastAsia" w:ascii="宋体" w:hAnsi="宋体" w:eastAsia="宋体" w:cs="宋体"/>
          <w:color w:val="auto"/>
          <w:sz w:val="24"/>
          <w:szCs w:val="24"/>
          <w:highlight w:val="none"/>
        </w:rPr>
        <w:t>事宜，经协商一致，</w:t>
      </w:r>
      <w:r>
        <w:rPr>
          <w:rFonts w:hint="eastAsia" w:ascii="宋体" w:hAnsi="宋体" w:eastAsia="宋体" w:cs="宋体"/>
          <w:color w:val="auto"/>
          <w:sz w:val="24"/>
          <w:szCs w:val="24"/>
          <w:highlight w:val="none"/>
          <w:lang w:val="en-US" w:eastAsia="zh-CN"/>
        </w:rPr>
        <w:t>招标代理机构确认，</w:t>
      </w:r>
      <w:r>
        <w:rPr>
          <w:rFonts w:hint="eastAsia" w:ascii="宋体" w:hAnsi="宋体" w:eastAsia="宋体" w:cs="宋体"/>
          <w:color w:val="auto"/>
          <w:sz w:val="24"/>
          <w:szCs w:val="24"/>
          <w:highlight w:val="none"/>
        </w:rPr>
        <w:t>达成如下协议：</w:t>
      </w:r>
    </w:p>
    <w:p w14:paraId="54251EB4">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合同内容</w:t>
      </w:r>
    </w:p>
    <w:p w14:paraId="0CAF6637">
      <w:pPr>
        <w:pStyle w:val="11"/>
        <w:spacing w:line="360" w:lineRule="auto"/>
        <w:ind w:firstLine="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主院区急诊CT维修服务采购项目等，具体内容：</w:t>
      </w:r>
    </w:p>
    <w:tbl>
      <w:tblPr>
        <w:tblStyle w:val="8"/>
        <w:tblW w:w="0" w:type="auto"/>
        <w:tblInd w:w="0" w:type="dxa"/>
        <w:tblLayout w:type="fixed"/>
        <w:tblCellMar>
          <w:top w:w="0" w:type="dxa"/>
          <w:left w:w="28" w:type="dxa"/>
          <w:bottom w:w="0" w:type="dxa"/>
          <w:right w:w="28" w:type="dxa"/>
        </w:tblCellMar>
      </w:tblPr>
      <w:tblGrid>
        <w:gridCol w:w="770"/>
        <w:gridCol w:w="2226"/>
        <w:gridCol w:w="1707"/>
        <w:gridCol w:w="1000"/>
        <w:gridCol w:w="1082"/>
        <w:gridCol w:w="957"/>
        <w:gridCol w:w="999"/>
        <w:gridCol w:w="697"/>
      </w:tblGrid>
      <w:tr w14:paraId="2A6A2088">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0901F6A0">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226" w:type="dxa"/>
            <w:tcBorders>
              <w:top w:val="single" w:color="auto" w:sz="6" w:space="0"/>
              <w:left w:val="single" w:color="auto" w:sz="6" w:space="0"/>
              <w:bottom w:val="single" w:color="auto" w:sz="6" w:space="0"/>
              <w:right w:val="single" w:color="auto" w:sz="6" w:space="0"/>
            </w:tcBorders>
            <w:noWrap w:val="0"/>
            <w:vAlign w:val="center"/>
          </w:tcPr>
          <w:p w14:paraId="5E48C2CD">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707" w:type="dxa"/>
            <w:tcBorders>
              <w:top w:val="single" w:color="auto" w:sz="6" w:space="0"/>
              <w:left w:val="single" w:color="auto" w:sz="6" w:space="0"/>
              <w:bottom w:val="single" w:color="auto" w:sz="6" w:space="0"/>
              <w:right w:val="single" w:color="auto" w:sz="6" w:space="0"/>
            </w:tcBorders>
            <w:noWrap w:val="0"/>
            <w:vAlign w:val="center"/>
          </w:tcPr>
          <w:p w14:paraId="4404A2E1">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c>
          <w:tcPr>
            <w:tcW w:w="1000" w:type="dxa"/>
            <w:tcBorders>
              <w:top w:val="single" w:color="auto" w:sz="6" w:space="0"/>
              <w:left w:val="single" w:color="auto" w:sz="6" w:space="0"/>
              <w:bottom w:val="single" w:color="auto" w:sz="6" w:space="0"/>
              <w:right w:val="single" w:color="auto" w:sz="4" w:space="0"/>
            </w:tcBorders>
            <w:noWrap w:val="0"/>
            <w:vAlign w:val="center"/>
          </w:tcPr>
          <w:p w14:paraId="0D618C27">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082" w:type="dxa"/>
            <w:tcBorders>
              <w:top w:val="single" w:color="auto" w:sz="6" w:space="0"/>
              <w:left w:val="single" w:color="auto" w:sz="4" w:space="0"/>
              <w:bottom w:val="single" w:color="auto" w:sz="6" w:space="0"/>
              <w:right w:val="single" w:color="auto" w:sz="4" w:space="0"/>
            </w:tcBorders>
            <w:noWrap w:val="0"/>
            <w:vAlign w:val="center"/>
          </w:tcPr>
          <w:p w14:paraId="2E58AF18">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957" w:type="dxa"/>
            <w:tcBorders>
              <w:top w:val="single" w:color="auto" w:sz="6" w:space="0"/>
              <w:left w:val="single" w:color="auto" w:sz="4" w:space="0"/>
              <w:bottom w:val="single" w:color="auto" w:sz="6" w:space="0"/>
              <w:right w:val="single" w:color="auto" w:sz="6" w:space="0"/>
            </w:tcBorders>
            <w:noWrap w:val="0"/>
            <w:vAlign w:val="center"/>
          </w:tcPr>
          <w:p w14:paraId="69FC5737">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999" w:type="dxa"/>
            <w:tcBorders>
              <w:top w:val="single" w:color="auto" w:sz="6" w:space="0"/>
              <w:left w:val="single" w:color="auto" w:sz="6" w:space="0"/>
              <w:bottom w:val="single" w:color="auto" w:sz="6" w:space="0"/>
              <w:right w:val="single" w:color="auto" w:sz="4" w:space="0"/>
            </w:tcBorders>
            <w:noWrap w:val="0"/>
            <w:vAlign w:val="center"/>
          </w:tcPr>
          <w:p w14:paraId="5F952639">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w:t>
            </w:r>
          </w:p>
          <w:p w14:paraId="22BA1D35">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（万元）</w:t>
            </w:r>
          </w:p>
        </w:tc>
        <w:tc>
          <w:tcPr>
            <w:tcW w:w="697" w:type="dxa"/>
            <w:tcBorders>
              <w:top w:val="single" w:color="auto" w:sz="6" w:space="0"/>
              <w:left w:val="single" w:color="auto" w:sz="4" w:space="0"/>
              <w:bottom w:val="single" w:color="auto" w:sz="6" w:space="0"/>
              <w:right w:val="single" w:color="auto" w:sz="6" w:space="0"/>
            </w:tcBorders>
            <w:noWrap w:val="0"/>
            <w:vAlign w:val="center"/>
          </w:tcPr>
          <w:p w14:paraId="67C0505C">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59E5D568">
        <w:tblPrEx>
          <w:tblCellMar>
            <w:top w:w="0" w:type="dxa"/>
            <w:left w:w="28" w:type="dxa"/>
            <w:bottom w:w="0" w:type="dxa"/>
            <w:right w:w="28" w:type="dxa"/>
          </w:tblCellMar>
        </w:tblPrEx>
        <w:trPr>
          <w:trHeight w:val="484" w:hRule="atLeast"/>
        </w:trPr>
        <w:tc>
          <w:tcPr>
            <w:tcW w:w="770" w:type="dxa"/>
            <w:tcBorders>
              <w:top w:val="single" w:color="auto" w:sz="6" w:space="0"/>
              <w:left w:val="single" w:color="auto" w:sz="6" w:space="0"/>
              <w:bottom w:val="single" w:color="auto" w:sz="4" w:space="0"/>
            </w:tcBorders>
            <w:noWrap w:val="0"/>
            <w:vAlign w:val="center"/>
          </w:tcPr>
          <w:p w14:paraId="4484E66D">
            <w:pP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p>
        </w:tc>
        <w:tc>
          <w:tcPr>
            <w:tcW w:w="2226" w:type="dxa"/>
            <w:tcBorders>
              <w:top w:val="single" w:color="auto" w:sz="6" w:space="0"/>
              <w:left w:val="single" w:color="auto" w:sz="6" w:space="0"/>
              <w:bottom w:val="single" w:color="auto" w:sz="4" w:space="0"/>
              <w:right w:val="single" w:color="auto" w:sz="6" w:space="0"/>
            </w:tcBorders>
            <w:noWrap w:val="0"/>
            <w:vAlign w:val="center"/>
          </w:tcPr>
          <w:p w14:paraId="47515FA6">
            <w:pPr>
              <w:snapToGrid w:val="0"/>
              <w:spacing w:line="240" w:lineRule="auto"/>
              <w:jc w:val="center"/>
              <w:rPr>
                <w:rFonts w:hint="eastAsia" w:ascii="宋体" w:hAnsi="宋体" w:eastAsia="宋体" w:cs="宋体"/>
                <w:color w:val="auto"/>
                <w:sz w:val="22"/>
                <w:szCs w:val="22"/>
                <w:highlight w:val="none"/>
              </w:rPr>
            </w:pPr>
          </w:p>
        </w:tc>
        <w:tc>
          <w:tcPr>
            <w:tcW w:w="1707" w:type="dxa"/>
            <w:tcBorders>
              <w:top w:val="single" w:color="auto" w:sz="6" w:space="0"/>
              <w:left w:val="single" w:color="auto" w:sz="6" w:space="0"/>
              <w:bottom w:val="single" w:color="auto" w:sz="4" w:space="0"/>
              <w:right w:val="single" w:color="auto" w:sz="6" w:space="0"/>
            </w:tcBorders>
            <w:noWrap w:val="0"/>
            <w:vAlign w:val="center"/>
          </w:tcPr>
          <w:p w14:paraId="50D73300">
            <w:pPr>
              <w:snapToGrid w:val="0"/>
              <w:spacing w:line="240" w:lineRule="auto"/>
              <w:jc w:val="center"/>
              <w:rPr>
                <w:rFonts w:hint="eastAsia" w:ascii="宋体" w:hAnsi="宋体" w:eastAsia="宋体" w:cs="宋体"/>
                <w:color w:val="auto"/>
                <w:sz w:val="22"/>
                <w:szCs w:val="22"/>
                <w:highlight w:val="none"/>
              </w:rPr>
            </w:pPr>
          </w:p>
        </w:tc>
        <w:tc>
          <w:tcPr>
            <w:tcW w:w="1000" w:type="dxa"/>
            <w:tcBorders>
              <w:top w:val="single" w:color="auto" w:sz="6" w:space="0"/>
              <w:left w:val="single" w:color="auto" w:sz="6" w:space="0"/>
              <w:bottom w:val="single" w:color="auto" w:sz="6" w:space="0"/>
              <w:right w:val="single" w:color="auto" w:sz="4" w:space="0"/>
            </w:tcBorders>
            <w:noWrap w:val="0"/>
            <w:vAlign w:val="center"/>
          </w:tcPr>
          <w:p w14:paraId="7310C358">
            <w:pPr>
              <w:snapToGrid w:val="0"/>
              <w:spacing w:line="240" w:lineRule="auto"/>
              <w:jc w:val="center"/>
              <w:rPr>
                <w:rFonts w:hint="eastAsia" w:ascii="宋体" w:hAnsi="宋体" w:eastAsia="宋体" w:cs="宋体"/>
                <w:color w:val="auto"/>
                <w:sz w:val="22"/>
                <w:szCs w:val="22"/>
                <w:highlight w:val="none"/>
                <w:lang w:val="en-US" w:eastAsia="zh-CN"/>
              </w:rPr>
            </w:pPr>
          </w:p>
        </w:tc>
        <w:tc>
          <w:tcPr>
            <w:tcW w:w="1082" w:type="dxa"/>
            <w:tcBorders>
              <w:top w:val="single" w:color="auto" w:sz="6" w:space="0"/>
              <w:left w:val="single" w:color="auto" w:sz="4" w:space="0"/>
              <w:bottom w:val="single" w:color="auto" w:sz="6" w:space="0"/>
              <w:right w:val="single" w:color="auto" w:sz="4" w:space="0"/>
            </w:tcBorders>
            <w:noWrap w:val="0"/>
            <w:vAlign w:val="center"/>
          </w:tcPr>
          <w:p w14:paraId="150D2CB4">
            <w:pPr>
              <w:snapToGrid w:val="0"/>
              <w:spacing w:line="240" w:lineRule="auto"/>
              <w:jc w:val="center"/>
              <w:rPr>
                <w:rFonts w:hint="eastAsia" w:ascii="宋体" w:hAnsi="宋体" w:eastAsia="宋体" w:cs="宋体"/>
                <w:color w:val="auto"/>
                <w:sz w:val="22"/>
                <w:szCs w:val="22"/>
                <w:highlight w:val="none"/>
                <w:lang w:val="en-US" w:eastAsia="zh-CN"/>
              </w:rPr>
            </w:pPr>
          </w:p>
        </w:tc>
        <w:tc>
          <w:tcPr>
            <w:tcW w:w="957" w:type="dxa"/>
            <w:tcBorders>
              <w:top w:val="single" w:color="auto" w:sz="6" w:space="0"/>
              <w:left w:val="single" w:color="auto" w:sz="4" w:space="0"/>
              <w:bottom w:val="single" w:color="auto" w:sz="6" w:space="0"/>
              <w:right w:val="single" w:color="auto" w:sz="6" w:space="0"/>
            </w:tcBorders>
            <w:noWrap w:val="0"/>
            <w:vAlign w:val="center"/>
          </w:tcPr>
          <w:p w14:paraId="412354ED">
            <w:pPr>
              <w:snapToGrid w:val="0"/>
              <w:spacing w:line="240" w:lineRule="auto"/>
              <w:jc w:val="center"/>
              <w:rPr>
                <w:rFonts w:hint="eastAsia" w:ascii="宋体" w:hAnsi="宋体" w:eastAsia="宋体" w:cs="宋体"/>
                <w:color w:val="auto"/>
                <w:sz w:val="22"/>
                <w:szCs w:val="22"/>
                <w:highlight w:val="none"/>
                <w:lang w:val="en-US" w:eastAsia="zh-CN"/>
              </w:rPr>
            </w:pPr>
          </w:p>
        </w:tc>
        <w:tc>
          <w:tcPr>
            <w:tcW w:w="999" w:type="dxa"/>
            <w:tcBorders>
              <w:top w:val="single" w:color="auto" w:sz="6" w:space="0"/>
              <w:left w:val="single" w:color="auto" w:sz="6" w:space="0"/>
              <w:bottom w:val="single" w:color="auto" w:sz="4" w:space="0"/>
              <w:right w:val="single" w:color="auto" w:sz="4" w:space="0"/>
            </w:tcBorders>
            <w:noWrap w:val="0"/>
            <w:vAlign w:val="center"/>
          </w:tcPr>
          <w:p w14:paraId="24A38A25">
            <w:pPr>
              <w:snapToGrid w:val="0"/>
              <w:spacing w:line="240" w:lineRule="auto"/>
              <w:jc w:val="center"/>
              <w:rPr>
                <w:rFonts w:hint="eastAsia" w:ascii="宋体" w:hAnsi="宋体" w:eastAsia="宋体" w:cs="宋体"/>
                <w:color w:val="auto"/>
                <w:sz w:val="22"/>
                <w:szCs w:val="22"/>
                <w:highlight w:val="none"/>
                <w:lang w:val="en-US" w:eastAsia="zh-CN"/>
              </w:rPr>
            </w:pPr>
          </w:p>
        </w:tc>
        <w:tc>
          <w:tcPr>
            <w:tcW w:w="697" w:type="dxa"/>
            <w:tcBorders>
              <w:top w:val="single" w:color="auto" w:sz="6" w:space="0"/>
              <w:left w:val="single" w:color="auto" w:sz="4" w:space="0"/>
              <w:bottom w:val="single" w:color="auto" w:sz="4" w:space="0"/>
              <w:right w:val="single" w:color="auto" w:sz="6" w:space="0"/>
            </w:tcBorders>
            <w:noWrap w:val="0"/>
            <w:vAlign w:val="center"/>
          </w:tcPr>
          <w:p w14:paraId="27CDD429">
            <w:pPr>
              <w:snapToGrid w:val="0"/>
              <w:spacing w:line="240"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无</w:t>
            </w:r>
          </w:p>
        </w:tc>
      </w:tr>
      <w:tr w14:paraId="3E8EDE83">
        <w:tblPrEx>
          <w:tblCellMar>
            <w:top w:w="0" w:type="dxa"/>
            <w:left w:w="28" w:type="dxa"/>
            <w:bottom w:w="0" w:type="dxa"/>
            <w:right w:w="28" w:type="dxa"/>
          </w:tblCellMar>
        </w:tblPrEx>
        <w:trPr>
          <w:trHeight w:val="429" w:hRule="atLeast"/>
        </w:trPr>
        <w:tc>
          <w:tcPr>
            <w:tcW w:w="2996" w:type="dxa"/>
            <w:gridSpan w:val="2"/>
            <w:tcBorders>
              <w:top w:val="single" w:color="auto" w:sz="4" w:space="0"/>
              <w:left w:val="single" w:color="auto" w:sz="6" w:space="0"/>
              <w:bottom w:val="single" w:color="auto" w:sz="4" w:space="0"/>
              <w:right w:val="single" w:color="auto" w:sz="6" w:space="0"/>
            </w:tcBorders>
            <w:noWrap w:val="0"/>
            <w:vAlign w:val="center"/>
          </w:tcPr>
          <w:p w14:paraId="03DE250B">
            <w:pPr>
              <w:snapToGrid w:val="0"/>
              <w:spacing w:before="249" w:beforeLines="50" w:line="360"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合  计</w:t>
            </w:r>
          </w:p>
        </w:tc>
        <w:tc>
          <w:tcPr>
            <w:tcW w:w="6442" w:type="dxa"/>
            <w:gridSpan w:val="6"/>
            <w:tcBorders>
              <w:top w:val="single" w:color="auto" w:sz="4" w:space="0"/>
              <w:left w:val="single" w:color="auto" w:sz="6" w:space="0"/>
              <w:bottom w:val="single" w:color="auto" w:sz="4" w:space="0"/>
              <w:right w:val="single" w:color="auto" w:sz="4" w:space="0"/>
            </w:tcBorders>
            <w:noWrap w:val="0"/>
            <w:vAlign w:val="center"/>
          </w:tcPr>
          <w:p w14:paraId="74EE800F">
            <w:pPr>
              <w:snapToGrid w:val="0"/>
              <w:spacing w:before="249" w:beforeLines="50" w:line="360" w:lineRule="auto"/>
              <w:rPr>
                <w:rFonts w:hint="eastAsia" w:ascii="宋体" w:hAnsi="宋体" w:eastAsia="宋体" w:cs="宋体"/>
                <w:b/>
                <w:color w:val="auto"/>
                <w:sz w:val="22"/>
                <w:szCs w:val="22"/>
                <w:highlight w:val="none"/>
                <w:u w:val="none"/>
                <w:lang w:val="en-US" w:eastAsia="zh-CN"/>
              </w:rPr>
            </w:pP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b/>
                <w:color w:val="auto"/>
                <w:sz w:val="22"/>
                <w:szCs w:val="22"/>
                <w:highlight w:val="none"/>
                <w:u w:val="none"/>
                <w:lang w:val="en-US" w:eastAsia="zh-CN"/>
              </w:rPr>
              <w:t xml:space="preserve">    </w:t>
            </w:r>
          </w:p>
        </w:tc>
      </w:tr>
    </w:tbl>
    <w:p w14:paraId="73AE7699">
      <w:pPr>
        <w:pStyle w:val="11"/>
        <w:spacing w:line="360" w:lineRule="auto"/>
        <w:ind w:left="0" w:leftChars="0" w:firstLine="0" w:firstLineChars="0"/>
        <w:jc w:val="left"/>
        <w:rPr>
          <w:rFonts w:hint="eastAsia" w:ascii="宋体" w:hAnsi="宋体" w:eastAsia="宋体" w:cs="宋体"/>
          <w:color w:val="auto"/>
          <w:kern w:val="2"/>
          <w:sz w:val="24"/>
          <w:szCs w:val="24"/>
          <w:highlight w:val="none"/>
          <w:lang w:val="en-US" w:eastAsia="zh-CN" w:bidi="ar-SA"/>
        </w:rPr>
      </w:pPr>
    </w:p>
    <w:p w14:paraId="45847499">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合同组成</w:t>
      </w:r>
    </w:p>
    <w:p w14:paraId="4DA53423">
      <w:pPr>
        <w:numPr>
          <w:ilvl w:val="0"/>
          <w:numId w:val="2"/>
        </w:numPr>
        <w:tabs>
          <w:tab w:val="left" w:pos="735"/>
        </w:tabs>
        <w:adjustRightInd w:val="0"/>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下述文件是构成本合同不可分割的部分:</w:t>
      </w:r>
    </w:p>
    <w:p w14:paraId="0FB14334">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本合同条款及其所有附件。</w:t>
      </w:r>
    </w:p>
    <w:p w14:paraId="6DD290C2">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甲方的</w:t>
      </w:r>
      <w:r>
        <w:rPr>
          <w:rFonts w:hint="eastAsia" w:ascii="宋体" w:hAnsi="宋体" w:eastAsia="宋体" w:cs="宋体"/>
          <w:color w:val="auto"/>
          <w:sz w:val="24"/>
          <w:szCs w:val="24"/>
          <w:highlight w:val="none"/>
          <w:lang w:val="en-US" w:eastAsia="zh-CN"/>
        </w:rPr>
        <w:t>单一来源谈判文件</w:t>
      </w:r>
      <w:r>
        <w:rPr>
          <w:rFonts w:hint="eastAsia" w:ascii="宋体" w:hAnsi="宋体" w:eastAsia="宋体" w:cs="宋体"/>
          <w:color w:val="auto"/>
          <w:sz w:val="24"/>
          <w:szCs w:val="24"/>
          <w:highlight w:val="none"/>
        </w:rPr>
        <w:t>及澄清文件。</w:t>
      </w:r>
    </w:p>
    <w:p w14:paraId="0374E8A0">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乙方的</w:t>
      </w:r>
      <w:r>
        <w:rPr>
          <w:rFonts w:hint="eastAsia" w:ascii="宋体" w:hAnsi="宋体" w:eastAsia="宋体" w:cs="宋体"/>
          <w:color w:val="auto"/>
          <w:sz w:val="24"/>
          <w:szCs w:val="24"/>
          <w:highlight w:val="none"/>
          <w:lang w:val="en-US" w:eastAsia="zh-CN"/>
        </w:rPr>
        <w:t>谈判响应文件</w:t>
      </w:r>
      <w:r>
        <w:rPr>
          <w:rFonts w:hint="eastAsia" w:ascii="宋体" w:hAnsi="宋体" w:eastAsia="宋体" w:cs="宋体"/>
          <w:color w:val="auto"/>
          <w:sz w:val="24"/>
          <w:szCs w:val="24"/>
          <w:highlight w:val="none"/>
        </w:rPr>
        <w:t>及质疑解答文件。</w:t>
      </w:r>
    </w:p>
    <w:p w14:paraId="4D86D7C0">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3CE30B83">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双方与合同有关的往来信函、传真经双方法定代表人或其授权代表签字并加盖单位公章确认后视为本合同的组成部分。</w:t>
      </w:r>
    </w:p>
    <w:p w14:paraId="5C0A5640">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经双方法定代表人或其授权代表签字并加盖单位公章确认的补充协议。</w:t>
      </w:r>
    </w:p>
    <w:p w14:paraId="42707891">
      <w:pPr>
        <w:numPr>
          <w:ilvl w:val="0"/>
          <w:numId w:val="2"/>
        </w:numPr>
        <w:tabs>
          <w:tab w:val="left" w:pos="735"/>
        </w:tabs>
        <w:adjustRightInd w:val="0"/>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及质疑解答文件内容违背或低于甲方</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要求或任何可能导致影响当次采购目的的情形，均应当被视为乙方自动放弃</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及质疑解答文件中相应部分而同意以</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相应内容为准。如果乙方的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及质疑解答文件内容高于甲方</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要求，则以乙方的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及质疑解答文件内容为准。如果合同条款与合同附件有矛盾之处，以合同条款内容为准。如果合同附件之间有矛盾之处，以有利于甲方的附件内容为准。</w:t>
      </w:r>
    </w:p>
    <w:p w14:paraId="5D9B65DA">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合同价款</w:t>
      </w:r>
    </w:p>
    <w:p w14:paraId="518DE986">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合同总价款为人民币（大写）</w:t>
      </w: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color w:val="auto"/>
          <w:sz w:val="24"/>
          <w:szCs w:val="24"/>
          <w:highlight w:val="none"/>
        </w:rPr>
        <w:t>。</w:t>
      </w:r>
    </w:p>
    <w:p w14:paraId="22ABA52D">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合同总价包括：货物费、运输费（含保险费）、安装调试费、检测验收费、培训费及其它费用。</w:t>
      </w:r>
    </w:p>
    <w:p w14:paraId="5CBE4118">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合同总价一次性包死，不受市场价格变化因素的影响。</w:t>
      </w:r>
    </w:p>
    <w:p w14:paraId="2507DD12">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甲方不再另付任何费用。</w:t>
      </w:r>
    </w:p>
    <w:p w14:paraId="7CB9DB9A">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合同结算</w:t>
      </w:r>
    </w:p>
    <w:p w14:paraId="34661D69">
      <w:pPr>
        <w:pStyle w:val="7"/>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420" w:firstLineChars="0"/>
        <w:rPr>
          <w:rFonts w:hint="eastAsia" w:ascii="宋体" w:hAnsi="宋体" w:eastAsia="宋体" w:cs="宋体"/>
          <w:bCs/>
          <w:color w:val="auto"/>
          <w:sz w:val="24"/>
          <w:szCs w:val="24"/>
          <w:highlight w:val="none"/>
        </w:rPr>
      </w:pPr>
      <w:r>
        <w:rPr>
          <w:rFonts w:hint="eastAsia" w:ascii="宋体" w:hAnsi="宋体" w:eastAsia="宋体" w:cs="宋体"/>
          <w:color w:val="auto"/>
          <w:kern w:val="2"/>
          <w:sz w:val="24"/>
          <w:szCs w:val="24"/>
          <w:highlight w:val="none"/>
          <w:lang w:val="en-US" w:eastAsia="zh-CN" w:bidi="ar-SA"/>
        </w:rPr>
        <w:t>合同签订后，</w:t>
      </w:r>
      <w:r>
        <w:rPr>
          <w:rFonts w:hint="eastAsia" w:ascii="宋体" w:hAnsi="宋体" w:eastAsia="宋体" w:cs="宋体"/>
          <w:bCs/>
          <w:color w:val="auto"/>
          <w:sz w:val="24"/>
          <w:szCs w:val="24"/>
          <w:highlight w:val="none"/>
          <w:lang w:val="en-US" w:eastAsia="zh-CN"/>
        </w:rPr>
        <w:t>合同签订后，安装且验收后支付合同总金额的100%。即</w:t>
      </w: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bCs/>
          <w:color w:val="auto"/>
          <w:sz w:val="24"/>
          <w:szCs w:val="24"/>
          <w:highlight w:val="none"/>
          <w:lang w:val="en-US" w:eastAsia="zh-CN"/>
        </w:rPr>
        <w:t>。</w:t>
      </w:r>
    </w:p>
    <w:p w14:paraId="17E9F271">
      <w:pPr>
        <w:keepNext w:val="0"/>
        <w:keepLines w:val="0"/>
        <w:pageBreakBefore w:val="0"/>
        <w:numPr>
          <w:ilvl w:val="0"/>
          <w:numId w:val="5"/>
        </w:numPr>
        <w:tabs>
          <w:tab w:val="left" w:pos="480"/>
        </w:tabs>
        <w:kinsoku/>
        <w:wordWrap/>
        <w:overflowPunct/>
        <w:topLinePunct w:val="0"/>
        <w:bidi w:val="0"/>
        <w:adjustRightInd/>
        <w:snapToGrid w:val="0"/>
        <w:spacing w:line="360" w:lineRule="auto"/>
        <w:ind w:left="0" w:leftChars="0" w:right="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支付方式：银行转帐。</w:t>
      </w:r>
    </w:p>
    <w:p w14:paraId="160963FD">
      <w:pPr>
        <w:keepNext w:val="0"/>
        <w:keepLines w:val="0"/>
        <w:pageBreakBefore w:val="0"/>
        <w:numPr>
          <w:ilvl w:val="0"/>
          <w:numId w:val="5"/>
        </w:numPr>
        <w:tabs>
          <w:tab w:val="left" w:pos="480"/>
        </w:tabs>
        <w:kinsoku/>
        <w:wordWrap/>
        <w:overflowPunct/>
        <w:topLinePunct w:val="0"/>
        <w:bidi w:val="0"/>
        <w:adjustRightInd/>
        <w:snapToGrid w:val="0"/>
        <w:spacing w:line="360" w:lineRule="auto"/>
        <w:ind w:left="0" w:leftChars="0" w:right="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结算方式：付款时，乙方将发票（按合同总价直开甲方）、持</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通知书、合同、发票及发票复印件、甲、乙双方设备验收单，与甲方办理资金结算。</w:t>
      </w:r>
    </w:p>
    <w:p w14:paraId="62F6B0FC">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服务地点及交货期</w:t>
      </w:r>
    </w:p>
    <w:p w14:paraId="1DE44A85">
      <w:pPr>
        <w:numPr>
          <w:ilvl w:val="0"/>
          <w:numId w:val="6"/>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服务地点：采购人指定地点。</w:t>
      </w:r>
    </w:p>
    <w:p w14:paraId="46F7592A">
      <w:pPr>
        <w:numPr>
          <w:ilvl w:val="0"/>
          <w:numId w:val="6"/>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交货期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4972E132">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双方的权利和义务</w:t>
      </w:r>
    </w:p>
    <w:p w14:paraId="7447D56E">
      <w:pPr>
        <w:numPr>
          <w:ilvl w:val="0"/>
          <w:numId w:val="7"/>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甲方的权利和义务</w:t>
      </w:r>
    </w:p>
    <w:p w14:paraId="61300F1B">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甲方权利：组织使用单位严格按照</w:t>
      </w:r>
      <w:r>
        <w:rPr>
          <w:rFonts w:hint="eastAsia" w:ascii="宋体" w:hAnsi="宋体" w:eastAsia="宋体" w:cs="宋体"/>
          <w:color w:val="auto"/>
          <w:sz w:val="24"/>
          <w:szCs w:val="24"/>
          <w:highlight w:val="none"/>
          <w:lang w:eastAsia="zh-CN"/>
        </w:rPr>
        <w:t>谈判文件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文件要求和标准验收货物。</w:t>
      </w:r>
    </w:p>
    <w:p w14:paraId="65F3A961">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甲方义务：积极配合乙方验收、安装、调试工作。</w:t>
      </w:r>
    </w:p>
    <w:p w14:paraId="2087FD4B">
      <w:pPr>
        <w:numPr>
          <w:ilvl w:val="0"/>
          <w:numId w:val="7"/>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乙方的权利和义务</w:t>
      </w:r>
    </w:p>
    <w:p w14:paraId="19FA3B92">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乙方权利：按照合同约定要求甲方及时付款。</w:t>
      </w:r>
    </w:p>
    <w:p w14:paraId="5EF4405F">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乙方义务：按照合同约定时间，按甲方指定地点提供货物，配合验收工作，并负责安装、调试、提供现场技术培训，保证使用人员正常操作设备的各种功能。</w:t>
      </w:r>
    </w:p>
    <w:p w14:paraId="0FDCD11D">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质量保证及索赔</w:t>
      </w:r>
    </w:p>
    <w:p w14:paraId="42DD4334">
      <w:pPr>
        <w:numPr>
          <w:ilvl w:val="0"/>
          <w:numId w:val="0"/>
        </w:numPr>
        <w:tabs>
          <w:tab w:val="left" w:pos="480"/>
        </w:tabs>
        <w:snapToGrid w:val="0"/>
        <w:spacing w:line="360" w:lineRule="auto"/>
        <w:ind w:left="420"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必须执行下列条款：</w:t>
      </w:r>
    </w:p>
    <w:p w14:paraId="473ABBE5">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保证技术指标先进、质量性能可靠、进货渠道正常，配置合理，全面满足谈判要求。货物的质量技术标准按国家法律法规规定的标准，</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和乙方</w:t>
      </w:r>
      <w:r>
        <w:rPr>
          <w:rFonts w:hint="eastAsia" w:ascii="宋体" w:hAnsi="宋体" w:eastAsia="宋体" w:cs="宋体"/>
          <w:color w:val="auto"/>
          <w:sz w:val="24"/>
          <w:szCs w:val="24"/>
          <w:highlight w:val="none"/>
          <w:lang w:eastAsia="zh-CN"/>
        </w:rPr>
        <w:t>竞争性谈判响应文件</w:t>
      </w:r>
      <w:r>
        <w:rPr>
          <w:rFonts w:hint="eastAsia" w:ascii="宋体" w:hAnsi="宋体" w:eastAsia="宋体" w:cs="宋体"/>
          <w:color w:val="auto"/>
          <w:sz w:val="24"/>
          <w:szCs w:val="24"/>
          <w:highlight w:val="none"/>
        </w:rPr>
        <w:t>所需求的技术标准执行。进口产品保证是原产地生产的原装产品，否则按退货处理。</w:t>
      </w:r>
    </w:p>
    <w:p w14:paraId="281304F4">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应提供设备的技术白皮书，投标响应及参数数据应和设备的技术白皮书一致，在验收时发现不一致，合同自动终止，并追究其相应的法律责任。</w:t>
      </w:r>
    </w:p>
    <w:p w14:paraId="4F48FED2">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符合国家有关规范要求，确保达到最佳运行状态。</w:t>
      </w:r>
    </w:p>
    <w:p w14:paraId="6D0CDEAF">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具有良好的外观，适合安装场所的使用。</w:t>
      </w:r>
    </w:p>
    <w:p w14:paraId="0FB90BCB">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质保期</w:t>
      </w:r>
      <w:r>
        <w:rPr>
          <w:rFonts w:hint="eastAsia" w:ascii="宋体" w:hAnsi="宋体" w:eastAsia="宋体" w:cs="宋体"/>
          <w:color w:val="auto"/>
          <w:sz w:val="24"/>
          <w:szCs w:val="24"/>
          <w:highlight w:val="none"/>
        </w:rPr>
        <w:t>自安装、调试正常运行并验收合格之日起：不少于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w:t>
      </w:r>
    </w:p>
    <w:p w14:paraId="356FD313">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不得对设备设置密码，否则承担发生的所有损失。</w:t>
      </w:r>
    </w:p>
    <w:p w14:paraId="11519207">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48783EB8">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在质保期内，如果货物的质量、规格、技术指标等与合同有任何一项不符，甲方应尽快以书面形式向乙方提出索赔。</w:t>
      </w:r>
    </w:p>
    <w:p w14:paraId="44DA1624">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售后服务</w:t>
      </w:r>
    </w:p>
    <w:p w14:paraId="438114CD">
      <w:pPr>
        <w:snapToGrid w:val="0"/>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乙方所供货物提供以下售后服务：</w:t>
      </w:r>
    </w:p>
    <w:p w14:paraId="28D086AA">
      <w:pPr>
        <w:tabs>
          <w:tab w:val="left" w:pos="480"/>
        </w:tabs>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质保期内：</w:t>
      </w:r>
    </w:p>
    <w:p w14:paraId="02A4CC9B">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发生质量问题，接到甲方通知后，应于当日派出专业的维修人员到现场进行检测维修，</w:t>
      </w:r>
      <w:r>
        <w:rPr>
          <w:rFonts w:hint="eastAsia" w:ascii="宋体" w:hAnsi="宋体" w:eastAsia="宋体" w:cs="宋体"/>
          <w:color w:val="auto"/>
          <w:sz w:val="24"/>
          <w:szCs w:val="24"/>
          <w:highlight w:val="none"/>
          <w:lang w:val="en-US" w:eastAsia="zh-CN"/>
        </w:rPr>
        <w:t>响应时间不超过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小时</w:t>
      </w:r>
      <w:r>
        <w:rPr>
          <w:rFonts w:hint="eastAsia" w:ascii="宋体" w:hAnsi="宋体" w:eastAsia="宋体" w:cs="宋体"/>
          <w:color w:val="auto"/>
          <w:sz w:val="24"/>
          <w:szCs w:val="24"/>
          <w:highlight w:val="none"/>
          <w:lang w:eastAsia="zh-CN"/>
        </w:rPr>
        <w:t>。发生的全部费用由乙方承担，若需送回生产厂，乙方承担往返费用;</w:t>
      </w:r>
    </w:p>
    <w:p w14:paraId="0AF063CB">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每月派技术人员到现场走访，给予检查维护;</w:t>
      </w:r>
    </w:p>
    <w:p w14:paraId="16CEAFA1">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排除故障的期限不得超过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小时。否则甲方有权指定第三方维修，维修费用由乙方承担。甲方可在货款和其他应付乙方款项中扣除。</w:t>
      </w:r>
    </w:p>
    <w:p w14:paraId="0426D78F">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物品在</w:t>
      </w:r>
      <w:r>
        <w:rPr>
          <w:rFonts w:hint="eastAsia" w:ascii="宋体" w:hAnsi="宋体" w:eastAsia="宋体" w:cs="宋体"/>
          <w:color w:val="auto"/>
          <w:sz w:val="24"/>
          <w:szCs w:val="24"/>
          <w:highlight w:val="none"/>
          <w:lang w:val="en-US" w:eastAsia="zh-CN"/>
        </w:rPr>
        <w:t>质保期</w:t>
      </w:r>
      <w:r>
        <w:rPr>
          <w:rFonts w:hint="eastAsia" w:ascii="宋体" w:hAnsi="宋体" w:eastAsia="宋体" w:cs="宋体"/>
          <w:color w:val="auto"/>
          <w:sz w:val="24"/>
          <w:szCs w:val="24"/>
          <w:highlight w:val="none"/>
          <w:lang w:eastAsia="zh-CN"/>
        </w:rPr>
        <w:t>内，如果出现两次以上因质量问题引起的故障，乙方公司负责</w:t>
      </w:r>
      <w:r>
        <w:rPr>
          <w:rFonts w:hint="eastAsia" w:ascii="宋体" w:hAnsi="宋体" w:eastAsia="宋体" w:cs="宋体"/>
          <w:color w:val="auto"/>
          <w:sz w:val="24"/>
          <w:szCs w:val="24"/>
          <w:highlight w:val="none"/>
          <w:lang w:val="en-US" w:eastAsia="zh-CN"/>
        </w:rPr>
        <w:t>无偿</w:t>
      </w:r>
      <w:r>
        <w:rPr>
          <w:rFonts w:hint="eastAsia" w:ascii="宋体" w:hAnsi="宋体" w:eastAsia="宋体" w:cs="宋体"/>
          <w:color w:val="auto"/>
          <w:sz w:val="24"/>
          <w:szCs w:val="24"/>
          <w:highlight w:val="none"/>
          <w:lang w:eastAsia="zh-CN"/>
        </w:rPr>
        <w:t>更</w:t>
      </w:r>
      <w:r>
        <w:rPr>
          <w:rFonts w:hint="eastAsia" w:ascii="宋体" w:hAnsi="宋体" w:eastAsia="宋体" w:cs="宋体"/>
          <w:color w:val="auto"/>
          <w:sz w:val="24"/>
          <w:szCs w:val="24"/>
          <w:highlight w:val="none"/>
          <w:lang w:val="en-US" w:eastAsia="zh-CN"/>
        </w:rPr>
        <w:t>换同类新的物品。</w:t>
      </w:r>
    </w:p>
    <w:p w14:paraId="196D4562">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如因乙方物品质量问题，导致甲方损失，乙方应</w:t>
      </w:r>
      <w:r>
        <w:rPr>
          <w:rFonts w:hint="eastAsia" w:ascii="宋体" w:hAnsi="宋体" w:eastAsia="宋体" w:cs="宋体"/>
          <w:color w:val="auto"/>
          <w:sz w:val="24"/>
          <w:szCs w:val="24"/>
          <w:highlight w:val="none"/>
          <w:lang w:val="en-US" w:eastAsia="zh-CN"/>
        </w:rPr>
        <w:t>予</w:t>
      </w:r>
      <w:r>
        <w:rPr>
          <w:rFonts w:hint="eastAsia" w:ascii="宋体" w:hAnsi="宋体" w:eastAsia="宋体" w:cs="宋体"/>
          <w:color w:val="auto"/>
          <w:sz w:val="24"/>
          <w:szCs w:val="24"/>
          <w:highlight w:val="none"/>
          <w:lang w:eastAsia="zh-CN"/>
        </w:rPr>
        <w:t>以赔偿。</w:t>
      </w:r>
    </w:p>
    <w:p w14:paraId="75F85B3F">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乙方配备</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名专业的技术人员， 配合甲方进行产品验收、安装、调试、使用培训、维护培训等工作，并且全部费用计入产品售价。</w:t>
      </w:r>
    </w:p>
    <w:p w14:paraId="4841BBDB">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针对于球管提供原厂免费维修(含人损)，提供7x24小时电话支持(包含法定节假日)，并提供专线电话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小时内响应解决，必要时提供替代产品。</w:t>
      </w:r>
    </w:p>
    <w:p w14:paraId="616BE7CA">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若球管出现质量问题，经两次维修后仍无法正常使用，乙方无偿为甲方更换同型号、同规格的球管。</w:t>
      </w:r>
    </w:p>
    <w:p w14:paraId="12953139">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培训</w:t>
      </w:r>
    </w:p>
    <w:p w14:paraId="4F23DEC2">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乙方现场免费为甲方工作人员进行培训，</w:t>
      </w:r>
      <w:r>
        <w:rPr>
          <w:rFonts w:hint="eastAsia" w:ascii="宋体" w:hAnsi="宋体" w:eastAsia="宋体" w:cs="宋体"/>
          <w:color w:val="auto"/>
          <w:sz w:val="24"/>
          <w:szCs w:val="24"/>
          <w:highlight w:val="none"/>
        </w:rPr>
        <w:t>受培训人员不限，以受培训人员熟练掌握技术并能开展工作为原则。</w:t>
      </w:r>
    </w:p>
    <w:p w14:paraId="42F6F26E">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验收</w:t>
      </w:r>
    </w:p>
    <w:p w14:paraId="4EEB891E">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货物到达甲方指定地点后，甲方根据合同要求，甲方双方共同进行外观验收，确认产地、规格、型号和数量。</w:t>
      </w:r>
    </w:p>
    <w:p w14:paraId="447424FF">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货物安装、调试并正常运行后，由乙方进行自检，合格后，准备验收文件，并书面通知甲方。</w:t>
      </w:r>
    </w:p>
    <w:p w14:paraId="5C1765F6">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甲方确认乙方的自检内容后，组织乙方（必要时请有关专家）进行系统验收，验收合格后，填写设备验收单（一式四份）作为对货物的最终认可。</w:t>
      </w:r>
    </w:p>
    <w:p w14:paraId="1F0855F3">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乙方向甲方提交货物实施过程中的所有资料，以便甲方日后管理和维护。</w:t>
      </w:r>
    </w:p>
    <w:p w14:paraId="12F027A6">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验收依据：</w:t>
      </w:r>
    </w:p>
    <w:p w14:paraId="417903ED">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、竞争性</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w:t>
      </w:r>
    </w:p>
    <w:p w14:paraId="4B450E6A">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本合同及附件文本；</w:t>
      </w:r>
    </w:p>
    <w:p w14:paraId="18199531">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国家相应的标准、规范。</w:t>
      </w:r>
    </w:p>
    <w:p w14:paraId="53DFD431">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w:t>
      </w:r>
    </w:p>
    <w:p w14:paraId="5E953BD5">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lang w:val="en-US" w:eastAsia="en-US" w:bidi="ar-SA"/>
        </w:rPr>
        <w:t>1．</w:t>
      </w:r>
      <w:r>
        <w:rPr>
          <w:rFonts w:hint="eastAsia" w:ascii="宋体" w:hAnsi="宋体" w:eastAsia="宋体" w:cs="宋体"/>
          <w:color w:val="auto"/>
          <w:sz w:val="24"/>
          <w:szCs w:val="24"/>
          <w:highlight w:val="none"/>
        </w:rPr>
        <w:t>在交货前，制造商应对设备的质量、规格、数量等进行准确而全面的检验，并出具合格证。</w:t>
      </w:r>
    </w:p>
    <w:p w14:paraId="655302A8">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lang w:val="en-US" w:eastAsia="en-US" w:bidi="ar-SA"/>
        </w:rPr>
        <w:t>2．</w:t>
      </w:r>
      <w:r>
        <w:rPr>
          <w:rFonts w:hint="eastAsia" w:ascii="宋体" w:hAnsi="宋体" w:eastAsia="宋体" w:cs="宋体"/>
          <w:color w:val="auto"/>
          <w:sz w:val="24"/>
          <w:szCs w:val="24"/>
          <w:highlight w:val="none"/>
        </w:rPr>
        <w:t>设备到货后，由采购单位根据合同要求进行验收。验收完成后，填写政府采购设备验收单，以便结算。</w:t>
      </w:r>
    </w:p>
    <w:p w14:paraId="060FC645">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乙方履约延误</w:t>
      </w:r>
    </w:p>
    <w:p w14:paraId="08BB3C85">
      <w:pPr>
        <w:numPr>
          <w:ilvl w:val="0"/>
          <w:numId w:val="12"/>
        </w:numPr>
        <w:tabs>
          <w:tab w:val="left" w:pos="480"/>
        </w:tabs>
        <w:snapToGrid w:val="0"/>
        <w:spacing w:line="360" w:lineRule="auto"/>
        <w:ind w:left="0" w:leftChars="0" w:firstLine="420" w:firstLineChars="0"/>
        <w:rPr>
          <w:rFonts w:hint="eastAsia" w:ascii="宋体" w:hAnsi="宋体" w:eastAsia="宋体" w:cs="宋体"/>
          <w:color w:val="auto"/>
          <w:w w:val="95"/>
          <w:sz w:val="24"/>
          <w:szCs w:val="24"/>
          <w:highlight w:val="none"/>
        </w:rPr>
      </w:pPr>
      <w:r>
        <w:rPr>
          <w:rFonts w:hint="eastAsia" w:ascii="宋体" w:hAnsi="宋体" w:eastAsia="宋体" w:cs="宋体"/>
          <w:color w:val="auto"/>
          <w:w w:val="95"/>
          <w:sz w:val="24"/>
          <w:szCs w:val="24"/>
          <w:highlight w:val="none"/>
        </w:rPr>
        <w:t>如乙方事先未征得甲方同意并得到甲方的谅解而单方面延迟交货，将按违约终止合同。</w:t>
      </w:r>
    </w:p>
    <w:p w14:paraId="7B01499C">
      <w:pPr>
        <w:numPr>
          <w:ilvl w:val="0"/>
          <w:numId w:val="12"/>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每周0.5%计。</w:t>
      </w:r>
    </w:p>
    <w:p w14:paraId="5DDE7DFC">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违约责任</w:t>
      </w:r>
    </w:p>
    <w:p w14:paraId="5B81A167">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w w:val="95"/>
          <w:sz w:val="24"/>
          <w:szCs w:val="24"/>
          <w:highlight w:val="none"/>
        </w:rPr>
      </w:pPr>
      <w:r>
        <w:rPr>
          <w:rFonts w:hint="eastAsia" w:ascii="宋体" w:hAnsi="宋体" w:eastAsia="宋体" w:cs="宋体"/>
          <w:color w:val="auto"/>
          <w:w w:val="95"/>
          <w:sz w:val="24"/>
          <w:szCs w:val="24"/>
          <w:highlight w:val="none"/>
        </w:rPr>
        <w:t>按《政府采购法》、《</w:t>
      </w:r>
      <w:r>
        <w:rPr>
          <w:rFonts w:hint="eastAsia" w:ascii="宋体" w:hAnsi="宋体" w:eastAsia="宋体" w:cs="宋体"/>
          <w:color w:val="auto"/>
          <w:w w:val="95"/>
          <w:sz w:val="24"/>
          <w:szCs w:val="24"/>
          <w:highlight w:val="none"/>
          <w:lang w:val="en-US" w:eastAsia="zh-CN"/>
        </w:rPr>
        <w:t>民法典</w:t>
      </w:r>
      <w:r>
        <w:rPr>
          <w:rFonts w:hint="eastAsia" w:ascii="宋体" w:hAnsi="宋体" w:eastAsia="宋体" w:cs="宋体"/>
          <w:color w:val="auto"/>
          <w:w w:val="95"/>
          <w:sz w:val="24"/>
          <w:szCs w:val="24"/>
          <w:highlight w:val="none"/>
        </w:rPr>
        <w:t>》中的相关条款执行。</w:t>
      </w:r>
    </w:p>
    <w:p w14:paraId="49BF4EE6">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w w:val="95"/>
          <w:sz w:val="24"/>
          <w:szCs w:val="24"/>
          <w:highlight w:val="none"/>
        </w:rPr>
      </w:pPr>
      <w:r>
        <w:rPr>
          <w:rFonts w:hint="eastAsia" w:ascii="宋体" w:hAnsi="宋体" w:eastAsia="宋体" w:cs="宋体"/>
          <w:color w:val="auto"/>
          <w:w w:val="95"/>
          <w:sz w:val="24"/>
          <w:szCs w:val="24"/>
          <w:highlight w:val="none"/>
        </w:rPr>
        <w:t>未按合同要求提供货物或质量不能满足谈判技术要求，乙方必须无条件更换，提高技术，完善质量，否则，甲方会同</w:t>
      </w:r>
      <w:r>
        <w:rPr>
          <w:rFonts w:hint="eastAsia" w:ascii="宋体" w:hAnsi="宋体" w:eastAsia="宋体" w:cs="宋体"/>
          <w:color w:val="auto"/>
          <w:w w:val="95"/>
          <w:sz w:val="24"/>
          <w:szCs w:val="24"/>
          <w:highlight w:val="none"/>
          <w:lang w:eastAsia="zh-CN"/>
        </w:rPr>
        <w:t>招标代理机构</w:t>
      </w:r>
      <w:r>
        <w:rPr>
          <w:rFonts w:hint="eastAsia" w:ascii="宋体" w:hAnsi="宋体" w:eastAsia="宋体" w:cs="宋体"/>
          <w:color w:val="auto"/>
          <w:w w:val="95"/>
          <w:sz w:val="24"/>
          <w:szCs w:val="24"/>
          <w:highlight w:val="none"/>
        </w:rPr>
        <w:t>有权终止合同，并对乙方的违约行为报监管机构进行相应的处罚。</w:t>
      </w:r>
    </w:p>
    <w:p w14:paraId="24CF769D">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w w:val="95"/>
          <w:sz w:val="24"/>
          <w:szCs w:val="24"/>
          <w:highlight w:val="none"/>
        </w:rPr>
      </w:pPr>
      <w:r>
        <w:rPr>
          <w:rFonts w:hint="eastAsia" w:ascii="宋体" w:hAnsi="宋体" w:eastAsia="宋体" w:cs="宋体"/>
          <w:color w:val="auto"/>
          <w:w w:val="95"/>
          <w:sz w:val="24"/>
          <w:szCs w:val="24"/>
          <w:highlight w:val="none"/>
        </w:rPr>
        <w:t>交货期每超过一天，扣除乙方合同总价款的</w:t>
      </w:r>
      <w:r>
        <w:rPr>
          <w:rFonts w:hint="eastAsia" w:ascii="宋体" w:hAnsi="宋体" w:eastAsia="宋体" w:cs="宋体"/>
          <w:color w:val="auto"/>
          <w:w w:val="95"/>
          <w:sz w:val="24"/>
          <w:szCs w:val="24"/>
          <w:highlight w:val="none"/>
          <w:lang w:val="en-US" w:eastAsia="zh-CN"/>
        </w:rPr>
        <w:t>10</w:t>
      </w:r>
      <w:r>
        <w:rPr>
          <w:rFonts w:hint="eastAsia" w:ascii="宋体" w:hAnsi="宋体" w:eastAsia="宋体" w:cs="宋体"/>
          <w:color w:val="auto"/>
          <w:w w:val="95"/>
          <w:sz w:val="24"/>
          <w:szCs w:val="24"/>
          <w:highlight w:val="none"/>
        </w:rPr>
        <w:t>‰。</w:t>
      </w:r>
    </w:p>
    <w:p w14:paraId="7E011E29">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w w:val="95"/>
          <w:sz w:val="24"/>
          <w:szCs w:val="24"/>
          <w:highlight w:val="none"/>
        </w:rPr>
      </w:pPr>
      <w:r>
        <w:rPr>
          <w:rFonts w:hint="eastAsia" w:ascii="宋体" w:hAnsi="宋体" w:eastAsia="宋体" w:cs="宋体"/>
          <w:color w:val="auto"/>
          <w:w w:val="95"/>
          <w:sz w:val="24"/>
          <w:szCs w:val="24"/>
          <w:highlight w:val="none"/>
        </w:rPr>
        <w:t>在乙方违约的情况下，甲方报告西安市政府采购管理处后，有权终止合同，并依法向乙方进行索赔。</w:t>
      </w:r>
    </w:p>
    <w:p w14:paraId="59F08E91">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合同争议解决的方式</w:t>
      </w:r>
    </w:p>
    <w:p w14:paraId="2B982FCD">
      <w:pPr>
        <w:tabs>
          <w:tab w:val="left" w:pos="480"/>
        </w:tabs>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本合同在履行过程中发生的争议，由甲、乙双方当事人协商解决，协商不成的按下列第二种方式解决：</w:t>
      </w:r>
    </w:p>
    <w:p w14:paraId="17A2461F">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w:t>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u w:val="single"/>
        </w:rPr>
        <w:t>西安</w:t>
      </w:r>
      <w:r>
        <w:rPr>
          <w:rFonts w:hint="eastAsia" w:ascii="宋体" w:hAnsi="宋体" w:eastAsia="宋体" w:cs="宋体"/>
          <w:color w:val="auto"/>
          <w:sz w:val="24"/>
          <w:szCs w:val="24"/>
          <w:highlight w:val="none"/>
        </w:rPr>
        <w:t>仲裁委员会仲裁；</w:t>
      </w:r>
    </w:p>
    <w:p w14:paraId="22E1BA29">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依法向</w:t>
      </w:r>
      <w:r>
        <w:rPr>
          <w:rFonts w:hint="eastAsia" w:ascii="宋体" w:hAnsi="宋体" w:eastAsia="宋体" w:cs="宋体"/>
          <w:color w:val="auto"/>
          <w:sz w:val="24"/>
          <w:szCs w:val="24"/>
          <w:highlight w:val="none"/>
          <w:u w:val="single"/>
        </w:rPr>
        <w:t>甲方所在地</w:t>
      </w:r>
      <w:r>
        <w:rPr>
          <w:rFonts w:hint="eastAsia" w:ascii="宋体" w:hAnsi="宋体" w:eastAsia="宋体" w:cs="宋体"/>
          <w:color w:val="auto"/>
          <w:sz w:val="24"/>
          <w:szCs w:val="24"/>
          <w:highlight w:val="none"/>
        </w:rPr>
        <w:t>人民法院起诉。</w:t>
      </w:r>
    </w:p>
    <w:p w14:paraId="66BC106A">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合同生效</w:t>
      </w:r>
    </w:p>
    <w:p w14:paraId="008D6133">
      <w:pPr>
        <w:snapToGrid w:val="0"/>
        <w:spacing w:line="360" w:lineRule="auto"/>
        <w:ind w:firstLine="470" w:firstLineChars="196"/>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本合同一式</w:t>
      </w:r>
      <w:r>
        <w:rPr>
          <w:rFonts w:hint="eastAsia" w:ascii="宋体" w:hAnsi="宋体" w:eastAsia="宋体" w:cs="宋体"/>
          <w:b/>
          <w:bCs w:val="0"/>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陆</w:t>
      </w:r>
      <w:r>
        <w:rPr>
          <w:rFonts w:hint="eastAsia" w:ascii="宋体" w:hAnsi="宋体" w:eastAsia="宋体" w:cs="宋体"/>
          <w:b/>
          <w:bCs w:val="0"/>
          <w:color w:val="auto"/>
          <w:sz w:val="24"/>
          <w:szCs w:val="24"/>
          <w:highlight w:val="none"/>
          <w:u w:val="single"/>
        </w:rPr>
        <w:t xml:space="preserve"> </w:t>
      </w:r>
      <w:r>
        <w:rPr>
          <w:rFonts w:hint="eastAsia" w:ascii="宋体" w:hAnsi="宋体" w:eastAsia="宋体" w:cs="宋体"/>
          <w:b w:val="0"/>
          <w:bCs/>
          <w:color w:val="auto"/>
          <w:sz w:val="24"/>
          <w:szCs w:val="24"/>
          <w:highlight w:val="none"/>
        </w:rPr>
        <w:t>份，甲方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 xml:space="preserve">贰 </w:t>
      </w:r>
      <w:r>
        <w:rPr>
          <w:rFonts w:hint="eastAsia" w:ascii="宋体" w:hAnsi="宋体" w:eastAsia="宋体" w:cs="宋体"/>
          <w:b w:val="0"/>
          <w:bCs/>
          <w:color w:val="auto"/>
          <w:sz w:val="24"/>
          <w:szCs w:val="24"/>
          <w:highlight w:val="none"/>
        </w:rPr>
        <w:t>份、乙方</w:t>
      </w:r>
      <w:r>
        <w:rPr>
          <w:rFonts w:hint="eastAsia" w:ascii="宋体" w:hAnsi="宋体" w:eastAsia="宋体" w:cs="宋体"/>
          <w:b/>
          <w:bCs w:val="0"/>
          <w:color w:val="auto"/>
          <w:sz w:val="24"/>
          <w:szCs w:val="24"/>
          <w:highlight w:val="none"/>
          <w:u w:val="single"/>
          <w:lang w:val="en-US" w:eastAsia="zh-CN"/>
        </w:rPr>
        <w:t xml:space="preserve"> 壹 </w:t>
      </w:r>
      <w:r>
        <w:rPr>
          <w:rFonts w:hint="eastAsia" w:ascii="宋体" w:hAnsi="宋体" w:eastAsia="宋体" w:cs="宋体"/>
          <w:b w:val="0"/>
          <w:bCs/>
          <w:color w:val="auto"/>
          <w:sz w:val="24"/>
          <w:szCs w:val="24"/>
          <w:highlight w:val="none"/>
        </w:rPr>
        <w:t>份、</w:t>
      </w:r>
      <w:r>
        <w:rPr>
          <w:rFonts w:hint="eastAsia" w:ascii="宋体" w:hAnsi="宋体" w:eastAsia="宋体" w:cs="宋体"/>
          <w:b w:val="0"/>
          <w:bCs/>
          <w:color w:val="auto"/>
          <w:sz w:val="24"/>
          <w:szCs w:val="24"/>
          <w:highlight w:val="none"/>
          <w:lang w:val="en-US" w:eastAsia="zh-CN"/>
        </w:rPr>
        <w:t>招标代理机构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份，政府采购管理科备案</w:t>
      </w:r>
      <w:r>
        <w:rPr>
          <w:rFonts w:hint="eastAsia" w:ascii="宋体" w:hAnsi="宋体" w:eastAsia="宋体" w:cs="宋体"/>
          <w:b/>
          <w:bCs w:val="0"/>
          <w:color w:val="auto"/>
          <w:sz w:val="24"/>
          <w:szCs w:val="24"/>
          <w:highlight w:val="none"/>
          <w:u w:val="single"/>
          <w:lang w:val="en-US" w:eastAsia="zh-CN"/>
        </w:rPr>
        <w:t>壹</w:t>
      </w:r>
      <w:r>
        <w:rPr>
          <w:rFonts w:hint="eastAsia" w:ascii="宋体" w:hAnsi="宋体" w:eastAsia="宋体" w:cs="宋体"/>
          <w:b w:val="0"/>
          <w:bCs/>
          <w:color w:val="auto"/>
          <w:sz w:val="24"/>
          <w:szCs w:val="24"/>
          <w:highlight w:val="none"/>
        </w:rPr>
        <w:t>份，本合同甲、乙、</w:t>
      </w:r>
      <w:r>
        <w:rPr>
          <w:rFonts w:hint="eastAsia" w:ascii="宋体" w:hAnsi="宋体" w:eastAsia="宋体" w:cs="宋体"/>
          <w:b w:val="0"/>
          <w:bCs/>
          <w:color w:val="auto"/>
          <w:sz w:val="24"/>
          <w:szCs w:val="24"/>
          <w:highlight w:val="none"/>
          <w:lang w:val="en-US" w:eastAsia="zh-CN"/>
        </w:rPr>
        <w:t>招标代理机构</w:t>
      </w:r>
      <w:r>
        <w:rPr>
          <w:rFonts w:hint="eastAsia" w:ascii="宋体" w:hAnsi="宋体" w:eastAsia="宋体" w:cs="宋体"/>
          <w:b w:val="0"/>
          <w:bCs/>
          <w:color w:val="auto"/>
          <w:sz w:val="24"/>
          <w:szCs w:val="24"/>
          <w:highlight w:val="none"/>
        </w:rPr>
        <w:t>各方签字盖章后生效，合同执行完毕后，自动失效（合同的服务承诺则长期有效）。</w:t>
      </w:r>
    </w:p>
    <w:p w14:paraId="44578481">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其他事项</w:t>
      </w:r>
    </w:p>
    <w:p w14:paraId="1532541A">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招标代理机构</w:t>
      </w:r>
      <w:r>
        <w:rPr>
          <w:rFonts w:hint="eastAsia" w:ascii="宋体" w:hAnsi="宋体" w:eastAsia="宋体" w:cs="宋体"/>
          <w:color w:val="auto"/>
          <w:sz w:val="24"/>
          <w:szCs w:val="24"/>
          <w:highlight w:val="none"/>
        </w:rPr>
        <w:t>作为部门集中采购代理机构对合同进行确认。</w:t>
      </w:r>
    </w:p>
    <w:p w14:paraId="063CAA16">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政府采购管理处在合同的履行期间以及履行期后，可以随时检查项目的执行情况，对采购内容、标准进行调查核实，并对发现的问题进行处理。</w:t>
      </w:r>
    </w:p>
    <w:p w14:paraId="5E180B50">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、竞争性</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、合同附件均成为合同不可分割的部分。</w:t>
      </w:r>
    </w:p>
    <w:p w14:paraId="57179C7E">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合同未尽事宜，由甲、乙双方协商，经</w:t>
      </w:r>
      <w:r>
        <w:rPr>
          <w:rFonts w:hint="eastAsia" w:ascii="宋体" w:hAnsi="宋体" w:eastAsia="宋体" w:cs="宋体"/>
          <w:color w:val="auto"/>
          <w:sz w:val="24"/>
          <w:szCs w:val="24"/>
          <w:highlight w:val="none"/>
          <w:lang w:eastAsia="zh-CN"/>
        </w:rPr>
        <w:t>招标代理机构</w:t>
      </w:r>
      <w:r>
        <w:rPr>
          <w:rFonts w:hint="eastAsia" w:ascii="宋体" w:hAnsi="宋体" w:eastAsia="宋体" w:cs="宋体"/>
          <w:color w:val="auto"/>
          <w:sz w:val="24"/>
          <w:szCs w:val="24"/>
          <w:highlight w:val="none"/>
        </w:rPr>
        <w:t>确认后，作为合同补充，与原合同具有同等法律效力。</w:t>
      </w:r>
    </w:p>
    <w:p w14:paraId="4B3C661D">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合同一经签订，不得擅自变更、中止或终止合同。对确需变更、调整或中止、终止合同的，应按规定履行相应的手续。</w:t>
      </w:r>
    </w:p>
    <w:p w14:paraId="2998A7CD">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本合同按照中华人民共和国的现行法律进行解释。</w:t>
      </w:r>
    </w:p>
    <w:p w14:paraId="5705D6B2">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不可抗力</w:t>
      </w:r>
    </w:p>
    <w:p w14:paraId="437D6061">
      <w:pPr>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14:paraId="57A57A14">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监督和管理</w:t>
      </w:r>
    </w:p>
    <w:p w14:paraId="670248EA">
      <w:pPr>
        <w:numPr>
          <w:ilvl w:val="0"/>
          <w:numId w:val="16"/>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合同订立后，双方协商一致需变更合同实质性条款或订立补充合同的，应先征得政府采购监督部门同意并送其备案。</w:t>
      </w:r>
    </w:p>
    <w:p w14:paraId="3E94ADCB">
      <w:pPr>
        <w:numPr>
          <w:ilvl w:val="0"/>
          <w:numId w:val="16"/>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甲乙双方均应自觉配合有关监督管理部门对合同履行情况监督检查，如实反映情况，提供有关资料，否则将对有关单位、当事人按有关规定予以处罚。</w:t>
      </w:r>
    </w:p>
    <w:p w14:paraId="182E0411">
      <w:pPr>
        <w:pStyle w:val="11"/>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无效合同</w:t>
      </w:r>
    </w:p>
    <w:p w14:paraId="087E1731">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甲乙双方如因违反政府采购法力相关法律法规的规定，被宣告合同无效的一切责任概由过错方自行承担。</w:t>
      </w:r>
    </w:p>
    <w:p w14:paraId="5A11A745">
      <w:pPr>
        <w:rPr>
          <w:rFonts w:hint="eastAsia" w:ascii="宋体" w:hAnsi="宋体" w:eastAsia="宋体" w:cs="宋体"/>
          <w:lang w:eastAsia="zh-CN"/>
        </w:rPr>
      </w:pPr>
      <w:r>
        <w:rPr>
          <w:rFonts w:hint="eastAsia" w:ascii="宋体" w:hAnsi="宋体" w:eastAsia="宋体" w:cs="宋体"/>
          <w:lang w:eastAsia="zh-CN"/>
        </w:rPr>
        <w:br w:type="page"/>
      </w:r>
    </w:p>
    <w:p w14:paraId="059E1CFA">
      <w:pPr>
        <w:rPr>
          <w:rFonts w:hint="eastAsia" w:ascii="宋体" w:hAnsi="宋体" w:eastAsia="宋体" w:cs="宋体"/>
          <w:lang w:eastAsia="zh-CN"/>
        </w:rPr>
      </w:pPr>
    </w:p>
    <w:p w14:paraId="04FD7F00">
      <w:pPr>
        <w:pStyle w:val="5"/>
        <w:rPr>
          <w:rFonts w:hint="eastAsia" w:ascii="宋体" w:hAnsi="宋体" w:eastAsia="宋体" w:cs="宋体"/>
          <w:color w:val="auto"/>
          <w:sz w:val="24"/>
          <w:szCs w:val="24"/>
          <w:highlight w:val="none"/>
        </w:rPr>
      </w:pPr>
    </w:p>
    <w:p w14:paraId="46A01AEE">
      <w:pPr>
        <w:tabs>
          <w:tab w:val="left" w:pos="480"/>
        </w:tabs>
        <w:snapToGrid w:val="0"/>
        <w:spacing w:line="360" w:lineRule="auto"/>
        <w:ind w:left="-199" w:leftChars="-95"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  方（法人公章）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  方（法人公章）</w:t>
      </w:r>
    </w:p>
    <w:p w14:paraId="124F90DC">
      <w:pPr>
        <w:tabs>
          <w:tab w:val="left" w:pos="480"/>
        </w:tabs>
        <w:snapToGrid w:val="0"/>
        <w:spacing w:line="360" w:lineRule="auto"/>
        <w:ind w:left="-199" w:leftChars="-95"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r>
        <w:rPr>
          <w:rFonts w:hint="eastAsia" w:ascii="宋体" w:hAnsi="宋体" w:eastAsia="宋体" w:cs="宋体"/>
          <w:color w:val="auto"/>
          <w:sz w:val="24"/>
          <w:szCs w:val="24"/>
          <w:highlight w:val="none"/>
          <w:lang w:eastAsia="zh-CN"/>
        </w:rPr>
        <w:t>陕西省人民医院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单位名称：</w:t>
      </w:r>
    </w:p>
    <w:p w14:paraId="2FDBE153">
      <w:pPr>
        <w:tabs>
          <w:tab w:val="left" w:pos="480"/>
        </w:tabs>
        <w:snapToGrid w:val="0"/>
        <w:spacing w:line="360" w:lineRule="auto"/>
        <w:ind w:left="5461" w:leftChars="-28"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址：西安市友谊西路256号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p>
    <w:p w14:paraId="3BB432A5">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法定代表人签字：</w:t>
      </w:r>
    </w:p>
    <w:p w14:paraId="2EDE7FBB">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代理人签字：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代理人签字：</w:t>
      </w:r>
    </w:p>
    <w:p w14:paraId="30388888">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项目主管部门负责人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联系电话：</w:t>
      </w:r>
    </w:p>
    <w:p w14:paraId="6114D0B5">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招采办负责人：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5BD04996">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联系电话：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帐  号：                                                                                             </w:t>
      </w:r>
    </w:p>
    <w:p w14:paraId="3A8D09AB">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            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14:paraId="5E7A2ED4">
      <w:pPr>
        <w:tabs>
          <w:tab w:val="left" w:pos="480"/>
        </w:tabs>
        <w:snapToGrid w:val="0"/>
        <w:spacing w:line="360" w:lineRule="auto"/>
        <w:ind w:firstLine="480" w:firstLineChars="200"/>
        <w:rPr>
          <w:rFonts w:hint="eastAsia" w:ascii="宋体" w:hAnsi="宋体" w:eastAsia="宋体" w:cs="宋体"/>
          <w:color w:val="auto"/>
          <w:sz w:val="24"/>
          <w:szCs w:val="24"/>
          <w:highlight w:val="none"/>
        </w:rPr>
      </w:pPr>
    </w:p>
    <w:p w14:paraId="5C28C896">
      <w:pPr>
        <w:pStyle w:val="2"/>
        <w:rPr>
          <w:rFonts w:hint="eastAsia" w:ascii="宋体" w:hAnsi="宋体" w:eastAsia="宋体" w:cs="宋体"/>
          <w:color w:val="auto"/>
          <w:sz w:val="24"/>
          <w:szCs w:val="24"/>
          <w:highlight w:val="none"/>
        </w:rPr>
      </w:pPr>
    </w:p>
    <w:p w14:paraId="2025EDB2">
      <w:pPr>
        <w:rPr>
          <w:rFonts w:hint="eastAsia" w:ascii="宋体" w:hAnsi="宋体" w:eastAsia="宋体" w:cs="宋体"/>
        </w:rPr>
      </w:pPr>
    </w:p>
    <w:p w14:paraId="400B05D8">
      <w:pPr>
        <w:rPr>
          <w:rFonts w:hint="eastAsia" w:ascii="宋体" w:hAnsi="宋体" w:eastAsia="宋体" w:cs="宋体"/>
        </w:rPr>
      </w:pPr>
    </w:p>
    <w:p w14:paraId="061D30A7">
      <w:pPr>
        <w:pStyle w:val="2"/>
        <w:rPr>
          <w:rFonts w:hint="eastAsia" w:ascii="宋体" w:hAnsi="宋体" w:eastAsia="宋体" w:cs="宋体"/>
          <w:color w:val="auto"/>
          <w:highlight w:val="none"/>
        </w:rPr>
      </w:pPr>
    </w:p>
    <w:p w14:paraId="6CAFBD78">
      <w:pPr>
        <w:rPr>
          <w:rFonts w:hint="eastAsia" w:ascii="宋体" w:hAnsi="宋体" w:eastAsia="宋体" w:cs="宋体"/>
        </w:rPr>
      </w:pPr>
    </w:p>
    <w:p w14:paraId="339A48B9">
      <w:pPr>
        <w:rPr>
          <w:rFonts w:hint="eastAsia" w:ascii="宋体" w:hAnsi="宋体" w:eastAsia="宋体" w:cs="宋体"/>
        </w:rPr>
      </w:pPr>
    </w:p>
    <w:p w14:paraId="6D21A66D">
      <w:pPr>
        <w:rPr>
          <w:rFonts w:hint="eastAsia" w:ascii="宋体" w:hAnsi="宋体" w:eastAsia="宋体" w:cs="宋体"/>
        </w:rPr>
      </w:pPr>
    </w:p>
    <w:p w14:paraId="73F1246C">
      <w:pPr>
        <w:rPr>
          <w:rFonts w:hint="eastAsia" w:ascii="宋体" w:hAnsi="宋体" w:eastAsia="宋体" w:cs="宋体"/>
          <w:spacing w:val="5"/>
          <w:position w:val="44"/>
          <w:sz w:val="35"/>
          <w:szCs w:val="35"/>
        </w:rPr>
      </w:pPr>
    </w:p>
    <w:p w14:paraId="0017B085">
      <w:pPr>
        <w:spacing w:line="242" w:lineRule="auto"/>
        <w:rPr>
          <w:rFonts w:hint="eastAsia" w:ascii="宋体" w:hAnsi="宋体" w:eastAsia="宋体" w:cs="宋体"/>
          <w:sz w:val="21"/>
        </w:rPr>
      </w:pPr>
    </w:p>
    <w:p w14:paraId="0056EFD4">
      <w:pPr>
        <w:spacing w:line="242" w:lineRule="auto"/>
        <w:rPr>
          <w:rFonts w:hint="eastAsia" w:ascii="宋体" w:hAnsi="宋体" w:eastAsia="宋体" w:cs="宋体"/>
          <w:sz w:val="21"/>
        </w:rPr>
      </w:pPr>
    </w:p>
    <w:p w14:paraId="4FCBF4F9">
      <w:pPr>
        <w:spacing w:line="242" w:lineRule="auto"/>
        <w:rPr>
          <w:rFonts w:hint="eastAsia" w:ascii="宋体" w:hAnsi="宋体" w:eastAsia="宋体" w:cs="宋体"/>
          <w:sz w:val="21"/>
        </w:rPr>
      </w:pPr>
    </w:p>
    <w:p w14:paraId="2F1E87BC">
      <w:pPr>
        <w:spacing w:line="242" w:lineRule="auto"/>
        <w:rPr>
          <w:rFonts w:hint="eastAsia" w:ascii="宋体" w:hAnsi="宋体" w:eastAsia="宋体" w:cs="宋体"/>
          <w:sz w:val="21"/>
        </w:rPr>
      </w:pPr>
    </w:p>
    <w:p w14:paraId="523D87D4">
      <w:pPr>
        <w:spacing w:line="242" w:lineRule="auto"/>
        <w:rPr>
          <w:rFonts w:hint="eastAsia" w:ascii="宋体" w:hAnsi="宋体" w:eastAsia="宋体" w:cs="宋体"/>
          <w:sz w:val="21"/>
        </w:rPr>
      </w:pPr>
    </w:p>
    <w:p w14:paraId="7D69F9C5">
      <w:pPr>
        <w:spacing w:line="242" w:lineRule="auto"/>
        <w:rPr>
          <w:rFonts w:hint="eastAsia" w:ascii="宋体" w:hAnsi="宋体" w:eastAsia="宋体" w:cs="宋体"/>
          <w:sz w:val="21"/>
        </w:rPr>
      </w:pPr>
    </w:p>
    <w:p w14:paraId="5413F738">
      <w:pPr>
        <w:spacing w:line="242" w:lineRule="auto"/>
        <w:rPr>
          <w:rFonts w:hint="eastAsia" w:ascii="宋体" w:hAnsi="宋体" w:eastAsia="宋体" w:cs="宋体"/>
          <w:sz w:val="21"/>
        </w:rPr>
      </w:pPr>
    </w:p>
    <w:p w14:paraId="737941FB">
      <w:pPr>
        <w:spacing w:line="242" w:lineRule="auto"/>
        <w:rPr>
          <w:rFonts w:hint="eastAsia" w:ascii="宋体" w:hAnsi="宋体" w:eastAsia="宋体" w:cs="宋体"/>
          <w:sz w:val="21"/>
        </w:rPr>
      </w:pPr>
    </w:p>
    <w:p w14:paraId="7D6C45BF">
      <w:pPr>
        <w:spacing w:line="242" w:lineRule="auto"/>
        <w:rPr>
          <w:rFonts w:hint="eastAsia" w:ascii="宋体" w:hAnsi="宋体" w:eastAsia="宋体" w:cs="宋体"/>
          <w:sz w:val="21"/>
        </w:rPr>
      </w:pPr>
    </w:p>
    <w:p w14:paraId="773BBBE0">
      <w:pPr>
        <w:spacing w:line="242" w:lineRule="auto"/>
        <w:rPr>
          <w:rFonts w:hint="eastAsia" w:ascii="宋体" w:hAnsi="宋体" w:eastAsia="宋体" w:cs="宋体"/>
          <w:sz w:val="21"/>
        </w:rPr>
      </w:pPr>
    </w:p>
    <w:p w14:paraId="3B68B954">
      <w:pPr>
        <w:spacing w:line="242" w:lineRule="auto"/>
        <w:rPr>
          <w:rFonts w:hint="eastAsia" w:ascii="宋体" w:hAnsi="宋体" w:eastAsia="宋体" w:cs="宋体"/>
          <w:sz w:val="21"/>
        </w:rPr>
      </w:pPr>
    </w:p>
    <w:p w14:paraId="21A3359E">
      <w:pPr>
        <w:spacing w:line="242" w:lineRule="auto"/>
        <w:rPr>
          <w:rFonts w:hint="eastAsia" w:ascii="宋体" w:hAnsi="宋体" w:eastAsia="宋体" w:cs="宋体"/>
          <w:sz w:val="21"/>
        </w:rPr>
      </w:pPr>
    </w:p>
    <w:p w14:paraId="7E66061F">
      <w:pPr>
        <w:spacing w:line="242" w:lineRule="auto"/>
        <w:rPr>
          <w:rFonts w:hint="eastAsia" w:ascii="宋体" w:hAnsi="宋体" w:eastAsia="宋体" w:cs="宋体"/>
          <w:sz w:val="21"/>
        </w:rPr>
      </w:pPr>
    </w:p>
    <w:p w14:paraId="7447F7F0">
      <w:pPr>
        <w:spacing w:line="242" w:lineRule="auto"/>
        <w:rPr>
          <w:rFonts w:hint="eastAsia" w:ascii="宋体" w:hAnsi="宋体" w:eastAsia="宋体" w:cs="宋体"/>
          <w:sz w:val="21"/>
        </w:rPr>
      </w:pPr>
    </w:p>
    <w:p w14:paraId="753DA31C">
      <w:pPr>
        <w:spacing w:line="242" w:lineRule="auto"/>
        <w:rPr>
          <w:rFonts w:hint="eastAsia" w:ascii="宋体" w:hAnsi="宋体" w:eastAsia="宋体" w:cs="宋体"/>
          <w:sz w:val="21"/>
        </w:rPr>
      </w:pPr>
    </w:p>
    <w:p w14:paraId="0DFB0ECC">
      <w:pPr>
        <w:spacing w:line="242" w:lineRule="auto"/>
        <w:rPr>
          <w:rFonts w:hint="eastAsia" w:ascii="宋体" w:hAnsi="宋体" w:eastAsia="宋体" w:cs="宋体"/>
          <w:sz w:val="21"/>
        </w:rPr>
      </w:pPr>
    </w:p>
    <w:p w14:paraId="413BE674">
      <w:pPr>
        <w:spacing w:line="242" w:lineRule="auto"/>
        <w:rPr>
          <w:rFonts w:hint="eastAsia" w:ascii="宋体" w:hAnsi="宋体" w:eastAsia="宋体" w:cs="宋体"/>
          <w:sz w:val="21"/>
        </w:rPr>
      </w:pPr>
    </w:p>
    <w:p w14:paraId="539A1A38">
      <w:pPr>
        <w:spacing w:line="242" w:lineRule="auto"/>
        <w:rPr>
          <w:rFonts w:hint="eastAsia" w:ascii="宋体" w:hAnsi="宋体" w:eastAsia="宋体" w:cs="宋体"/>
          <w:sz w:val="21"/>
        </w:rPr>
      </w:pPr>
    </w:p>
    <w:p w14:paraId="5D04B7B3">
      <w:pPr>
        <w:spacing w:line="242" w:lineRule="auto"/>
        <w:rPr>
          <w:rFonts w:hint="eastAsia" w:ascii="宋体" w:hAnsi="宋体" w:eastAsia="宋体" w:cs="宋体"/>
          <w:sz w:val="21"/>
        </w:rPr>
      </w:pPr>
    </w:p>
    <w:p w14:paraId="770B97DF">
      <w:pPr>
        <w:spacing w:line="242" w:lineRule="auto"/>
        <w:rPr>
          <w:rFonts w:hint="eastAsia" w:ascii="宋体" w:hAnsi="宋体" w:eastAsia="宋体" w:cs="宋体"/>
          <w:sz w:val="21"/>
        </w:rPr>
      </w:pPr>
    </w:p>
    <w:p w14:paraId="6C14216F"/>
    <w:sectPr>
      <w:footerReference r:id="rId5" w:type="default"/>
      <w:pgSz w:w="11900" w:h="16840"/>
      <w:pgMar w:top="1440" w:right="1080" w:bottom="1440" w:left="10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8ED83">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15199"/>
    <w:multiLevelType w:val="singleLevel"/>
    <w:tmpl w:val="80815199"/>
    <w:lvl w:ilvl="0" w:tentative="0">
      <w:start w:val="1"/>
      <w:numFmt w:val="chineseCounting"/>
      <w:suff w:val="nothing"/>
      <w:lvlText w:val="（%1）"/>
      <w:lvlJc w:val="left"/>
      <w:pPr>
        <w:ind w:left="0" w:firstLine="420"/>
      </w:pPr>
      <w:rPr>
        <w:rFonts w:hint="eastAsia"/>
      </w:rPr>
    </w:lvl>
  </w:abstractNum>
  <w:abstractNum w:abstractNumId="1">
    <w:nsid w:val="84B881E0"/>
    <w:multiLevelType w:val="singleLevel"/>
    <w:tmpl w:val="84B881E0"/>
    <w:lvl w:ilvl="0" w:tentative="0">
      <w:start w:val="1"/>
      <w:numFmt w:val="decimal"/>
      <w:suff w:val="nothing"/>
      <w:lvlText w:val="%1．"/>
      <w:lvlJc w:val="left"/>
      <w:pPr>
        <w:ind w:left="0" w:firstLine="400"/>
      </w:pPr>
      <w:rPr>
        <w:rFonts w:hint="default"/>
      </w:rPr>
    </w:lvl>
  </w:abstractNum>
  <w:abstractNum w:abstractNumId="2">
    <w:nsid w:val="87B81DAE"/>
    <w:multiLevelType w:val="singleLevel"/>
    <w:tmpl w:val="87B81DAE"/>
    <w:lvl w:ilvl="0" w:tentative="0">
      <w:start w:val="1"/>
      <w:numFmt w:val="chineseCounting"/>
      <w:suff w:val="nothing"/>
      <w:lvlText w:val="（%1）"/>
      <w:lvlJc w:val="left"/>
      <w:pPr>
        <w:ind w:left="0" w:firstLine="420"/>
      </w:pPr>
      <w:rPr>
        <w:rFonts w:hint="eastAsia"/>
      </w:rPr>
    </w:lvl>
  </w:abstractNum>
  <w:abstractNum w:abstractNumId="3">
    <w:nsid w:val="AB6B547A"/>
    <w:multiLevelType w:val="singleLevel"/>
    <w:tmpl w:val="AB6B547A"/>
    <w:lvl w:ilvl="0" w:tentative="0">
      <w:start w:val="1"/>
      <w:numFmt w:val="chineseCounting"/>
      <w:suff w:val="nothing"/>
      <w:lvlText w:val="（%1）"/>
      <w:lvlJc w:val="left"/>
      <w:pPr>
        <w:ind w:left="0" w:firstLine="420"/>
      </w:pPr>
      <w:rPr>
        <w:rFonts w:hint="eastAsia"/>
      </w:rPr>
    </w:lvl>
  </w:abstractNum>
  <w:abstractNum w:abstractNumId="4">
    <w:nsid w:val="F3162BD6"/>
    <w:multiLevelType w:val="singleLevel"/>
    <w:tmpl w:val="F3162BD6"/>
    <w:lvl w:ilvl="0" w:tentative="0">
      <w:start w:val="1"/>
      <w:numFmt w:val="chineseCounting"/>
      <w:suff w:val="nothing"/>
      <w:lvlText w:val="（%1）"/>
      <w:lvlJc w:val="left"/>
      <w:pPr>
        <w:ind w:left="0" w:firstLine="420"/>
      </w:pPr>
      <w:rPr>
        <w:rFonts w:hint="eastAsia"/>
      </w:rPr>
    </w:lvl>
  </w:abstractNum>
  <w:abstractNum w:abstractNumId="5">
    <w:nsid w:val="FF6666BA"/>
    <w:multiLevelType w:val="singleLevel"/>
    <w:tmpl w:val="FF6666BA"/>
    <w:lvl w:ilvl="0" w:tentative="0">
      <w:start w:val="1"/>
      <w:numFmt w:val="chineseCounting"/>
      <w:suff w:val="nothing"/>
      <w:lvlText w:val="（%1）"/>
      <w:lvlJc w:val="left"/>
      <w:pPr>
        <w:ind w:left="0" w:firstLine="420"/>
      </w:pPr>
      <w:rPr>
        <w:rFonts w:hint="eastAsia"/>
      </w:rPr>
    </w:lvl>
  </w:abstractNum>
  <w:abstractNum w:abstractNumId="6">
    <w:nsid w:val="03ACE02B"/>
    <w:multiLevelType w:val="singleLevel"/>
    <w:tmpl w:val="03ACE02B"/>
    <w:lvl w:ilvl="0" w:tentative="0">
      <w:start w:val="1"/>
      <w:numFmt w:val="decimal"/>
      <w:suff w:val="nothing"/>
      <w:lvlText w:val="%1．"/>
      <w:lvlJc w:val="left"/>
      <w:pPr>
        <w:ind w:left="0" w:firstLine="400"/>
      </w:pPr>
      <w:rPr>
        <w:rFonts w:hint="default"/>
      </w:rPr>
    </w:lvl>
  </w:abstractNum>
  <w:abstractNum w:abstractNumId="7">
    <w:nsid w:val="0B7B33AF"/>
    <w:multiLevelType w:val="singleLevel"/>
    <w:tmpl w:val="0B7B33AF"/>
    <w:lvl w:ilvl="0" w:tentative="0">
      <w:start w:val="1"/>
      <w:numFmt w:val="chineseCounting"/>
      <w:suff w:val="nothing"/>
      <w:lvlText w:val="（%1）"/>
      <w:lvlJc w:val="left"/>
      <w:pPr>
        <w:ind w:left="0" w:firstLine="420"/>
      </w:pPr>
      <w:rPr>
        <w:rFonts w:hint="eastAsia"/>
      </w:rPr>
    </w:lvl>
  </w:abstractNum>
  <w:abstractNum w:abstractNumId="8">
    <w:nsid w:val="0F91EE49"/>
    <w:multiLevelType w:val="singleLevel"/>
    <w:tmpl w:val="0F91EE49"/>
    <w:lvl w:ilvl="0" w:tentative="0">
      <w:start w:val="1"/>
      <w:numFmt w:val="chineseCounting"/>
      <w:suff w:val="nothing"/>
      <w:lvlText w:val="%1、"/>
      <w:lvlJc w:val="left"/>
      <w:pPr>
        <w:ind w:left="0" w:firstLine="420"/>
      </w:pPr>
      <w:rPr>
        <w:rFonts w:hint="eastAsia"/>
      </w:rPr>
    </w:lvl>
  </w:abstractNum>
  <w:abstractNum w:abstractNumId="9">
    <w:nsid w:val="172A8D9C"/>
    <w:multiLevelType w:val="singleLevel"/>
    <w:tmpl w:val="172A8D9C"/>
    <w:lvl w:ilvl="0" w:tentative="0">
      <w:start w:val="1"/>
      <w:numFmt w:val="chineseCounting"/>
      <w:suff w:val="nothing"/>
      <w:lvlText w:val="（%1）"/>
      <w:lvlJc w:val="left"/>
      <w:pPr>
        <w:ind w:left="0" w:firstLine="420"/>
      </w:pPr>
      <w:rPr>
        <w:rFonts w:hint="eastAsia"/>
      </w:rPr>
    </w:lvl>
  </w:abstractNum>
  <w:abstractNum w:abstractNumId="10">
    <w:nsid w:val="21E346A0"/>
    <w:multiLevelType w:val="singleLevel"/>
    <w:tmpl w:val="21E346A0"/>
    <w:lvl w:ilvl="0" w:tentative="0">
      <w:start w:val="1"/>
      <w:numFmt w:val="chineseCounting"/>
      <w:suff w:val="nothing"/>
      <w:lvlText w:val="（%1）"/>
      <w:lvlJc w:val="left"/>
      <w:pPr>
        <w:ind w:left="0" w:firstLine="420"/>
      </w:pPr>
      <w:rPr>
        <w:rFonts w:hint="eastAsia"/>
      </w:rPr>
    </w:lvl>
  </w:abstractNum>
  <w:abstractNum w:abstractNumId="11">
    <w:nsid w:val="40E7C84C"/>
    <w:multiLevelType w:val="singleLevel"/>
    <w:tmpl w:val="40E7C84C"/>
    <w:lvl w:ilvl="0" w:tentative="0">
      <w:start w:val="1"/>
      <w:numFmt w:val="chineseCounting"/>
      <w:suff w:val="nothing"/>
      <w:lvlText w:val="（%1）"/>
      <w:lvlJc w:val="left"/>
      <w:pPr>
        <w:ind w:left="0" w:firstLine="420"/>
      </w:pPr>
      <w:rPr>
        <w:rFonts w:hint="eastAsia"/>
      </w:rPr>
    </w:lvl>
  </w:abstractNum>
  <w:abstractNum w:abstractNumId="12">
    <w:nsid w:val="647DDFA6"/>
    <w:multiLevelType w:val="singleLevel"/>
    <w:tmpl w:val="647DDFA6"/>
    <w:lvl w:ilvl="0" w:tentative="0">
      <w:start w:val="1"/>
      <w:numFmt w:val="chineseCounting"/>
      <w:suff w:val="nothing"/>
      <w:lvlText w:val="（%1）"/>
      <w:lvlJc w:val="left"/>
      <w:pPr>
        <w:ind w:left="0" w:firstLine="420"/>
      </w:pPr>
      <w:rPr>
        <w:rFonts w:hint="eastAsia"/>
      </w:rPr>
    </w:lvl>
  </w:abstractNum>
  <w:abstractNum w:abstractNumId="13">
    <w:nsid w:val="6DE2EB59"/>
    <w:multiLevelType w:val="singleLevel"/>
    <w:tmpl w:val="6DE2EB59"/>
    <w:lvl w:ilvl="0" w:tentative="0">
      <w:start w:val="1"/>
      <w:numFmt w:val="chineseCounting"/>
      <w:suff w:val="nothing"/>
      <w:lvlText w:val="（%1）"/>
      <w:lvlJc w:val="left"/>
      <w:pPr>
        <w:ind w:left="0" w:firstLine="420"/>
      </w:pPr>
      <w:rPr>
        <w:rFonts w:hint="eastAsia"/>
      </w:rPr>
    </w:lvl>
  </w:abstractNum>
  <w:abstractNum w:abstractNumId="14">
    <w:nsid w:val="7342A680"/>
    <w:multiLevelType w:val="singleLevel"/>
    <w:tmpl w:val="7342A680"/>
    <w:lvl w:ilvl="0" w:tentative="0">
      <w:start w:val="1"/>
      <w:numFmt w:val="chineseCounting"/>
      <w:suff w:val="nothing"/>
      <w:lvlText w:val="（%1）"/>
      <w:lvlJc w:val="left"/>
      <w:pPr>
        <w:ind w:left="0" w:firstLine="420"/>
      </w:pPr>
      <w:rPr>
        <w:rFonts w:hint="eastAsia"/>
      </w:rPr>
    </w:lvl>
  </w:abstractNum>
  <w:abstractNum w:abstractNumId="15">
    <w:nsid w:val="77B490ED"/>
    <w:multiLevelType w:val="singleLevel"/>
    <w:tmpl w:val="77B490ED"/>
    <w:lvl w:ilvl="0" w:tentative="0">
      <w:start w:val="1"/>
      <w:numFmt w:val="chineseCounting"/>
      <w:suff w:val="nothing"/>
      <w:lvlText w:val="（%1）"/>
      <w:lvlJc w:val="left"/>
      <w:pPr>
        <w:ind w:left="0" w:firstLine="420"/>
      </w:pPr>
      <w:rPr>
        <w:rFonts w:hint="eastAsia"/>
      </w:rPr>
    </w:lvl>
  </w:abstractNum>
  <w:num w:numId="1">
    <w:abstractNumId w:val="8"/>
  </w:num>
  <w:num w:numId="2">
    <w:abstractNumId w:val="3"/>
  </w:num>
  <w:num w:numId="3">
    <w:abstractNumId w:val="1"/>
  </w:num>
  <w:num w:numId="4">
    <w:abstractNumId w:val="5"/>
  </w:num>
  <w:num w:numId="5">
    <w:abstractNumId w:val="15"/>
  </w:num>
  <w:num w:numId="6">
    <w:abstractNumId w:val="7"/>
  </w:num>
  <w:num w:numId="7">
    <w:abstractNumId w:val="13"/>
  </w:num>
  <w:num w:numId="8">
    <w:abstractNumId w:val="12"/>
  </w:num>
  <w:num w:numId="9">
    <w:abstractNumId w:val="2"/>
  </w:num>
  <w:num w:numId="10">
    <w:abstractNumId w:val="11"/>
  </w:num>
  <w:num w:numId="11">
    <w:abstractNumId w:val="6"/>
  </w:num>
  <w:num w:numId="12">
    <w:abstractNumId w:val="10"/>
  </w:num>
  <w:num w:numId="13">
    <w:abstractNumId w:val="9"/>
  </w:num>
  <w:num w:numId="14">
    <w:abstractNumId w:val="14"/>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042B94"/>
    <w:rsid w:val="50884397"/>
    <w:rsid w:val="54886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5"/>
    <w:link w:val="10"/>
    <w:semiHidden/>
    <w:unhideWhenUsed/>
    <w:qFormat/>
    <w:uiPriority w:val="0"/>
    <w:pPr>
      <w:keepNext/>
      <w:keepLines/>
      <w:widowControl/>
      <w:spacing w:before="260" w:beforeLines="0" w:after="260" w:afterLines="0"/>
      <w:ind w:left="284"/>
      <w:jc w:val="center"/>
      <w:outlineLvl w:val="1"/>
    </w:pPr>
    <w:rPr>
      <w:rFonts w:ascii="Arial" w:hAnsi="Arial" w:eastAsia="宋体"/>
      <w:b/>
      <w:bCs/>
      <w:kern w:val="0"/>
      <w:sz w:val="32"/>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6"/>
    <w:uiPriority w:val="0"/>
    <w:pPr>
      <w:ind w:firstLine="420" w:firstLineChars="200"/>
    </w:pPr>
  </w:style>
  <w:style w:type="paragraph" w:styleId="6">
    <w:name w:val="toc 4"/>
    <w:basedOn w:val="1"/>
    <w:next w:val="1"/>
    <w:unhideWhenUsed/>
    <w:qFormat/>
    <w:uiPriority w:val="39"/>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 Char Char11"/>
    <w:link w:val="4"/>
    <w:qFormat/>
    <w:uiPriority w:val="0"/>
    <w:rPr>
      <w:rFonts w:ascii="Arial" w:hAnsi="Arial" w:eastAsia="宋体" w:cs="Times New Roman"/>
      <w:b/>
      <w:bCs/>
      <w:kern w:val="2"/>
      <w:sz w:val="32"/>
      <w:szCs w:val="32"/>
    </w:rPr>
  </w:style>
  <w:style w:type="paragraph" w:customStyle="1" w:styleId="11">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2021-06-15T01:43:00Z</dcterms:created>
  <dc:creator>001</dc:creator>
  <cp:lastModifiedBy>华夏国际-招标部1</cp:lastModifiedBy>
  <dcterms:modified xsi:type="dcterms:W3CDTF">2024-12-18T05:29:58Z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A910364B849B4CF2AA8B592628233A96</vt:lpwstr>
  </property>
</Properties>
</file>