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版本号：241227002</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无创肝纤维化和脂肪变量化检测系统采购项目</w:t>
      </w:r>
    </w:p>
    <w:p>
      <w:pPr>
        <w:pStyle w:val="null3"/>
        <w:jc w:val="center"/>
        <w:outlineLvl w:val="2"/>
      </w:pPr>
      <w:r>
        <w:rPr>
          <w:sz w:val="28"/>
          <w:b/>
        </w:rPr>
        <w:t>采购项目编号：</w:t>
      </w:r>
      <w:r>
        <w:rPr>
          <w:sz w:val="28"/>
          <w:b/>
        </w:rPr>
        <w:t>ZDJ124-079ZSA</w:t>
      </w:r>
      <w:r>
        <w:br/>
      </w:r>
      <w:r>
        <w:br/>
      </w:r>
      <w:r>
        <w:br/>
      </w:r>
    </w:p>
    <w:p>
      <w:pPr>
        <w:pStyle w:val="null3"/>
        <w:jc w:val="center"/>
        <w:outlineLvl w:val="2"/>
      </w:pPr>
      <w:r>
        <w:rPr>
          <w:sz w:val="28"/>
          <w:b/>
        </w:rPr>
        <w:t>陕西中医药大学第二附属医院</w:t>
      </w:r>
    </w:p>
    <w:p>
      <w:pPr>
        <w:pStyle w:val="null3"/>
        <w:jc w:val="center"/>
        <w:outlineLvl w:val="2"/>
      </w:pPr>
      <w:r>
        <w:rPr>
          <w:sz w:val="28"/>
          <w:b/>
        </w:rPr>
        <w:t>正大方略工程咨询有限公司</w:t>
      </w:r>
      <w:r>
        <w:rPr>
          <w:sz w:val="28"/>
          <w:b/>
        </w:rPr>
        <w:t>共同编制</w:t>
      </w:r>
    </w:p>
    <w:p>
      <w:pPr>
        <w:pStyle w:val="null3"/>
        <w:jc w:val="center"/>
        <w:outlineLvl w:val="2"/>
      </w:pPr>
      <w:r>
        <w:rPr>
          <w:sz w:val="28"/>
          <w:b/>
        </w:rPr>
        <w:t>2024年12月27日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正大方略工程咨询有限公司</w:t>
      </w:r>
      <w:r>
        <w:rPr/>
        <w:t>（以下简称“代理机构”）受</w:t>
      </w:r>
      <w:r>
        <w:rPr/>
        <w:t>陕西中医药大学第二附属医院</w:t>
      </w:r>
      <w:r>
        <w:rPr/>
        <w:t>委托，拟对</w:t>
      </w:r>
      <w:r>
        <w:rPr/>
        <w:t>无创肝纤维化和脂肪变量化检测系统采购项目</w:t>
      </w:r>
      <w:r>
        <w:rPr/>
        <w:t>进行国内公开招标，兹邀请符合本次招标要求的供应商参加投标。</w:t>
      </w:r>
    </w:p>
    <w:p>
      <w:pPr>
        <w:pStyle w:val="null3"/>
        <w:outlineLvl w:val="2"/>
      </w:pPr>
      <w:r>
        <w:rPr>
          <w:sz w:val="28"/>
          <w:b/>
        </w:rPr>
        <w:t>一、采购项目编号：</w:t>
      </w:r>
      <w:r>
        <w:rPr>
          <w:sz w:val="28"/>
          <w:b/>
        </w:rPr>
        <w:t>ZDJ124-079ZSA</w:t>
      </w:r>
    </w:p>
    <w:p>
      <w:pPr>
        <w:pStyle w:val="null3"/>
        <w:outlineLvl w:val="2"/>
      </w:pPr>
      <w:r>
        <w:rPr>
          <w:sz w:val="28"/>
          <w:b/>
        </w:rPr>
        <w:t>二、采购项目名称：</w:t>
      </w:r>
      <w:r>
        <w:rPr>
          <w:sz w:val="28"/>
          <w:b/>
        </w:rPr>
        <w:t>无创肝纤维化和脂肪变量化检测系统采购项目</w:t>
      </w:r>
    </w:p>
    <w:p>
      <w:pPr>
        <w:pStyle w:val="null3"/>
        <w:outlineLvl w:val="2"/>
      </w:pPr>
      <w:r>
        <w:rPr>
          <w:sz w:val="28"/>
          <w:b/>
        </w:rPr>
        <w:t>三、招标项目简介</w:t>
      </w:r>
    </w:p>
    <w:p>
      <w:pPr>
        <w:pStyle w:val="null3"/>
        <w:ind w:firstLine="480"/>
      </w:pPr>
      <w:r>
        <w:rPr/>
        <w:t>陕西中医药大学第二附属医院无创肝纤维化和脂肪变量化检测系统采购项目，具体内容以招标文件要求为准。</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1、企业资质：生产企业需提供的：投标产品《医疗器械注册证》和《医疗器械生产许可证》。 经销商需提供的：《医疗器械经营许可证》和生产企业投标产品《医疗器械注册证》和《医疗器械生产许可证》复印件。</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陕西中医药大学第二附属医院</w:t>
      </w:r>
    </w:p>
    <w:p>
      <w:pPr>
        <w:pStyle w:val="null3"/>
      </w:pPr>
      <w:r>
        <w:rPr/>
        <w:t xml:space="preserve"> 地址： </w:t>
      </w:r>
      <w:r>
        <w:rPr/>
        <w:t>咸阳市渭阳西路5号</w:t>
      </w:r>
    </w:p>
    <w:p>
      <w:pPr>
        <w:pStyle w:val="null3"/>
      </w:pPr>
      <w:r>
        <w:rPr/>
        <w:t xml:space="preserve"> 邮编： </w:t>
      </w:r>
      <w:r>
        <w:rPr/>
        <w:t>712099</w:t>
      </w:r>
    </w:p>
    <w:p>
      <w:pPr>
        <w:pStyle w:val="null3"/>
      </w:pPr>
      <w:r>
        <w:rPr/>
        <w:t xml:space="preserve"> 联系人： </w:t>
      </w:r>
      <w:r>
        <w:rPr/>
        <w:t>陕西中医药大学第二附属医院经办</w:t>
      </w:r>
    </w:p>
    <w:p>
      <w:pPr>
        <w:pStyle w:val="null3"/>
      </w:pPr>
      <w:r>
        <w:rPr/>
        <w:t xml:space="preserve"> 联系电话： </w:t>
      </w:r>
      <w:r>
        <w:rPr/>
        <w:t>029-33350559</w:t>
      </w:r>
    </w:p>
    <w:p>
      <w:pPr>
        <w:pStyle w:val="null3"/>
        <w:outlineLvl w:val="2"/>
      </w:pPr>
      <w:r>
        <w:rPr>
          <w:sz w:val="28"/>
          <w:b/>
        </w:rPr>
        <w:t>代理机构：</w:t>
      </w:r>
      <w:r>
        <w:rPr>
          <w:sz w:val="28"/>
          <w:b/>
        </w:rPr>
        <w:t>正大方略工程咨询有限公司</w:t>
      </w:r>
    </w:p>
    <w:p>
      <w:pPr>
        <w:pStyle w:val="null3"/>
      </w:pPr>
      <w:r>
        <w:rPr/>
        <w:t xml:space="preserve"> 地址： </w:t>
      </w:r>
      <w:r>
        <w:rPr/>
        <w:t>陕西省西安市雁塔区南二环东段22号凯森盛世1号A座26-27层</w:t>
      </w:r>
    </w:p>
    <w:p>
      <w:pPr>
        <w:pStyle w:val="null3"/>
      </w:pPr>
      <w:r>
        <w:rPr/>
        <w:t xml:space="preserve"> 邮编： </w:t>
      </w:r>
      <w:r>
        <w:rPr/>
        <w:t>710000</w:t>
      </w:r>
    </w:p>
    <w:p>
      <w:pPr>
        <w:pStyle w:val="null3"/>
      </w:pPr>
      <w:r>
        <w:rPr/>
        <w:t xml:space="preserve"> 联系人： </w:t>
      </w:r>
      <w:r>
        <w:rPr/>
        <w:t>卓腾、王亚妮</w:t>
      </w:r>
    </w:p>
    <w:p>
      <w:pPr>
        <w:pStyle w:val="null3"/>
      </w:pPr>
      <w:r>
        <w:rPr/>
        <w:t xml:space="preserve"> 联系电话： </w:t>
      </w:r>
      <w:r>
        <w:rPr/>
        <w:t>029-82471109</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采购包1：1,440,000.00元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代理服务费收费标准：依据《招标代理服务收费管理暂行办法》（计价格[2002]1980号）规定标准下浮50%收取，由中标单位在领取成交通知书前一次性支付代理服务费。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陕西中医药大学第二附属医院</w:t>
      </w:r>
      <w:r>
        <w:rPr/>
        <w:t>和</w:t>
      </w:r>
      <w:r>
        <w:rPr/>
        <w:t>正大方略工程咨询有限公司</w:t>
      </w:r>
      <w:r>
        <w:rPr/>
        <w:t>享有。对招标文件中供应商参加本次政府采购活动应当具备的条件，招标项目技术、服务、商务及其他要求，评标细则及标准由</w:t>
      </w:r>
      <w:r>
        <w:rPr/>
        <w:t>陕西中医药大学第二附属医院</w:t>
      </w:r>
      <w:r>
        <w:rPr/>
        <w:t>负责解释。除上述招标文件内容，其他内容由</w:t>
      </w:r>
      <w:r>
        <w:rPr/>
        <w:t>正大方略工程咨询有限公司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陕西中医药大学第二附属医院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正大方略工程咨询有限公司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1、乙方的产品质量应当符合国家行业规定的标准，并无任何瑕疵；乙方应按配置清单要求提供原装全新产品，对该产品实行三包（即包修、包退、包换）。 2、如交付品种、型号、规格不符合同约定的，由乙方负责退换，由此产生的一切费用及给甲方造成的相关损失由乙方全部承担并赔偿相应损失，且交货期限不予延长。 3、如不能修理或者不能调换的，按不能交货处理，因此给甲方造成的所有经济损失乙方应予全额赔偿。 4、如因该产品本身的质量原因而在使用过程中造成的任何医疗事故纠纷，由乙方全额负责赔偿，甲方因此遭遇索赔的，有权向乙方追偿。 5、乙方及其工作人员在履行本合同义务过程中，造成其自身或甲方工作人员或任何第三人人身、财产遭受损伤的，均由乙方承担一切法律责任，与甲方无关，甲方因此遭遇索赔的，有权向乙方追偿。</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正大方略工程咨询有限公司</w:t>
      </w:r>
      <w:r>
        <w:rPr/>
        <w:t xml:space="preserve"> 负责答复；供应商对除采购需求外的采购文件的询问、质疑由</w:t>
      </w:r>
      <w:r>
        <w:rPr/>
        <w:t>正大方略工程咨询有限公司</w:t>
      </w:r>
      <w:r>
        <w:rPr/>
        <w:t xml:space="preserve"> 负责答复；供应商对采购过程、采购结果的询问、质疑由 </w:t>
      </w:r>
      <w:r>
        <w:rPr/>
        <w:t>正大方略工程咨询有限公司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联系人：卓腾、王亚妮</w:t>
      </w:r>
    </w:p>
    <w:p>
      <w:pPr>
        <w:pStyle w:val="null3"/>
      </w:pPr>
      <w:r>
        <w:rPr/>
        <w:t>联系电话：029-82471109</w:t>
      </w:r>
    </w:p>
    <w:p>
      <w:pPr>
        <w:pStyle w:val="null3"/>
      </w:pPr>
      <w:r>
        <w:rPr/>
        <w:t>地址：陕西省西安市雁塔区南二环东段22号凯森盛世1号A座26层2617</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陕西中医药大学第二附属医院无创肝纤维化和脂肪变量化检测系统采购项目，具体内容以招标文件要求为准。</w:t>
      </w:r>
    </w:p>
    <w:p>
      <w:pPr>
        <w:pStyle w:val="null3"/>
        <w:outlineLvl w:val="2"/>
      </w:pPr>
      <w:r>
        <w:rPr>
          <w:sz w:val="28"/>
          <w:b/>
        </w:rPr>
        <w:t>3.2采购内容</w:t>
      </w:r>
    </w:p>
    <w:p>
      <w:pPr>
        <w:pStyle w:val="null3"/>
      </w:pPr>
      <w:r>
        <w:rPr/>
        <w:t>采购包1：</w:t>
      </w:r>
    </w:p>
    <w:p>
      <w:pPr>
        <w:pStyle w:val="null3"/>
      </w:pPr>
      <w:r>
        <w:rPr/>
        <w:t>采购包预算金额（元）: 1,440,000.00</w:t>
      </w:r>
    </w:p>
    <w:p>
      <w:pPr>
        <w:pStyle w:val="null3"/>
      </w:pPr>
      <w:r>
        <w:rPr/>
        <w:t>采购包最高限价（元）: 1,440,000.00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无创肝纤维化和脂肪变量化检测系统</w:t>
            </w:r>
          </w:p>
        </w:tc>
        <w:tc>
          <w:tcPr>
            <w:tcW w:type="dxa" w:w="831"/>
          </w:tcPr>
          <w:p>
            <w:pPr>
              <w:pStyle w:val="null3"/>
              <w:jc w:val="right"/>
            </w:pPr>
            <w:r>
              <w:rPr/>
              <w:t>1.00</w:t>
            </w:r>
          </w:p>
        </w:tc>
        <w:tc>
          <w:tcPr>
            <w:tcW w:type="dxa" w:w="831"/>
          </w:tcPr>
          <w:p>
            <w:pPr>
              <w:pStyle w:val="null3"/>
              <w:jc w:val="right"/>
            </w:pPr>
            <w:r>
              <w:rPr/>
              <w:t>1,440,000.00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标的名称：无创肝纤维化和脂肪变量化检测系统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46"/>
              <w:gridCol w:w="185"/>
              <w:gridCol w:w="267"/>
              <w:gridCol w:w="1844"/>
            </w:tblGrid>
            <w:tr>
              <w:tc>
                <w:tcPr>
                  <w:tcW w:type="dxa" w:w="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u w:val="single"/>
                    </w:rPr>
                    <w:t>重要性</w:t>
                  </w:r>
                </w:p>
              </w:tc>
              <w:tc>
                <w:tcPr>
                  <w:tcW w:type="dxa" w:w="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u w:val="single"/>
                    </w:rPr>
                    <w:t>序号</w:t>
                  </w:r>
                </w:p>
              </w:tc>
              <w:tc>
                <w:tcPr>
                  <w:tcW w:type="dxa" w:w="2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u w:val="single"/>
                    </w:rPr>
                    <w:t>名称</w:t>
                  </w:r>
                </w:p>
              </w:tc>
              <w:tc>
                <w:tcPr>
                  <w:tcW w:type="dxa" w:w="18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u w:val="single"/>
                    </w:rPr>
                    <w:t>技术指标</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u w:val="single"/>
                    </w:rPr>
                    <w:t>▲</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u w:val="single"/>
                    </w:rPr>
                    <w:t>1</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主机显</w:t>
                  </w:r>
                  <w:r>
                    <w:rPr>
                      <w:rFonts w:ascii="宋体" w:hAnsi="宋体" w:cs="宋体" w:eastAsia="宋体"/>
                      <w:sz w:val="20"/>
                      <w:u w:val="single"/>
                    </w:rPr>
                    <w:t>示屏</w:t>
                  </w:r>
                </w:p>
              </w:tc>
              <w:tc>
                <w:tcPr>
                  <w:tcW w:type="dxa" w:w="1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u w:val="single"/>
                    </w:rPr>
                    <w:t>≥</w:t>
                  </w:r>
                  <w:r>
                    <w:rPr>
                      <w:rFonts w:ascii="calibri" w:hAnsi="calibri" w:cs="calibri" w:eastAsia="calibri"/>
                      <w:sz w:val="20"/>
                      <w:u w:val="single"/>
                    </w:rPr>
                    <w:t>2</w:t>
                  </w:r>
                  <w:r>
                    <w:rPr>
                      <w:rFonts w:ascii="calibri" w:hAnsi="calibri" w:cs="calibri" w:eastAsia="calibri"/>
                      <w:sz w:val="20"/>
                    </w:rPr>
                    <w:t>0</w:t>
                  </w:r>
                  <w:r>
                    <w:rPr>
                      <w:rFonts w:ascii="宋体" w:hAnsi="宋体" w:cs="宋体" w:eastAsia="宋体"/>
                      <w:sz w:val="20"/>
                      <w:u w:val="single"/>
                    </w:rPr>
                    <w:t>英寸</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u w:val="single"/>
                    </w:rPr>
                    <w:t>2</w:t>
                  </w:r>
                </w:p>
              </w:tc>
              <w:tc>
                <w:tcPr>
                  <w:tcW w:type="dxa" w:w="2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u w:val="single"/>
                    </w:rPr>
                    <w:t>主机</w:t>
                  </w:r>
                </w:p>
              </w:tc>
              <w:tc>
                <w:tcPr>
                  <w:tcW w:type="dxa" w:w="1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u w:val="single"/>
                    </w:rPr>
                    <w:t>存储容量：</w:t>
                  </w:r>
                  <w:r>
                    <w:rPr>
                      <w:rFonts w:ascii="宋体" w:hAnsi="宋体" w:cs="宋体" w:eastAsia="宋体"/>
                      <w:sz w:val="20"/>
                      <w:u w:val="single"/>
                    </w:rPr>
                    <w:t>≥</w:t>
                  </w:r>
                  <w:r>
                    <w:rPr>
                      <w:rFonts w:ascii="calibri" w:hAnsi="calibri" w:cs="calibri" w:eastAsia="calibri"/>
                      <w:sz w:val="20"/>
                      <w:u w:val="single"/>
                    </w:rPr>
                    <w:t>1T</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u w:val="single"/>
                    </w:rPr>
                    <w:t>3</w:t>
                  </w:r>
                </w:p>
              </w:tc>
              <w:tc>
                <w:tcPr>
                  <w:tcW w:type="dxa" w:w="267"/>
                  <w:vMerge/>
                  <w:tcBorders>
                    <w:top w:val="none" w:color="000000" w:sz="4"/>
                    <w:left w:val="single" w:color="000000" w:sz="4"/>
                    <w:bottom w:val="single" w:color="000000" w:sz="4"/>
                    <w:right w:val="single" w:color="000000" w:sz="4"/>
                  </w:tcBorders>
                </w:tcPr>
                <w:p/>
              </w:tc>
              <w:tc>
                <w:tcPr>
                  <w:tcW w:type="dxa" w:w="1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u w:val="single"/>
                    </w:rPr>
                    <w:t>接口：</w:t>
                  </w:r>
                  <w:r>
                    <w:rPr>
                      <w:rFonts w:ascii="calibri" w:hAnsi="calibri" w:cs="calibri" w:eastAsia="calibri"/>
                      <w:sz w:val="20"/>
                      <w:u w:val="single"/>
                    </w:rPr>
                    <w:t>USB</w:t>
                  </w:r>
                  <w:r>
                    <w:rPr>
                      <w:rFonts w:ascii="宋体" w:hAnsi="宋体" w:cs="宋体" w:eastAsia="宋体"/>
                      <w:sz w:val="20"/>
                      <w:u w:val="single"/>
                    </w:rPr>
                    <w:t>、剪切波探头</w:t>
                  </w:r>
                  <w:r>
                    <w:rPr>
                      <w:rFonts w:ascii="宋体" w:hAnsi="宋体" w:cs="宋体" w:eastAsia="宋体"/>
                      <w:sz w:val="20"/>
                      <w:u w:val="single"/>
                    </w:rPr>
                    <w:t>等</w:t>
                  </w:r>
                  <w:r>
                    <w:rPr>
                      <w:rFonts w:ascii="宋体" w:hAnsi="宋体" w:cs="宋体" w:eastAsia="宋体"/>
                      <w:sz w:val="20"/>
                      <w:u w:val="single"/>
                    </w:rPr>
                    <w:t>接口。</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u w:val="single"/>
                    </w:rPr>
                    <w:t>▲</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u w:val="single"/>
                    </w:rPr>
                    <w:t>4</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u w:val="single"/>
                    </w:rPr>
                    <w:t>弹性成像技术来评估肝脏的硬度；超声衰减理论来评估肝组织的脂肪变数值；可升级脾脏硬度检查，用于辅助诊断食管静脉曲张。</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u w:val="single"/>
                    </w:rPr>
                    <w:t>5</w:t>
                  </w:r>
                </w:p>
              </w:tc>
              <w:tc>
                <w:tcPr>
                  <w:tcW w:type="dxa" w:w="2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u w:val="single"/>
                    </w:rPr>
                    <w:t>辅助定位</w:t>
                  </w:r>
                </w:p>
              </w:tc>
              <w:tc>
                <w:tcPr>
                  <w:tcW w:type="dxa" w:w="1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u w:val="single"/>
                    </w:rPr>
                    <w:t>时间位移（</w:t>
                  </w:r>
                  <w:r>
                    <w:rPr>
                      <w:rFonts w:ascii="calibri" w:hAnsi="calibri" w:cs="calibri" w:eastAsia="calibri"/>
                      <w:sz w:val="20"/>
                      <w:u w:val="single"/>
                    </w:rPr>
                    <w:t>M</w:t>
                  </w:r>
                  <w:r>
                    <w:rPr>
                      <w:rFonts w:ascii="宋体" w:hAnsi="宋体" w:cs="宋体" w:eastAsia="宋体"/>
                      <w:sz w:val="20"/>
                      <w:u w:val="single"/>
                    </w:rPr>
                    <w:t>）模式，灰阶图像</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u w:val="single"/>
                    </w:rPr>
                    <w:t>6</w:t>
                  </w:r>
                </w:p>
              </w:tc>
              <w:tc>
                <w:tcPr>
                  <w:tcW w:type="dxa" w:w="267"/>
                  <w:vMerge/>
                  <w:tcBorders>
                    <w:top w:val="none" w:color="000000" w:sz="4"/>
                    <w:left w:val="single" w:color="000000" w:sz="4"/>
                    <w:bottom w:val="single" w:color="000000" w:sz="4"/>
                    <w:right w:val="single" w:color="000000" w:sz="4"/>
                  </w:tcBorders>
                </w:tcPr>
                <w:p/>
              </w:tc>
              <w:tc>
                <w:tcPr>
                  <w:tcW w:type="dxa" w:w="1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0"/>
                      <w:u w:val="single"/>
                    </w:rPr>
                    <w:t>A</w:t>
                  </w:r>
                  <w:r>
                    <w:rPr>
                      <w:rFonts w:ascii="宋体" w:hAnsi="宋体" w:cs="宋体" w:eastAsia="宋体"/>
                      <w:sz w:val="20"/>
                      <w:u w:val="single"/>
                    </w:rPr>
                    <w:t>模式</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u w:val="single"/>
                    </w:rPr>
                    <w:t>7</w:t>
                  </w:r>
                </w:p>
              </w:tc>
              <w:tc>
                <w:tcPr>
                  <w:tcW w:type="dxa" w:w="2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u w:val="single"/>
                    </w:rPr>
                    <w:t>测量数值显示</w:t>
                  </w:r>
                </w:p>
                <w:p>
                  <w:pPr>
                    <w:pStyle w:val="null3"/>
                    <w:jc w:val="center"/>
                  </w:pPr>
                </w:p>
              </w:tc>
              <w:tc>
                <w:tcPr>
                  <w:tcW w:type="dxa" w:w="1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u w:val="single"/>
                    </w:rPr>
                    <w:t>测量数值显示：患者信息、硬度值中位数、</w:t>
                  </w:r>
                  <w:r>
                    <w:rPr>
                      <w:rFonts w:ascii="宋体" w:hAnsi="宋体" w:cs="宋体" w:eastAsia="宋体"/>
                      <w:sz w:val="20"/>
                      <w:u w:val="single"/>
                    </w:rPr>
                    <w:t>脂肪变</w:t>
                  </w:r>
                  <w:r>
                    <w:rPr>
                      <w:rFonts w:ascii="宋体" w:hAnsi="宋体" w:cs="宋体" w:eastAsia="宋体"/>
                      <w:sz w:val="20"/>
                      <w:u w:val="single"/>
                    </w:rPr>
                    <w:t>值、有效测量次数、</w:t>
                  </w:r>
                  <w:r>
                    <w:rPr>
                      <w:rFonts w:ascii="calibri" w:hAnsi="calibri" w:cs="calibri" w:eastAsia="calibri"/>
                      <w:sz w:val="20"/>
                      <w:u w:val="single"/>
                    </w:rPr>
                    <w:t>IQR</w:t>
                  </w:r>
                  <w:r>
                    <w:rPr>
                      <w:rFonts w:ascii="宋体" w:hAnsi="宋体" w:cs="宋体" w:eastAsia="宋体"/>
                      <w:sz w:val="20"/>
                      <w:u w:val="single"/>
                    </w:rPr>
                    <w:t>。</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u w:val="single"/>
                    </w:rPr>
                    <w:t>8</w:t>
                  </w:r>
                </w:p>
              </w:tc>
              <w:tc>
                <w:tcPr>
                  <w:tcW w:type="dxa" w:w="267"/>
                  <w:vMerge/>
                  <w:tcBorders>
                    <w:top w:val="none" w:color="000000" w:sz="4"/>
                    <w:left w:val="single" w:color="000000" w:sz="4"/>
                    <w:bottom w:val="single" w:color="000000" w:sz="4"/>
                    <w:right w:val="single" w:color="000000" w:sz="4"/>
                  </w:tcBorders>
                </w:tcPr>
                <w:p/>
              </w:tc>
              <w:tc>
                <w:tcPr>
                  <w:tcW w:type="dxa" w:w="1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u w:val="single"/>
                    </w:rPr>
                    <w:t>硬度量程：</w:t>
                  </w:r>
                  <w:r>
                    <w:rPr>
                      <w:rFonts w:ascii="宋体" w:hAnsi="宋体" w:cs="宋体" w:eastAsia="宋体"/>
                      <w:sz w:val="20"/>
                      <w:u w:val="single"/>
                    </w:rPr>
                    <w:t>≥</w:t>
                  </w:r>
                  <w:r>
                    <w:rPr>
                      <w:rFonts w:ascii="calibri" w:hAnsi="calibri" w:cs="calibri" w:eastAsia="calibri"/>
                      <w:sz w:val="20"/>
                      <w:u w:val="single"/>
                    </w:rPr>
                    <w:t>60</w:t>
                  </w:r>
                  <w:r>
                    <w:rPr>
                      <w:rFonts w:ascii="calibri" w:hAnsi="calibri" w:cs="calibri" w:eastAsia="calibri"/>
                      <w:sz w:val="20"/>
                      <w:u w:val="single"/>
                    </w:rPr>
                    <w:t>kP</w:t>
                  </w:r>
                  <w:r>
                    <w:rPr>
                      <w:rFonts w:ascii="calibri" w:hAnsi="calibri" w:cs="calibri" w:eastAsia="calibri"/>
                      <w:sz w:val="20"/>
                      <w:u w:val="single"/>
                    </w:rPr>
                    <w:t>a</w:t>
                  </w:r>
                  <w:r>
                    <w:rPr>
                      <w:rFonts w:ascii="宋体" w:hAnsi="宋体" w:cs="宋体" w:eastAsia="宋体"/>
                      <w:sz w:val="20"/>
                      <w:u w:val="single"/>
                    </w:rPr>
                    <w:t>，</w:t>
                  </w:r>
                  <w:r>
                    <w:rPr>
                      <w:rFonts w:ascii="宋体" w:hAnsi="宋体" w:cs="宋体" w:eastAsia="宋体"/>
                      <w:sz w:val="20"/>
                      <w:u w:val="single"/>
                    </w:rPr>
                    <w:t>误差</w:t>
                  </w:r>
                  <w:r>
                    <w:rPr>
                      <w:rFonts w:ascii="宋体" w:hAnsi="宋体" w:cs="宋体" w:eastAsia="宋体"/>
                      <w:sz w:val="20"/>
                      <w:u w:val="single"/>
                    </w:rPr>
                    <w:t>≤</w:t>
                  </w:r>
                  <w:r>
                    <w:rPr>
                      <w:rFonts w:ascii="calibri" w:hAnsi="calibri" w:cs="calibri" w:eastAsia="calibri"/>
                      <w:sz w:val="20"/>
                      <w:u w:val="single"/>
                    </w:rPr>
                    <w:t>5</w:t>
                  </w:r>
                  <w:r>
                    <w:rPr>
                      <w:rFonts w:ascii="calibri" w:hAnsi="calibri" w:cs="calibri" w:eastAsia="calibri"/>
                      <w:sz w:val="20"/>
                      <w:u w:val="single"/>
                    </w:rPr>
                    <w:t>%</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u w:val="single"/>
                    </w:rPr>
                    <w:t>9</w:t>
                  </w:r>
                </w:p>
              </w:tc>
              <w:tc>
                <w:tcPr>
                  <w:tcW w:type="dxa" w:w="267"/>
                  <w:vMerge/>
                  <w:tcBorders>
                    <w:top w:val="none" w:color="000000" w:sz="4"/>
                    <w:left w:val="single" w:color="000000" w:sz="4"/>
                    <w:bottom w:val="single" w:color="000000" w:sz="4"/>
                    <w:right w:val="single" w:color="000000" w:sz="4"/>
                  </w:tcBorders>
                </w:tcPr>
                <w:p/>
              </w:tc>
              <w:tc>
                <w:tcPr>
                  <w:tcW w:type="dxa" w:w="1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u w:val="single"/>
                    </w:rPr>
                    <w:t>脂肪变</w:t>
                  </w:r>
                  <w:r>
                    <w:rPr>
                      <w:rFonts w:ascii="宋体" w:hAnsi="宋体" w:cs="宋体" w:eastAsia="宋体"/>
                      <w:sz w:val="20"/>
                      <w:u w:val="single"/>
                    </w:rPr>
                    <w:t>值</w:t>
                  </w:r>
                  <w:r>
                    <w:rPr>
                      <w:rFonts w:ascii="宋体" w:hAnsi="宋体" w:cs="宋体" w:eastAsia="宋体"/>
                      <w:sz w:val="20"/>
                      <w:u w:val="single"/>
                    </w:rPr>
                    <w:t>≥</w:t>
                  </w:r>
                  <w:r>
                    <w:rPr>
                      <w:rFonts w:ascii="calibri" w:hAnsi="calibri" w:cs="calibri" w:eastAsia="calibri"/>
                      <w:sz w:val="20"/>
                      <w:u w:val="single"/>
                    </w:rPr>
                    <w:t>350</w:t>
                  </w:r>
                  <w:r>
                    <w:rPr>
                      <w:rFonts w:ascii="calibri" w:hAnsi="calibri" w:cs="calibri" w:eastAsia="calibri"/>
                      <w:sz w:val="20"/>
                      <w:u w:val="single"/>
                    </w:rPr>
                    <w:t>dB/m</w:t>
                  </w:r>
                  <w:r>
                    <w:rPr>
                      <w:rFonts w:ascii="宋体" w:hAnsi="宋体" w:cs="宋体" w:eastAsia="宋体"/>
                      <w:sz w:val="20"/>
                      <w:u w:val="single"/>
                    </w:rPr>
                    <w:t>，</w:t>
                  </w:r>
                  <w:r>
                    <w:rPr>
                      <w:rFonts w:ascii="宋体" w:hAnsi="宋体" w:cs="宋体" w:eastAsia="宋体"/>
                      <w:sz w:val="20"/>
                      <w:u w:val="single"/>
                    </w:rPr>
                    <w:t>误差</w:t>
                  </w:r>
                  <w:r>
                    <w:rPr>
                      <w:rFonts w:ascii="宋体" w:hAnsi="宋体" w:cs="宋体" w:eastAsia="宋体"/>
                      <w:sz w:val="20"/>
                      <w:u w:val="single"/>
                    </w:rPr>
                    <w:t>≤</w:t>
                  </w:r>
                  <w:r>
                    <w:rPr>
                      <w:rFonts w:ascii="calibri" w:hAnsi="calibri" w:cs="calibri" w:eastAsia="calibri"/>
                      <w:sz w:val="20"/>
                      <w:u w:val="single"/>
                    </w:rPr>
                    <w:t>8</w:t>
                  </w:r>
                  <w:r>
                    <w:rPr>
                      <w:rFonts w:ascii="calibri" w:hAnsi="calibri" w:cs="calibri" w:eastAsia="calibri"/>
                      <w:sz w:val="20"/>
                      <w:u w:val="single"/>
                    </w:rPr>
                    <w:t>%</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u w:val="single"/>
                    </w:rPr>
                    <w:t>10</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u w:val="single"/>
                    </w:rPr>
                    <w:t>可连接剪切波探头数量</w:t>
                  </w:r>
                  <w:r>
                    <w:rPr>
                      <w:rFonts w:ascii="calibri" w:hAnsi="calibri" w:cs="calibri" w:eastAsia="calibri"/>
                      <w:sz w:val="20"/>
                      <w:u w:val="single"/>
                    </w:rPr>
                    <w:t xml:space="preserve"> </w:t>
                  </w:r>
                  <w:r>
                    <w:rPr>
                      <w:rFonts w:ascii="宋体" w:hAnsi="宋体" w:cs="宋体" w:eastAsia="宋体"/>
                      <w:sz w:val="20"/>
                      <w:u w:val="single"/>
                    </w:rPr>
                    <w:t>≥</w:t>
                  </w:r>
                  <w:r>
                    <w:rPr>
                      <w:rFonts w:ascii="calibri" w:hAnsi="calibri" w:cs="calibri" w:eastAsia="calibri"/>
                      <w:sz w:val="20"/>
                      <w:u w:val="single"/>
                    </w:rPr>
                    <w:t>1</w:t>
                  </w:r>
                  <w:r>
                    <w:rPr>
                      <w:rFonts w:ascii="宋体" w:hAnsi="宋体" w:cs="宋体" w:eastAsia="宋体"/>
                      <w:sz w:val="20"/>
                      <w:u w:val="single"/>
                    </w:rPr>
                    <w:t>个</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u w:val="single"/>
                    </w:rPr>
                    <w:t>11</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u w:val="single"/>
                    </w:rPr>
                    <w:t>无需改变探头传感器频率，可</w:t>
                  </w:r>
                  <w:r>
                    <w:rPr>
                      <w:rFonts w:ascii="宋体" w:hAnsi="宋体" w:cs="宋体" w:eastAsia="宋体"/>
                      <w:sz w:val="20"/>
                      <w:u w:val="single"/>
                    </w:rPr>
                    <w:t>自动检测皮肤表面到肝脏包膜的距离</w:t>
                  </w:r>
                  <w:r>
                    <w:rPr>
                      <w:rFonts w:ascii="宋体" w:hAnsi="宋体" w:cs="宋体" w:eastAsia="宋体"/>
                      <w:sz w:val="20"/>
                      <w:u w:val="single"/>
                    </w:rPr>
                    <w:t>；</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u w:val="single"/>
                    </w:rPr>
                    <w:t>12</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u w:val="single"/>
                    </w:rPr>
                    <w:t>工作状态指示：</w:t>
                  </w:r>
                  <w:r>
                    <w:rPr>
                      <w:rFonts w:ascii="calibri" w:hAnsi="calibri" w:cs="calibri" w:eastAsia="calibri"/>
                      <w:sz w:val="20"/>
                      <w:u w:val="single"/>
                    </w:rPr>
                    <w:t>LED</w:t>
                  </w:r>
                  <w:r>
                    <w:rPr>
                      <w:rFonts w:ascii="宋体" w:hAnsi="宋体" w:cs="宋体" w:eastAsia="宋体"/>
                      <w:sz w:val="20"/>
                      <w:u w:val="single"/>
                    </w:rPr>
                    <w:t>指示灯显示</w:t>
                  </w:r>
                  <w:r>
                    <w:rPr>
                      <w:rFonts w:ascii="宋体" w:hAnsi="宋体" w:cs="宋体" w:eastAsia="宋体"/>
                      <w:sz w:val="20"/>
                      <w:u w:val="single"/>
                    </w:rPr>
                    <w:t>；</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u w:val="single"/>
                    </w:rPr>
                    <w:t>13</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u w:val="single"/>
                    </w:rPr>
                    <w:t>定位</w:t>
                  </w:r>
                  <w:r>
                    <w:rPr>
                      <w:rFonts w:ascii="宋体" w:hAnsi="宋体" w:cs="宋体" w:eastAsia="宋体"/>
                      <w:sz w:val="20"/>
                      <w:u w:val="single"/>
                    </w:rPr>
                    <w:t>功能：通过色带反应肝内超声信号传播质量，辅助定位最佳检测位置。</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u w:val="single"/>
                    </w:rPr>
                    <w:t>14</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u w:val="single"/>
                    </w:rPr>
                    <w:t>质控</w:t>
                  </w:r>
                  <w:r>
                    <w:rPr>
                      <w:rFonts w:ascii="宋体" w:hAnsi="宋体" w:cs="宋体" w:eastAsia="宋体"/>
                      <w:sz w:val="20"/>
                      <w:u w:val="single"/>
                    </w:rPr>
                    <w:t>功能</w:t>
                  </w:r>
                  <w:r>
                    <w:rPr>
                      <w:rFonts w:ascii="宋体" w:hAnsi="宋体" w:cs="宋体" w:eastAsia="宋体"/>
                      <w:sz w:val="20"/>
                      <w:u w:val="single"/>
                    </w:rPr>
                    <w:t>：</w:t>
                  </w:r>
                  <w:r>
                    <w:rPr>
                      <w:rFonts w:ascii="宋体" w:hAnsi="宋体" w:cs="宋体" w:eastAsia="宋体"/>
                      <w:sz w:val="20"/>
                      <w:u w:val="single"/>
                    </w:rPr>
                    <w:t>探头只能在肝脏区做出检测，其他区域检测为无效测量；</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u w:val="single"/>
                    </w:rPr>
                    <w:t>15</w:t>
                  </w:r>
                </w:p>
              </w:tc>
              <w:tc>
                <w:tcPr>
                  <w:tcW w:type="dxa" w:w="2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u w:val="single"/>
                    </w:rPr>
                    <w:t>剪切波探头</w:t>
                  </w:r>
                </w:p>
              </w:tc>
              <w:tc>
                <w:tcPr>
                  <w:tcW w:type="dxa" w:w="1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u w:val="single"/>
                    </w:rPr>
                    <w:t>一体化探头</w:t>
                  </w:r>
                  <w:r>
                    <w:rPr>
                      <w:rFonts w:ascii="宋体" w:hAnsi="宋体" w:cs="宋体" w:eastAsia="宋体"/>
                      <w:sz w:val="20"/>
                      <w:u w:val="single"/>
                    </w:rPr>
                    <w:t>，</w:t>
                  </w:r>
                  <w:r>
                    <w:rPr>
                      <w:rFonts w:ascii="宋体" w:hAnsi="宋体" w:cs="宋体" w:eastAsia="宋体"/>
                      <w:sz w:val="20"/>
                      <w:u w:val="single"/>
                    </w:rPr>
                    <w:t>同</w:t>
                  </w:r>
                  <w:r>
                    <w:rPr>
                      <w:rFonts w:ascii="宋体" w:hAnsi="宋体" w:cs="宋体" w:eastAsia="宋体"/>
                      <w:sz w:val="20"/>
                      <w:u w:val="single"/>
                    </w:rPr>
                    <w:t>时发射</w:t>
                  </w:r>
                  <w:r>
                    <w:rPr>
                      <w:rFonts w:ascii="宋体" w:hAnsi="宋体" w:cs="宋体" w:eastAsia="宋体"/>
                      <w:sz w:val="20"/>
                      <w:u w:val="single"/>
                    </w:rPr>
                    <w:t>剪切波及</w:t>
                  </w:r>
                  <w:r>
                    <w:rPr>
                      <w:rFonts w:ascii="宋体" w:hAnsi="宋体" w:cs="宋体" w:eastAsia="宋体"/>
                      <w:sz w:val="20"/>
                      <w:u w:val="single"/>
                    </w:rPr>
                    <w:t>超声波</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u w:val="single"/>
                    </w:rPr>
                    <w:t>16</w:t>
                  </w:r>
                </w:p>
              </w:tc>
              <w:tc>
                <w:tcPr>
                  <w:tcW w:type="dxa" w:w="267"/>
                  <w:vMerge/>
                  <w:tcBorders>
                    <w:top w:val="none" w:color="000000" w:sz="4"/>
                    <w:left w:val="single" w:color="000000" w:sz="4"/>
                    <w:bottom w:val="single" w:color="000000" w:sz="4"/>
                    <w:right w:val="single" w:color="000000" w:sz="4"/>
                  </w:tcBorders>
                </w:tcPr>
                <w:p/>
              </w:tc>
              <w:tc>
                <w:tcPr>
                  <w:tcW w:type="dxa" w:w="1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u w:val="single"/>
                    </w:rPr>
                    <w:t>取样体积：</w:t>
                  </w:r>
                  <w:r>
                    <w:rPr>
                      <w:rFonts w:ascii="宋体" w:hAnsi="宋体" w:cs="宋体" w:eastAsia="宋体"/>
                      <w:sz w:val="20"/>
                      <w:u w:val="single"/>
                    </w:rPr>
                    <w:t>≥</w:t>
                  </w:r>
                  <w:r>
                    <w:rPr>
                      <w:rFonts w:ascii="calibri" w:hAnsi="calibri" w:cs="calibri" w:eastAsia="calibri"/>
                      <w:sz w:val="20"/>
                      <w:u w:val="single"/>
                    </w:rPr>
                    <w:t>3</w:t>
                  </w:r>
                  <w:r>
                    <w:rPr>
                      <w:rFonts w:ascii="calibri" w:hAnsi="calibri" w:cs="calibri" w:eastAsia="calibri"/>
                      <w:sz w:val="20"/>
                      <w:u w:val="single"/>
                    </w:rPr>
                    <w:t>cm</w:t>
                  </w:r>
                  <w:r>
                    <w:rPr>
                      <w:rFonts w:ascii="宋体" w:hAnsi="宋体" w:cs="宋体" w:eastAsia="宋体"/>
                      <w:sz w:val="20"/>
                      <w:u w:val="single"/>
                    </w:rPr>
                    <w:t>³</w:t>
                  </w:r>
                  <w:r>
                    <w:rPr>
                      <w:rFonts w:ascii="calibri" w:hAnsi="calibri" w:cs="calibri" w:eastAsia="calibri"/>
                      <w:sz w:val="20"/>
                      <w:u w:val="single"/>
                    </w:rPr>
                    <w:t xml:space="preserve"> </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u w:val="single"/>
                    </w:rPr>
                    <w:t>17</w:t>
                  </w:r>
                </w:p>
              </w:tc>
              <w:tc>
                <w:tcPr>
                  <w:tcW w:type="dxa" w:w="267"/>
                  <w:vMerge/>
                  <w:tcBorders>
                    <w:top w:val="none" w:color="000000" w:sz="4"/>
                    <w:left w:val="single" w:color="000000" w:sz="4"/>
                    <w:bottom w:val="single" w:color="000000" w:sz="4"/>
                    <w:right w:val="single" w:color="000000" w:sz="4"/>
                  </w:tcBorders>
                </w:tcPr>
                <w:p/>
              </w:tc>
              <w:tc>
                <w:tcPr>
                  <w:tcW w:type="dxa" w:w="1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u w:val="single"/>
                    </w:rPr>
                    <w:t>传感器直径</w:t>
                  </w:r>
                  <w:r>
                    <w:rPr>
                      <w:rFonts w:ascii="宋体" w:hAnsi="宋体" w:cs="宋体" w:eastAsia="宋体"/>
                      <w:sz w:val="20"/>
                      <w:u w:val="single"/>
                    </w:rPr>
                    <w:t>：</w:t>
                  </w:r>
                  <w:r>
                    <w:rPr>
                      <w:rFonts w:ascii="宋体" w:hAnsi="宋体" w:cs="宋体" w:eastAsia="宋体"/>
                      <w:sz w:val="20"/>
                      <w:u w:val="single"/>
                    </w:rPr>
                    <w:t>≤</w:t>
                  </w:r>
                  <w:r>
                    <w:rPr>
                      <w:rFonts w:ascii="calibri" w:hAnsi="calibri" w:cs="calibri" w:eastAsia="calibri"/>
                      <w:sz w:val="20"/>
                      <w:u w:val="single"/>
                    </w:rPr>
                    <w:t>10</w:t>
                  </w:r>
                  <w:r>
                    <w:rPr>
                      <w:rFonts w:ascii="calibri" w:hAnsi="calibri" w:cs="calibri" w:eastAsia="calibri"/>
                      <w:sz w:val="20"/>
                      <w:u w:val="single"/>
                    </w:rPr>
                    <w:t>mm</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u w:val="single"/>
                    </w:rPr>
                    <w:t>18</w:t>
                  </w:r>
                </w:p>
              </w:tc>
              <w:tc>
                <w:tcPr>
                  <w:tcW w:type="dxa" w:w="267"/>
                  <w:vMerge/>
                  <w:tcBorders>
                    <w:top w:val="none" w:color="000000" w:sz="4"/>
                    <w:left w:val="single" w:color="000000" w:sz="4"/>
                    <w:bottom w:val="single" w:color="000000" w:sz="4"/>
                    <w:right w:val="single" w:color="000000" w:sz="4"/>
                  </w:tcBorders>
                </w:tcPr>
                <w:p/>
              </w:tc>
              <w:tc>
                <w:tcPr>
                  <w:tcW w:type="dxa" w:w="1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u w:val="single"/>
                    </w:rPr>
                    <w:t>剪切波频率</w:t>
                  </w:r>
                  <w:r>
                    <w:rPr>
                      <w:rFonts w:ascii="calibri" w:hAnsi="calibri" w:cs="calibri" w:eastAsia="calibri"/>
                      <w:sz w:val="20"/>
                      <w:u w:val="single"/>
                    </w:rPr>
                    <w:t>:</w:t>
                  </w:r>
                  <w:r>
                    <w:rPr>
                      <w:rFonts w:ascii="宋体" w:hAnsi="宋体" w:cs="宋体" w:eastAsia="宋体"/>
                      <w:sz w:val="20"/>
                      <w:u w:val="single"/>
                    </w:rPr>
                    <w:t>定频</w:t>
                  </w:r>
                  <w:r>
                    <w:rPr>
                      <w:rFonts w:ascii="calibri" w:hAnsi="calibri" w:cs="calibri" w:eastAsia="calibri"/>
                      <w:sz w:val="20"/>
                      <w:u w:val="single"/>
                    </w:rPr>
                    <w:t>50Hz</w:t>
                  </w:r>
                  <w:r>
                    <w:rPr>
                      <w:rFonts w:ascii="宋体" w:hAnsi="宋体" w:cs="宋体" w:eastAsia="宋体"/>
                      <w:sz w:val="20"/>
                      <w:u w:val="single"/>
                    </w:rPr>
                    <w:t>；</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u w:val="single"/>
                    </w:rPr>
                    <w:t>19</w:t>
                  </w:r>
                </w:p>
              </w:tc>
              <w:tc>
                <w:tcPr>
                  <w:tcW w:type="dxa" w:w="267"/>
                  <w:vMerge/>
                  <w:tcBorders>
                    <w:top w:val="none" w:color="000000" w:sz="4"/>
                    <w:left w:val="single" w:color="000000" w:sz="4"/>
                    <w:bottom w:val="single" w:color="000000" w:sz="4"/>
                    <w:right w:val="single" w:color="000000" w:sz="4"/>
                  </w:tcBorders>
                </w:tcPr>
                <w:p/>
              </w:tc>
              <w:tc>
                <w:tcPr>
                  <w:tcW w:type="dxa" w:w="1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u w:val="single"/>
                    </w:rPr>
                    <w:t>剪切波探头测量深度</w:t>
                  </w:r>
                  <w:r>
                    <w:rPr>
                      <w:rFonts w:ascii="宋体" w:hAnsi="宋体" w:cs="宋体" w:eastAsia="宋体"/>
                      <w:sz w:val="20"/>
                      <w:u w:val="single"/>
                    </w:rPr>
                    <w:t>：</w:t>
                  </w:r>
                  <w:r>
                    <w:rPr>
                      <w:rFonts w:ascii="宋体" w:hAnsi="宋体" w:cs="宋体" w:eastAsia="宋体"/>
                      <w:sz w:val="20"/>
                      <w:u w:val="single"/>
                    </w:rPr>
                    <w:t>≥</w:t>
                  </w:r>
                  <w:r>
                    <w:rPr>
                      <w:rFonts w:ascii="calibri" w:hAnsi="calibri" w:cs="calibri" w:eastAsia="calibri"/>
                      <w:sz w:val="20"/>
                      <w:u w:val="single"/>
                    </w:rPr>
                    <w:t>65</w:t>
                  </w:r>
                  <w:r>
                    <w:rPr>
                      <w:rFonts w:ascii="宋体" w:hAnsi="宋体" w:cs="宋体" w:eastAsia="宋体"/>
                      <w:sz w:val="20"/>
                      <w:u w:val="single"/>
                    </w:rPr>
                    <w:t>㎜</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u w:val="single"/>
                    </w:rPr>
                    <w:t>20</w:t>
                  </w:r>
                </w:p>
              </w:tc>
              <w:tc>
                <w:tcPr>
                  <w:tcW w:type="dxa" w:w="267"/>
                  <w:vMerge/>
                  <w:tcBorders>
                    <w:top w:val="none" w:color="000000" w:sz="4"/>
                    <w:left w:val="single" w:color="000000" w:sz="4"/>
                    <w:bottom w:val="single" w:color="000000" w:sz="4"/>
                    <w:right w:val="single" w:color="000000" w:sz="4"/>
                  </w:tcBorders>
                </w:tcPr>
                <w:p/>
              </w:tc>
              <w:tc>
                <w:tcPr>
                  <w:tcW w:type="dxa" w:w="1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u w:val="single"/>
                    </w:rPr>
                    <w:t>超声波有效跟踪深度</w:t>
                  </w:r>
                  <w:r>
                    <w:rPr>
                      <w:rFonts w:ascii="calibri" w:hAnsi="calibri" w:cs="calibri" w:eastAsia="calibri"/>
                      <w:sz w:val="20"/>
                      <w:u w:val="single"/>
                    </w:rPr>
                    <w:t xml:space="preserve"> </w:t>
                  </w:r>
                  <w:r>
                    <w:rPr>
                      <w:rFonts w:ascii="宋体" w:hAnsi="宋体" w:cs="宋体" w:eastAsia="宋体"/>
                      <w:sz w:val="20"/>
                      <w:u w:val="single"/>
                    </w:rPr>
                    <w:t>≥</w:t>
                  </w:r>
                  <w:r>
                    <w:rPr>
                      <w:rFonts w:ascii="calibri" w:hAnsi="calibri" w:cs="calibri" w:eastAsia="calibri"/>
                      <w:sz w:val="20"/>
                      <w:u w:val="single"/>
                    </w:rPr>
                    <w:t>50</w:t>
                  </w:r>
                  <w:r>
                    <w:rPr>
                      <w:rFonts w:ascii="宋体" w:hAnsi="宋体" w:cs="宋体" w:eastAsia="宋体"/>
                      <w:sz w:val="20"/>
                      <w:u w:val="single"/>
                    </w:rPr>
                    <w:t>㎜</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u w:val="single"/>
                    </w:rPr>
                    <w:t>▲</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u w:val="single"/>
                    </w:rPr>
                    <w:t>21</w:t>
                  </w:r>
                </w:p>
              </w:tc>
              <w:tc>
                <w:tcPr>
                  <w:tcW w:type="dxa" w:w="267"/>
                  <w:vMerge/>
                  <w:tcBorders>
                    <w:top w:val="none" w:color="000000" w:sz="4"/>
                    <w:left w:val="single" w:color="000000" w:sz="4"/>
                    <w:bottom w:val="single" w:color="000000" w:sz="4"/>
                    <w:right w:val="single" w:color="000000" w:sz="4"/>
                  </w:tcBorders>
                </w:tcPr>
                <w:p/>
              </w:tc>
              <w:tc>
                <w:tcPr>
                  <w:tcW w:type="dxa" w:w="1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u w:val="single"/>
                    </w:rPr>
                    <w:t>剪切波探头激发方式：手动</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u w:val="single"/>
                    </w:rPr>
                    <w:t>▲</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u w:val="single"/>
                    </w:rPr>
                    <w:t>22</w:t>
                  </w:r>
                </w:p>
              </w:tc>
              <w:tc>
                <w:tcPr>
                  <w:tcW w:type="dxa" w:w="267"/>
                  <w:vMerge/>
                  <w:tcBorders>
                    <w:top w:val="none" w:color="000000" w:sz="4"/>
                    <w:left w:val="single" w:color="000000" w:sz="4"/>
                    <w:bottom w:val="single" w:color="000000" w:sz="4"/>
                    <w:right w:val="single" w:color="000000" w:sz="4"/>
                  </w:tcBorders>
                </w:tcPr>
                <w:p/>
              </w:tc>
              <w:tc>
                <w:tcPr>
                  <w:tcW w:type="dxa" w:w="1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u w:val="single"/>
                    </w:rPr>
                    <w:t>剪切波探头超声传感器频率：定频</w:t>
                  </w:r>
                  <w:r>
                    <w:rPr>
                      <w:rFonts w:ascii="calibri" w:hAnsi="calibri" w:cs="calibri" w:eastAsia="calibri"/>
                      <w:sz w:val="20"/>
                      <w:u w:val="single"/>
                    </w:rPr>
                    <w:t>3.5MHz</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u w:val="single"/>
                    </w:rPr>
                    <w:t>23</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u w:val="single"/>
                    </w:rPr>
                    <w:t>可</w:t>
                  </w:r>
                  <w:r>
                    <w:rPr>
                      <w:rFonts w:ascii="宋体" w:hAnsi="宋体" w:cs="宋体" w:eastAsia="宋体"/>
                      <w:sz w:val="20"/>
                      <w:u w:val="single"/>
                    </w:rPr>
                    <w:t>导出</w:t>
                  </w:r>
                  <w:r>
                    <w:rPr>
                      <w:rFonts w:ascii="calibri" w:hAnsi="calibri" w:cs="calibri" w:eastAsia="calibri"/>
                      <w:sz w:val="20"/>
                      <w:u w:val="single"/>
                    </w:rPr>
                    <w:t>Excel</w:t>
                  </w:r>
                  <w:r>
                    <w:rPr>
                      <w:rFonts w:ascii="宋体" w:hAnsi="宋体" w:cs="宋体" w:eastAsia="宋体"/>
                      <w:sz w:val="20"/>
                      <w:u w:val="single"/>
                    </w:rPr>
                    <w:t>，</w:t>
                  </w:r>
                  <w:r>
                    <w:rPr>
                      <w:rFonts w:ascii="calibri" w:hAnsi="calibri" w:cs="calibri" w:eastAsia="calibri"/>
                      <w:sz w:val="20"/>
                      <w:u w:val="single"/>
                    </w:rPr>
                    <w:t>PDF</w:t>
                  </w:r>
                  <w:r>
                    <w:rPr>
                      <w:rFonts w:ascii="宋体" w:hAnsi="宋体" w:cs="宋体" w:eastAsia="宋体"/>
                      <w:sz w:val="20"/>
                      <w:u w:val="single"/>
                    </w:rPr>
                    <w:t>多种格式报告，报告模板可修改</w:t>
                  </w:r>
                  <w:r>
                    <w:rPr>
                      <w:rFonts w:ascii="宋体" w:hAnsi="宋体" w:cs="宋体" w:eastAsia="宋体"/>
                      <w:sz w:val="20"/>
                      <w:u w:val="single"/>
                    </w:rPr>
                    <w:t xml:space="preserve"> </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u w:val="single"/>
                    </w:rPr>
                    <w:t>2</w:t>
                  </w:r>
                  <w:r>
                    <w:rPr>
                      <w:rFonts w:ascii="calibri" w:hAnsi="calibri" w:cs="calibri" w:eastAsia="calibri"/>
                      <w:sz w:val="20"/>
                      <w:u w:val="single"/>
                    </w:rPr>
                    <w:t>4</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u w:val="single"/>
                    </w:rPr>
                    <w:t>检测时只需输入患者姓名，无需输入身高体重，检测结果不受身高体重影响</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u w:val="single"/>
                    </w:rPr>
                    <w:t>25</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u w:val="single"/>
                    </w:rPr>
                    <w:t>脂肪变数据采集</w:t>
                  </w:r>
                  <w:r>
                    <w:rPr>
                      <w:rFonts w:ascii="宋体" w:hAnsi="宋体" w:cs="宋体" w:eastAsia="宋体"/>
                      <w:sz w:val="20"/>
                      <w:u w:val="single"/>
                    </w:rPr>
                    <w:t>：</w:t>
                  </w:r>
                  <w:r>
                    <w:rPr>
                      <w:rFonts w:ascii="宋体" w:hAnsi="宋体" w:cs="宋体" w:eastAsia="宋体"/>
                      <w:sz w:val="20"/>
                      <w:u w:val="single"/>
                    </w:rPr>
                    <w:t>自动连续采集；</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u w:val="single"/>
                    </w:rPr>
                    <w:t>26</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u w:val="single"/>
                    </w:rPr>
                    <w:t>智能压力控制：实时监测探头承受压力状态，并同时具有压力过大、过小自动停止检测功能；</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u w:val="single"/>
                    </w:rPr>
                    <w:t>27</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u w:val="single"/>
                    </w:rPr>
                    <w:t>无需超声探头定位，即可开始检测</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u w:val="single"/>
                    </w:rPr>
                    <w:t>28</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u w:val="single"/>
                    </w:rPr>
                    <w:t>连接：支持</w:t>
                  </w:r>
                  <w:r>
                    <w:rPr>
                      <w:rFonts w:ascii="calibri" w:hAnsi="calibri" w:cs="calibri" w:eastAsia="calibri"/>
                      <w:sz w:val="20"/>
                      <w:u w:val="single"/>
                    </w:rPr>
                    <w:t>DICOM</w:t>
                  </w:r>
                  <w:r>
                    <w:rPr>
                      <w:rFonts w:ascii="宋体" w:hAnsi="宋体" w:cs="宋体" w:eastAsia="宋体"/>
                      <w:sz w:val="20"/>
                      <w:u w:val="single"/>
                    </w:rPr>
                    <w:t>文件传输</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u w:val="single"/>
                    </w:rPr>
                    <w:t>2</w:t>
                  </w:r>
                  <w:r>
                    <w:rPr>
                      <w:rFonts w:ascii="calibri" w:hAnsi="calibri" w:cs="calibri" w:eastAsia="calibri"/>
                      <w:sz w:val="20"/>
                      <w:u w:val="single"/>
                    </w:rPr>
                    <w:t>9</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u w:val="single"/>
                    </w:rPr>
                    <w:t>配置要求</w:t>
                  </w:r>
                </w:p>
              </w:tc>
              <w:tc>
                <w:tcPr>
                  <w:tcW w:type="dxa" w:w="1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0"/>
                      <w:u w:val="single"/>
                    </w:rPr>
                    <w:t>1.</w:t>
                  </w:r>
                  <w:r>
                    <w:rPr>
                      <w:rFonts w:ascii="宋体" w:hAnsi="宋体" w:cs="宋体" w:eastAsia="宋体"/>
                      <w:sz w:val="20"/>
                      <w:u w:val="single"/>
                    </w:rPr>
                    <w:t>主机</w:t>
                  </w:r>
                  <w:r>
                    <w:rPr>
                      <w:rFonts w:ascii="宋体" w:hAnsi="宋体" w:cs="宋体" w:eastAsia="宋体"/>
                      <w:sz w:val="20"/>
                      <w:u w:val="single"/>
                    </w:rPr>
                    <w:t>×</w:t>
                  </w:r>
                  <w:r>
                    <w:rPr>
                      <w:rFonts w:ascii="calibri" w:hAnsi="calibri" w:cs="calibri" w:eastAsia="calibri"/>
                      <w:sz w:val="20"/>
                      <w:u w:val="single"/>
                    </w:rPr>
                    <w:t>1</w:t>
                  </w:r>
                </w:p>
                <w:p>
                  <w:pPr>
                    <w:pStyle w:val="null3"/>
                    <w:jc w:val="both"/>
                  </w:pPr>
                  <w:r>
                    <w:rPr>
                      <w:rFonts w:ascii="calibri" w:hAnsi="calibri" w:cs="calibri" w:eastAsia="calibri"/>
                      <w:sz w:val="20"/>
                      <w:u w:val="single"/>
                    </w:rPr>
                    <w:t>2.</w:t>
                  </w:r>
                  <w:r>
                    <w:rPr>
                      <w:rFonts w:ascii="宋体" w:hAnsi="宋体" w:cs="宋体" w:eastAsia="宋体"/>
                      <w:sz w:val="20"/>
                      <w:u w:val="single"/>
                    </w:rPr>
                    <w:t>剪切波探头</w:t>
                  </w:r>
                  <w:r>
                    <w:rPr>
                      <w:rFonts w:ascii="宋体" w:hAnsi="宋体" w:cs="宋体" w:eastAsia="宋体"/>
                      <w:sz w:val="20"/>
                      <w:u w:val="single"/>
                    </w:rPr>
                    <w:t>×</w:t>
                  </w:r>
                  <w:r>
                    <w:rPr>
                      <w:rFonts w:ascii="calibri" w:hAnsi="calibri" w:cs="calibri" w:eastAsia="calibri"/>
                      <w:sz w:val="20"/>
                      <w:u w:val="single"/>
                    </w:rPr>
                    <w:t>1</w:t>
                  </w:r>
                </w:p>
                <w:p>
                  <w:pPr>
                    <w:pStyle w:val="null3"/>
                    <w:jc w:val="both"/>
                  </w:pPr>
                  <w:r>
                    <w:rPr>
                      <w:rFonts w:ascii="calibri" w:hAnsi="calibri" w:cs="calibri" w:eastAsia="calibri"/>
                      <w:sz w:val="20"/>
                      <w:u w:val="single"/>
                    </w:rPr>
                    <w:t>3.</w:t>
                  </w:r>
                  <w:r>
                    <w:rPr>
                      <w:rFonts w:ascii="宋体" w:hAnsi="宋体" w:cs="宋体" w:eastAsia="宋体"/>
                      <w:sz w:val="20"/>
                      <w:u w:val="single"/>
                    </w:rPr>
                    <w:t>肝脏硬度模块</w:t>
                  </w:r>
                  <w:r>
                    <w:rPr>
                      <w:rFonts w:ascii="宋体" w:hAnsi="宋体" w:cs="宋体" w:eastAsia="宋体"/>
                      <w:sz w:val="20"/>
                      <w:u w:val="single"/>
                    </w:rPr>
                    <w:t>×</w:t>
                  </w:r>
                  <w:r>
                    <w:rPr>
                      <w:rFonts w:ascii="calibri" w:hAnsi="calibri" w:cs="calibri" w:eastAsia="calibri"/>
                      <w:sz w:val="20"/>
                      <w:u w:val="single"/>
                    </w:rPr>
                    <w:t>1</w:t>
                  </w:r>
                </w:p>
                <w:p>
                  <w:pPr>
                    <w:pStyle w:val="null3"/>
                    <w:jc w:val="both"/>
                  </w:pPr>
                  <w:r>
                    <w:rPr>
                      <w:rFonts w:ascii="calibri" w:hAnsi="calibri" w:cs="calibri" w:eastAsia="calibri"/>
                      <w:sz w:val="20"/>
                      <w:u w:val="single"/>
                    </w:rPr>
                    <w:t>4.</w:t>
                  </w:r>
                  <w:r>
                    <w:rPr>
                      <w:rFonts w:ascii="宋体" w:hAnsi="宋体" w:cs="宋体" w:eastAsia="宋体"/>
                      <w:sz w:val="20"/>
                      <w:u w:val="single"/>
                    </w:rPr>
                    <w:t>脂肪变模块×</w:t>
                  </w:r>
                  <w:r>
                    <w:rPr>
                      <w:rFonts w:ascii="calibri" w:hAnsi="calibri" w:cs="calibri" w:eastAsia="calibri"/>
                      <w:sz w:val="20"/>
                      <w:u w:val="single"/>
                    </w:rPr>
                    <w:t>1</w:t>
                  </w:r>
                </w:p>
                <w:p>
                  <w:pPr>
                    <w:pStyle w:val="null3"/>
                    <w:jc w:val="both"/>
                  </w:pPr>
                  <w:r>
                    <w:rPr>
                      <w:rFonts w:ascii="calibri" w:hAnsi="calibri" w:cs="calibri" w:eastAsia="calibri"/>
                      <w:sz w:val="20"/>
                      <w:u w:val="single"/>
                    </w:rPr>
                    <w:t>5.</w:t>
                  </w:r>
                  <w:r>
                    <w:rPr>
                      <w:rFonts w:ascii="宋体" w:hAnsi="宋体" w:cs="宋体" w:eastAsia="宋体"/>
                      <w:sz w:val="20"/>
                      <w:u w:val="single"/>
                    </w:rPr>
                    <w:t>工作站</w:t>
                  </w:r>
                  <w:r>
                    <w:rPr>
                      <w:rFonts w:ascii="宋体" w:hAnsi="宋体" w:cs="宋体" w:eastAsia="宋体"/>
                      <w:sz w:val="20"/>
                      <w:u w:val="single"/>
                    </w:rPr>
                    <w:t>×</w:t>
                  </w:r>
                  <w:r>
                    <w:rPr>
                      <w:rFonts w:ascii="calibri" w:hAnsi="calibri" w:cs="calibri" w:eastAsia="calibri"/>
                      <w:sz w:val="20"/>
                      <w:u w:val="single"/>
                    </w:rPr>
                    <w:t>1</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30日历天</w:t>
      </w:r>
    </w:p>
    <w:p>
      <w:pPr>
        <w:pStyle w:val="null3"/>
        <w:outlineLvl w:val="3"/>
      </w:pPr>
      <w:r>
        <w:rPr>
          <w:sz w:val="24"/>
          <w:b/>
        </w:rPr>
        <w:t>3.4.2交货地点</w:t>
      </w:r>
    </w:p>
    <w:p>
      <w:pPr>
        <w:pStyle w:val="null3"/>
      </w:pPr>
      <w:r>
        <w:rPr/>
        <w:t>采购包1：</w:t>
      </w:r>
    </w:p>
    <w:p>
      <w:pPr>
        <w:pStyle w:val="null3"/>
      </w:pPr>
      <w:r>
        <w:rPr/>
        <w:t>陕西中医药大学第二附属医院指定地点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货到安装调试验收合格办理入库后</w:t>
      </w:r>
      <w:r>
        <w:rPr/>
        <w:t xml:space="preserve"> ，达到付款条件起 </w:t>
      </w:r>
      <w:r>
        <w:rPr/>
        <w:t>30</w:t>
      </w:r>
      <w:r>
        <w:rPr/>
        <w:t xml:space="preserve"> 日内，支付合同总金额的 </w:t>
      </w:r>
      <w:r>
        <w:rPr/>
        <w:t>65.00</w:t>
      </w:r>
      <w:r>
        <w:rPr/>
        <w:t>%。</w:t>
      </w:r>
    </w:p>
    <w:p>
      <w:pPr>
        <w:pStyle w:val="null3"/>
      </w:pPr>
      <w:r>
        <w:rPr/>
        <w:t>采购包1：</w:t>
      </w:r>
      <w:r>
        <w:rPr/>
        <w:t xml:space="preserve"> 付款条件说明： </w:t>
      </w:r>
      <w:r>
        <w:rPr/>
        <w:t>设备办理入库并正常运行3个月后</w:t>
      </w:r>
      <w:r>
        <w:rPr/>
        <w:t xml:space="preserve"> ，达到付款条件起 </w:t>
      </w:r>
      <w:r>
        <w:rPr/>
        <w:t>30</w:t>
      </w:r>
      <w:r>
        <w:rPr/>
        <w:t xml:space="preserve"> 日内，支付合同总金额的 </w:t>
      </w:r>
      <w:r>
        <w:rPr/>
        <w:t>30.00</w:t>
      </w:r>
      <w:r>
        <w:rPr/>
        <w:t>%。</w:t>
      </w:r>
    </w:p>
    <w:p>
      <w:pPr>
        <w:pStyle w:val="null3"/>
      </w:pPr>
      <w:r>
        <w:rPr/>
        <w:t>采购包1：</w:t>
      </w:r>
      <w:r>
        <w:rPr/>
        <w:t xml:space="preserve"> 付款条件说明： </w:t>
      </w:r>
      <w:r>
        <w:rPr/>
        <w:t>设备正常运转1年后，乙方就合同约定义务全部履行完毕后</w:t>
      </w:r>
      <w:r>
        <w:rPr/>
        <w:t xml:space="preserve"> ，达到付款条件起 </w:t>
      </w:r>
      <w:r>
        <w:rPr/>
        <w:t>30</w:t>
      </w:r>
      <w:r>
        <w:rPr/>
        <w:t xml:space="preserve"> 日内，支付合同总金额的 </w:t>
      </w:r>
      <w:r>
        <w:rPr/>
        <w:t>5.00</w:t>
      </w:r>
      <w:r>
        <w:rPr/>
        <w:t>%。</w:t>
      </w:r>
    </w:p>
    <w:p>
      <w:pPr>
        <w:pStyle w:val="null3"/>
        <w:outlineLvl w:val="3"/>
      </w:pPr>
      <w:r>
        <w:rPr>
          <w:sz w:val="24"/>
          <w:b/>
        </w:rPr>
        <w:t>3.4.5验收标准和方法</w:t>
      </w:r>
    </w:p>
    <w:p>
      <w:pPr>
        <w:pStyle w:val="null3"/>
      </w:pPr>
      <w:r>
        <w:rPr/>
        <w:t>采购包1：</w:t>
      </w:r>
    </w:p>
    <w:p>
      <w:pPr>
        <w:pStyle w:val="null3"/>
      </w:pPr>
      <w:r>
        <w:rPr/>
        <w:t>1、验收要求：乙方按照甲方要求将全部货物送到甲方指定地点进行安装、调试，并对甲方工作人员进行培训，完成后向甲方提出验收申请，甲方须在乙方提出书面验收申请之日起 2 个工作日内，组织验收工作。甲乙双方验收人员共同对货物的外观、数量、商标、型号、规格及性能等进行验收，验收合格后甲乙双方共同签署验收单。验收不合格的，乙方应于7日内进行重新配送，交货日期不予延长，超过交货期限的，乙方按照本合同第十三条第1款向甲方支付延期交货违约金。 2、验收标准：应按照国家相关法律法规要求及相关质量体系认证标准为准。 3、验收依据：单证齐全，应有产品合格证、质量证明、使用说明、保修保质证明、发票和其他应当具有的单证，并符合国家法律、法规对该产品规定的国家标准的要求。 4、货物验收单仅证明乙方所提供的货物截止出具验收单之日时可以按合同要求予以接受，但不能视为乙方对货物存在的潜在缺陷责任的解除。此验收不作为对货物内质量认定的依据。</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1、乙方必须具有完善的售后服务体系，高水平的技术维修人员和良好的设备备件供应能力。 2、乙方同意该产品自安装、调试、验收合格并正常使用之日起免费保修，保质期为1年，在保修、保质期内出现的任何质量问题，乙方保证在接到甲方维修通知之日起24小时内派专业维修人员赶赴现场（即甲方指定地点）进行维修，并于3日内使设备恢复正常使用。 3、保修、保质期内，要确保该产品系统正常运行，开机率不得低于95%，如经过两次维修后仍达不到此标准，乙方应于7日内负责调换部分或整个产品设备，保修、保质期作相应延长，并承担自产品出现故障之日起至产品再次正常运行使用之日期间给甲方造成的所有经济损失。若更换后产品还达不到此标准，视为乙方根本违约，甲方有权单方解除合同，解除合同的通知达到乙方之日视为合同已解除，乙方应无条件退货，并承担给甲方造成的所有经济损失。 4、保修、保质期内，维修费用、乙方维修人员的差旅费及其他相关费用均由乙方承担。 5、保修、保质期满后，乙方负责终身优质服务，检修更换的产品配置零件按标准报价 8 折的优惠价向甲方提供，免人工费、差旅费及工时费，只收取更换的零配件成本费。 6、乙方负责产品机型系统错误改进，在保修、保质期内对该机型的软件免费更换或升级。 7、如以后该产品升级换代，乙方愿意以优惠价格向甲方提供。 8、如因产品本身的隐蔽瑕疵而出现的质量问题，乙方应全面负责维修调试或更新更换并承担全部费用。 9、乙方必须严格依据合同约定及投标文件中的售后服务承诺履行售后服务义务。</w:t>
      </w:r>
    </w:p>
    <w:p>
      <w:pPr>
        <w:pStyle w:val="null3"/>
        <w:outlineLvl w:val="3"/>
      </w:pPr>
      <w:r>
        <w:rPr>
          <w:sz w:val="24"/>
          <w:b/>
        </w:rPr>
        <w:t>3.4.8违约责任与解决争议的方法</w:t>
      </w:r>
    </w:p>
    <w:p>
      <w:pPr>
        <w:pStyle w:val="null3"/>
      </w:pPr>
      <w:r>
        <w:rPr/>
        <w:t>采购包1：</w:t>
      </w:r>
    </w:p>
    <w:p>
      <w:pPr>
        <w:pStyle w:val="null3"/>
      </w:pPr>
      <w:r>
        <w:rPr/>
        <w:t>1、乙方如不能及时交货或未按照本合同约定及时安装、调试完毕或违反第九条约定，迟延30日视为乙方根本违约，甲方有权单方解除合同，同时乙方应向甲方支付本合同总价款10 %的违约金。如交付的产品数量、品种、规格、质量不符合国家标准和合同约定的由乙方负责包修、包换、退货，乙方应于7日内完成产品的维修或退/换货，并承担由此给甲方造成的所有经济损失；逾期交货的，应向甲方支付迟延履行的违约金，每日违约金按逾期交货货款金额万分之一计算。 2、除前款约定外，乙方未按合同要求提供产品或提供虚假材料，且质量不能满足技术要求的，视为乙方根本违约，甲方有权单方终止合同，同时要求乙方承担承担本合同总价款10％的违约金，违约金不足以弥补损失的，由乙方另行支付。 3、自本合同签订之日起，若甲方无故中途退货，应向乙方支付退货部分货款的10 %的违约金。 4、甲方应当按时向乙方支付货款，逾期付款的，应向乙方支付迟延履行的违约金，每日违约金按逾期付款金额的万分之一计算。 5、乙方未按照本合同第十条第2款完成维修义务的，每迟延一日应向甲方支付合同总价款万分之一的违约金，迟延超过7日的，甲方有权委托第三方进行维修，由此产生的费用由乙方承担。</w:t>
      </w:r>
    </w:p>
    <w:p>
      <w:pPr>
        <w:pStyle w:val="null3"/>
        <w:jc w:val="left"/>
        <w:outlineLvl w:val="2"/>
      </w:pPr>
      <w:r>
        <w:rPr>
          <w:sz w:val="28"/>
          <w:b/>
        </w:rPr>
        <w:t>3.5其他要求</w:t>
      </w:r>
    </w:p>
    <w:p>
      <w:pPr>
        <w:pStyle w:val="null3"/>
      </w:pPr>
      <w:r>
        <w:rPr/>
        <w:t>提供产品相同品牌产品且通过资格审查、符合性审查的不同投标人参加同一包（标段）投标的，按一家投标人计算，评审后得分最高的同品牌投标人获得中标人推荐资格；评审得分相同的，由采购人自行确定一个投标人获得中标人推荐资格，其他同品牌投标人不作为中标候选人。</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（1）主体资格证明： 1)企业投标的：营业执照 ，2)事业单位投标的：事业单位法人证书，3)其他组织投标的：登记证书，4)个体工商户投标的：个体工商户营业执照，5）自然人投标的：身份证；（2）税收缴纳证明：提供供应商自投标前1年以来已缴纳任意时段完税凭证或税务机关开具的完税证明（任意税种）；依法免税的应提供相关文件证明；（3）社会保障资金缴纳证明：提供供应商自投标前1年以来已缴存的任意时段的社会保障资金缴存单据或社保机构开具的社会保险参保缴费情况证明；依法不需要缴纳社会保障资金的供应商应提供相关文件证明；（4）提供供应商具备履行合同所必需的设备和专业技术能力的证明材料；（5）投标人参加本次采购活动3年内，在经营活动中没有重大违法记录以及未被列入失信被执行人、重大税收违法案件当事人名单、政府采购严重违法失信行为记录名单的书面声明；（6）法定代表人（单位负责人）参加投标的，提供本人身份证复印件并出示身份证；法定代表人（单位负责人）授权他人参加投标的，提供法定代表人委托授权书并出示被授权代表的身份证。 注：供应商需在项目电子化交易系统中按要求上传相应证明文件并进行电子签章。</w:t>
            </w:r>
          </w:p>
        </w:tc>
        <w:tc>
          <w:tcPr>
            <w:tcW w:type="dxa" w:w="1661"/>
          </w:tcPr>
          <w:p>
            <w:pPr>
              <w:pStyle w:val="null3"/>
            </w:pPr>
            <w:r>
              <w:rPr/>
              <w:t>投标函 投标文件封面</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投标人2023年度经审计的财务会计报告，包括 “四表一注” 或者银行资信证明（提供投标文件截止时间3个月内其基本账户开户银行出具的资信证明）。供应商需在项目电子化交易系统中按要求填写《投标函》完成承诺后，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企业资质</w:t>
            </w:r>
          </w:p>
        </w:tc>
        <w:tc>
          <w:tcPr>
            <w:tcW w:type="dxa" w:w="3322"/>
          </w:tcPr>
          <w:p>
            <w:pPr>
              <w:pStyle w:val="null3"/>
            </w:pPr>
            <w:r>
              <w:rPr/>
              <w:t>生产企业需提供的：投标产品《医疗器械注册证》和《医疗器械生产许可证》。 经销商需提供的：《医疗器械经营许可证》和生产企业投标产品《医疗器械注册证》和《医疗器械生产许可证》复印件。</w:t>
            </w:r>
          </w:p>
        </w:tc>
        <w:tc>
          <w:tcPr>
            <w:tcW w:type="dxa" w:w="1661"/>
          </w:tcPr>
          <w:p>
            <w:pPr>
              <w:pStyle w:val="null3"/>
            </w:pPr>
            <w:r>
              <w:rPr/>
              <w:t>投标函 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投标人名称</w:t>
            </w:r>
          </w:p>
        </w:tc>
        <w:tc>
          <w:tcPr>
            <w:tcW w:type="dxa" w:w="3322"/>
          </w:tcPr>
          <w:p>
            <w:pPr>
              <w:pStyle w:val="null3"/>
            </w:pPr>
            <w:r>
              <w:rPr/>
              <w:t>投标人名称与营业执照一致</w:t>
            </w:r>
          </w:p>
        </w:tc>
        <w:tc>
          <w:tcPr>
            <w:tcW w:type="dxa" w:w="1661"/>
          </w:tcPr>
          <w:p>
            <w:pPr>
              <w:pStyle w:val="null3"/>
            </w:pPr>
            <w:r>
              <w:rPr/>
              <w:t>投标函 投标文件封面 投标人应提交的相关资格证明材料</w:t>
            </w:r>
          </w:p>
        </w:tc>
      </w:tr>
      <w:tr>
        <w:tc>
          <w:tcPr>
            <w:tcW w:type="dxa" w:w="831"/>
          </w:tcPr>
          <w:p>
            <w:pPr>
              <w:pStyle w:val="null3"/>
            </w:pPr>
            <w:r>
              <w:rPr/>
              <w:t>3</w:t>
            </w:r>
          </w:p>
        </w:tc>
        <w:tc>
          <w:tcPr>
            <w:tcW w:type="dxa" w:w="2492"/>
          </w:tcPr>
          <w:p>
            <w:pPr>
              <w:pStyle w:val="null3"/>
            </w:pPr>
            <w:r>
              <w:rPr/>
              <w:t>投标文件格式</w:t>
            </w:r>
          </w:p>
        </w:tc>
        <w:tc>
          <w:tcPr>
            <w:tcW w:type="dxa" w:w="3322"/>
          </w:tcPr>
          <w:p>
            <w:pPr>
              <w:pStyle w:val="null3"/>
            </w:pPr>
            <w:r>
              <w:rPr/>
              <w:t>符合第六章“投标文件格式”的规定</w:t>
            </w:r>
          </w:p>
        </w:tc>
        <w:tc>
          <w:tcPr>
            <w:tcW w:type="dxa" w:w="1661"/>
          </w:tcPr>
          <w:p>
            <w:pPr>
              <w:pStyle w:val="null3"/>
            </w:pPr>
            <w:r>
              <w:rPr/>
              <w:t>开标一览表 产品技术参数表 投标函 中小企业声明函 残疾人福利性单位声明函 商务应答表 标的清单 投标文件封面 投标人应提交的相关资格证明材料 监狱企业的证明文件</w:t>
            </w:r>
          </w:p>
        </w:tc>
      </w:tr>
      <w:tr>
        <w:tc>
          <w:tcPr>
            <w:tcW w:type="dxa" w:w="831"/>
          </w:tcPr>
          <w:p>
            <w:pPr>
              <w:pStyle w:val="null3"/>
            </w:pPr>
            <w:r>
              <w:rPr/>
              <w:t>4</w:t>
            </w:r>
          </w:p>
        </w:tc>
        <w:tc>
          <w:tcPr>
            <w:tcW w:type="dxa" w:w="2492"/>
          </w:tcPr>
          <w:p>
            <w:pPr>
              <w:pStyle w:val="null3"/>
            </w:pPr>
            <w:r>
              <w:rPr/>
              <w:t>投标文件签署、盖章的,</w:t>
            </w:r>
          </w:p>
        </w:tc>
        <w:tc>
          <w:tcPr>
            <w:tcW w:type="dxa" w:w="3322"/>
          </w:tcPr>
          <w:p>
            <w:pPr>
              <w:pStyle w:val="null3"/>
            </w:pPr>
            <w:r>
              <w:rPr/>
              <w:t>按招标文件要求签署、盖章的</w:t>
            </w:r>
          </w:p>
        </w:tc>
        <w:tc>
          <w:tcPr>
            <w:tcW w:type="dxa" w:w="1661"/>
          </w:tcPr>
          <w:p>
            <w:pPr>
              <w:pStyle w:val="null3"/>
            </w:pPr>
            <w:r>
              <w:rPr/>
              <w:t>投标函 投标文件封面</w:t>
            </w:r>
          </w:p>
        </w:tc>
      </w:tr>
      <w:tr>
        <w:tc>
          <w:tcPr>
            <w:tcW w:type="dxa" w:w="831"/>
          </w:tcPr>
          <w:p>
            <w:pPr>
              <w:pStyle w:val="null3"/>
            </w:pPr>
            <w:r>
              <w:rPr/>
              <w:t>5</w:t>
            </w:r>
          </w:p>
        </w:tc>
        <w:tc>
          <w:tcPr>
            <w:tcW w:type="dxa" w:w="2492"/>
          </w:tcPr>
          <w:p>
            <w:pPr>
              <w:pStyle w:val="null3"/>
            </w:pPr>
            <w:r>
              <w:rPr/>
              <w:t>报价唯一</w:t>
            </w:r>
          </w:p>
        </w:tc>
        <w:tc>
          <w:tcPr>
            <w:tcW w:type="dxa" w:w="3322"/>
          </w:tcPr>
          <w:p>
            <w:pPr>
              <w:pStyle w:val="null3"/>
            </w:pPr>
            <w:r>
              <w:rPr/>
              <w:t>只能有一个有效报价，不得提交选择性报价，且报价不超过第二章“投标人须知”前附表规定的采购预算金额或最高限价</w:t>
            </w:r>
          </w:p>
        </w:tc>
        <w:tc>
          <w:tcPr>
            <w:tcW w:type="dxa" w:w="1661"/>
          </w:tcPr>
          <w:p>
            <w:pPr>
              <w:pStyle w:val="null3"/>
            </w:pPr>
            <w:r>
              <w:rPr/>
              <w:t>开标一览表 投标文件封面</w:t>
            </w:r>
          </w:p>
        </w:tc>
      </w:tr>
      <w:tr>
        <w:tc>
          <w:tcPr>
            <w:tcW w:type="dxa" w:w="831"/>
          </w:tcPr>
          <w:p>
            <w:pPr>
              <w:pStyle w:val="null3"/>
            </w:pPr>
            <w:r>
              <w:rPr/>
              <w:t>6</w:t>
            </w:r>
          </w:p>
        </w:tc>
        <w:tc>
          <w:tcPr>
            <w:tcW w:type="dxa" w:w="2492"/>
          </w:tcPr>
          <w:p>
            <w:pPr>
              <w:pStyle w:val="null3"/>
            </w:pPr>
            <w:r>
              <w:rPr/>
              <w:t>交货时间</w:t>
            </w:r>
          </w:p>
        </w:tc>
        <w:tc>
          <w:tcPr>
            <w:tcW w:type="dxa" w:w="3322"/>
          </w:tcPr>
          <w:p>
            <w:pPr>
              <w:pStyle w:val="null3"/>
            </w:pPr>
            <w:r>
              <w:rPr/>
              <w:t>交货时间满足文件最低要求(合格)，交货时间不满足文件最 低要求(不合格)</w:t>
            </w:r>
          </w:p>
        </w:tc>
        <w:tc>
          <w:tcPr>
            <w:tcW w:type="dxa" w:w="1661"/>
          </w:tcPr>
          <w:p>
            <w:pPr>
              <w:pStyle w:val="null3"/>
            </w:pPr>
            <w:r>
              <w:rPr/>
              <w:t>开标一览表 产品技术参数表 投标函 商务应答表 标的清单 投标文件封面</w:t>
            </w:r>
          </w:p>
        </w:tc>
      </w:tr>
      <w:tr>
        <w:tc>
          <w:tcPr>
            <w:tcW w:type="dxa" w:w="831"/>
          </w:tcPr>
          <w:p>
            <w:pPr>
              <w:pStyle w:val="null3"/>
            </w:pPr>
            <w:r>
              <w:rPr/>
              <w:t>7</w:t>
            </w:r>
          </w:p>
        </w:tc>
        <w:tc>
          <w:tcPr>
            <w:tcW w:type="dxa" w:w="2492"/>
          </w:tcPr>
          <w:p>
            <w:pPr>
              <w:pStyle w:val="null3"/>
            </w:pPr>
            <w:r>
              <w:rPr/>
              <w:t>保修期</w:t>
            </w:r>
          </w:p>
        </w:tc>
        <w:tc>
          <w:tcPr>
            <w:tcW w:type="dxa" w:w="3322"/>
          </w:tcPr>
          <w:p>
            <w:pPr>
              <w:pStyle w:val="null3"/>
            </w:pPr>
            <w:r>
              <w:rPr/>
              <w:t>保修期限满足文件最低要求(合格)，保修期限不满足文件最低要求(不合格)</w:t>
            </w:r>
          </w:p>
        </w:tc>
        <w:tc>
          <w:tcPr>
            <w:tcW w:type="dxa" w:w="1661"/>
          </w:tcPr>
          <w:p>
            <w:pPr>
              <w:pStyle w:val="null3"/>
            </w:pPr>
            <w:r>
              <w:rPr/>
              <w:t>商务应答表 标的清单 投标文件封面</w:t>
            </w:r>
          </w:p>
        </w:tc>
      </w:tr>
      <w:tr>
        <w:tc>
          <w:tcPr>
            <w:tcW w:type="dxa" w:w="831"/>
          </w:tcPr>
          <w:p>
            <w:pPr>
              <w:pStyle w:val="null3"/>
            </w:pPr>
            <w:r>
              <w:rPr/>
              <w:t>8</w:t>
            </w:r>
          </w:p>
        </w:tc>
        <w:tc>
          <w:tcPr>
            <w:tcW w:type="dxa" w:w="2492"/>
          </w:tcPr>
          <w:p>
            <w:pPr>
              <w:pStyle w:val="null3"/>
            </w:pPr>
            <w:r>
              <w:rPr/>
              <w:t>投标有效期</w:t>
            </w:r>
          </w:p>
        </w:tc>
        <w:tc>
          <w:tcPr>
            <w:tcW w:type="dxa" w:w="3322"/>
          </w:tcPr>
          <w:p>
            <w:pPr>
              <w:pStyle w:val="null3"/>
            </w:pPr>
            <w:r>
              <w:rPr/>
              <w:t>投标文件投标有效期符合文件要求的(合格)，投标文件无投标有效期或有效期达不到文件要求的(不合格)</w:t>
            </w:r>
          </w:p>
        </w:tc>
        <w:tc>
          <w:tcPr>
            <w:tcW w:type="dxa" w:w="1661"/>
          </w:tcPr>
          <w:p>
            <w:pPr>
              <w:pStyle w:val="null3"/>
            </w:pPr>
            <w:r>
              <w:rPr/>
              <w:t>开标一览表 产品技术参数表 投标函 标的清单 投标文件封面</w:t>
            </w:r>
          </w:p>
        </w:tc>
      </w:tr>
      <w:tr>
        <w:tc>
          <w:tcPr>
            <w:tcW w:type="dxa" w:w="831"/>
          </w:tcPr>
          <w:p>
            <w:pPr>
              <w:pStyle w:val="null3"/>
            </w:pPr>
            <w:r>
              <w:rPr/>
              <w:t>9</w:t>
            </w:r>
          </w:p>
        </w:tc>
        <w:tc>
          <w:tcPr>
            <w:tcW w:type="dxa" w:w="2492"/>
          </w:tcPr>
          <w:p>
            <w:pPr>
              <w:pStyle w:val="null3"/>
            </w:pPr>
            <w:r>
              <w:rPr/>
              <w:t>权利义务</w:t>
            </w:r>
          </w:p>
        </w:tc>
        <w:tc>
          <w:tcPr>
            <w:tcW w:type="dxa" w:w="3322"/>
          </w:tcPr>
          <w:p>
            <w:pPr>
              <w:pStyle w:val="null3"/>
            </w:pPr>
            <w:r>
              <w:rPr/>
              <w:t>符合“拟签订合同交本”条款中实质性要求和条件</w:t>
            </w:r>
          </w:p>
        </w:tc>
        <w:tc>
          <w:tcPr>
            <w:tcW w:type="dxa" w:w="1661"/>
          </w:tcPr>
          <w:p>
            <w:pPr>
              <w:pStyle w:val="null3"/>
            </w:pPr>
            <w:r>
              <w:rPr/>
              <w:t>开标一览表 产品技术参数表 投标函 商务应答表 标的清单 投标文件封面</w:t>
            </w:r>
          </w:p>
        </w:tc>
      </w:tr>
      <w:tr>
        <w:tc>
          <w:tcPr>
            <w:tcW w:type="dxa" w:w="831"/>
          </w:tcPr>
          <w:p>
            <w:pPr>
              <w:pStyle w:val="null3"/>
            </w:pPr>
            <w:r>
              <w:rPr/>
              <w:t>10</w:t>
            </w:r>
          </w:p>
        </w:tc>
        <w:tc>
          <w:tcPr>
            <w:tcW w:type="dxa" w:w="2492"/>
          </w:tcPr>
          <w:p>
            <w:pPr>
              <w:pStyle w:val="null3"/>
            </w:pPr>
            <w:r>
              <w:rPr/>
              <w:t>投标文件含有采购人不能接受的附加条件的或其他情形</w:t>
            </w:r>
          </w:p>
        </w:tc>
        <w:tc>
          <w:tcPr>
            <w:tcW w:type="dxa" w:w="3322"/>
          </w:tcPr>
          <w:p>
            <w:pPr>
              <w:pStyle w:val="null3"/>
            </w:pPr>
            <w:r>
              <w:rPr/>
              <w:t>投标文件含有采购人不能接受的附加条件的或其他情形</w:t>
            </w:r>
          </w:p>
        </w:tc>
        <w:tc>
          <w:tcPr>
            <w:tcW w:type="dxa" w:w="1661"/>
          </w:tcPr>
          <w:p>
            <w:pPr>
              <w:pStyle w:val="null3"/>
            </w:pPr>
            <w:r>
              <w:rPr/>
              <w:t>开标一览表 产品技术参数表 投标函 中小企业声明函 残疾人福利性单位声明函 商务应答表 标的清单 投标文件封面 投标人应提交的相关资格证明材料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技术指标的响应程度</w:t>
            </w:r>
          </w:p>
        </w:tc>
        <w:tc>
          <w:tcPr>
            <w:tcW w:type="dxa" w:w="2492"/>
          </w:tcPr>
          <w:p>
            <w:pPr>
              <w:pStyle w:val="null3"/>
            </w:pPr>
            <w:r>
              <w:rPr/>
              <w:t>评标委员会根据投标文件中对技术指标的应答，并结合投标人提供的官方网站截图或产品白皮书、说明书或第三方机构检验报告或其他相关证明材料，对技术响应进行综合评价；投标设备或产品技术参数清楚、明确，技术支持资料完整，满足或优于招标文件要求，得25分。▲号的参数每满足一项计3分，非▲号的参数每满足一项计0.52分，满分25分。 注：各技术指标须提供技术支持资料，未提供支持资料的为负偏离，不计得分。</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标的清单</w:t>
            </w:r>
          </w:p>
          <w:p>
            <w:pPr>
              <w:pStyle w:val="null3"/>
            </w:pPr>
            <w:r>
              <w:rPr/>
              <w:t>技术文件</w:t>
            </w:r>
          </w:p>
        </w:tc>
      </w:tr>
      <w:tr>
        <w:tc>
          <w:tcPr>
            <w:tcW w:type="dxa" w:w="831"/>
            <w:vMerge/>
          </w:tcPr>
          <w:p/>
        </w:tc>
        <w:tc>
          <w:tcPr>
            <w:tcW w:type="dxa" w:w="1661"/>
          </w:tcPr>
          <w:p>
            <w:pPr>
              <w:pStyle w:val="null3"/>
            </w:pPr>
            <w:r>
              <w:rPr/>
              <w:t>实施方案</w:t>
            </w:r>
          </w:p>
        </w:tc>
        <w:tc>
          <w:tcPr>
            <w:tcW w:type="dxa" w:w="2492"/>
          </w:tcPr>
          <w:p>
            <w:pPr>
              <w:pStyle w:val="null3"/>
            </w:pPr>
            <w:r>
              <w:rPr/>
              <w:t>一、评审内容：实施方案包含①组织生产、供货运输方案；②安装调试方案；③接受采购人对项目实施方案、生产进度、货物质量、货款支付与结算审核等方面监督和管理等。 二、评审标准： （1）完整性：内容全面详尽，对各方面有详细的描述和说明。 （2）合理性：项目切合实际，进度控制合理、思路清晰，科学合理。 （3）针对性：方案编制紧扣项目特点和采购需求，针对性强，整体性高。 三、赋分标准（满分9分） ①组织生产、供货运输方案，此评审满分3分，每完全满足一项评审标准得1分，针对每条评审标准，如存在不合理的方面扣0.3分，针对每条评审标准，内容与本项目无关或未提供得0分； ②安装调试方案，此评审满分3分，每完全满足一项评审标准得1分，针对每条评审标准，如存在不合理的方面扣0.3分，针对每条评审标准，内容与本项目无关或未提供得0分； ③接受采购人对项目实施方案、生产进度、货物质量、货款支付与结算审核等方面监督和管理，此评审满分3分，每完全满足一项评审标准得1分，针对每条评审标准，如存在不合理的方面扣0.3分，针对每条评审标准，内容与本项目无关或未提供得0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技术文件</w:t>
            </w:r>
          </w:p>
        </w:tc>
      </w:tr>
      <w:tr>
        <w:tc>
          <w:tcPr>
            <w:tcW w:type="dxa" w:w="831"/>
            <w:vMerge/>
          </w:tcPr>
          <w:p/>
        </w:tc>
        <w:tc>
          <w:tcPr>
            <w:tcW w:type="dxa" w:w="1661"/>
          </w:tcPr>
          <w:p>
            <w:pPr>
              <w:pStyle w:val="null3"/>
            </w:pPr>
            <w:r>
              <w:rPr/>
              <w:t>产品质量保证</w:t>
            </w:r>
          </w:p>
        </w:tc>
        <w:tc>
          <w:tcPr>
            <w:tcW w:type="dxa" w:w="2492"/>
          </w:tcPr>
          <w:p>
            <w:pPr>
              <w:pStyle w:val="null3"/>
            </w:pPr>
            <w:r>
              <w:rPr/>
              <w:t>一、评审内容：投标产品符合国家相关质量标准，质量管理体系健全，质量保证措施有效可靠，符合招标人要求，内容包括①质量保证措施；投标人应提供所投产品来源渠道的合法证明资料，②产品证明资料，包括但不限于产品制造商授权/销售协议、代理协议、原厂授权、生产厂家出具的相应功能证明材料或第三方检测机构出具的检测/检验报告等。 二、评审标准： （1）完整性：内容全面详尽，对各方面有详细的描述和说明。 （2）合理性：项目切合实际，进度控制合理、思路清晰，科学合理。 （3）针对性：方案编制紧扣项目特点和采购需求，针对性强，整体性高。 三、赋分标准（满分8分） ①质量保证措施，此评审满分6分，每完全满足一项评审标准得2分，针对每条评审标准，如存在不合理的方面扣1分，针对每条评审标准，内容与本项目无关或未提供得0分； ②证明材料完整计2分，不完整或未提供不得分；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标的清单</w:t>
            </w:r>
          </w:p>
          <w:p>
            <w:pPr>
              <w:pStyle w:val="null3"/>
            </w:pPr>
            <w:r>
              <w:rPr/>
              <w:t>技术文件</w:t>
            </w:r>
          </w:p>
        </w:tc>
      </w:tr>
      <w:tr>
        <w:tc>
          <w:tcPr>
            <w:tcW w:type="dxa" w:w="831"/>
            <w:vMerge/>
          </w:tcPr>
          <w:p/>
        </w:tc>
        <w:tc>
          <w:tcPr>
            <w:tcW w:type="dxa" w:w="1661"/>
          </w:tcPr>
          <w:p>
            <w:pPr>
              <w:pStyle w:val="null3"/>
            </w:pPr>
            <w:r>
              <w:rPr/>
              <w:t>培训方案</w:t>
            </w:r>
          </w:p>
        </w:tc>
        <w:tc>
          <w:tcPr>
            <w:tcW w:type="dxa" w:w="2492"/>
          </w:tcPr>
          <w:p>
            <w:pPr>
              <w:pStyle w:val="null3"/>
            </w:pPr>
            <w:r>
              <w:rPr/>
              <w:t>一、评审内容：培训方案包括①培训计划及内容②培训人员、时间、地点等，保证采购人能够安全、正常、熟练的使用投标产品。 二、评审标准： （1）完整性：内容全面详尽，对各方面有详细的描述和说明。 （2）合理性：项目切合实际，进度控制合理、思路清晰，科学合理。 （3）针对性：方案编制紧扣项目特点和采购需求，针对性强，整体性高。 三、赋分标准（满分6分） ①培训计划及内容，此评审满分3分，每完全满足一项评审标准得1分，针对每条评审标准，如存在不合理的方面扣0.3分，针对每条评审标准，内容与本项目无关或未提供得0分； ②培训人员、时间、地点等，此评审满分3分，每完全满足一项评审标准得1分，针对每条评审标准，如存在不合理的方面扣0.3分，针对每条评审标准，内容与本项目无关或未提供得0分；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技术文件</w:t>
            </w:r>
          </w:p>
        </w:tc>
      </w:tr>
      <w:tr>
        <w:tc>
          <w:tcPr>
            <w:tcW w:type="dxa" w:w="831"/>
            <w:vMerge/>
          </w:tcPr>
          <w:p/>
        </w:tc>
        <w:tc>
          <w:tcPr>
            <w:tcW w:type="dxa" w:w="1661"/>
          </w:tcPr>
          <w:p>
            <w:pPr>
              <w:pStyle w:val="null3"/>
            </w:pPr>
            <w:r>
              <w:rPr/>
              <w:t>人员配备</w:t>
            </w:r>
          </w:p>
        </w:tc>
        <w:tc>
          <w:tcPr>
            <w:tcW w:type="dxa" w:w="2492"/>
          </w:tcPr>
          <w:p>
            <w:pPr>
              <w:pStyle w:val="null3"/>
            </w:pPr>
            <w:r>
              <w:rPr/>
              <w:t>一、评审内容； 根据投标人针对本项目配备专业的服务团队，包括①送货、安装调试人员②培训人员、售后服务人员、技术支持人员。 二、评审标准： （1）完整性：内容全面详尽，对各方面有详细的描述和说明。 （2）合理性：项目切合实际，进度控制合理、思路清晰，科学合理。 （3）针对性：人员配备紧扣项目特点和采购需求，针对性强，整体性高。 三、赋分标准（满分6分） ①送货、安装调试人员，此评审满分3分，每完全满足一项评审标准得1分，针对每条评审标准，如存在不合理的方面扣0.3分，针对每条评审标准，内容与本项目无关或未提供得0分； ②培训人员、售后服务人员、技术支持人员，此评审满分3分，每完全满足一项评审标准得1分，针对每条评审标准，如存在不合理的方面扣0.3分，针对每条评审标准，内容与本项目无关或未提供得0分；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技术文件</w:t>
            </w:r>
          </w:p>
        </w:tc>
      </w:tr>
      <w:tr>
        <w:tc>
          <w:tcPr>
            <w:tcW w:type="dxa" w:w="831"/>
            <w:vMerge/>
          </w:tcPr>
          <w:p/>
        </w:tc>
        <w:tc>
          <w:tcPr>
            <w:tcW w:type="dxa" w:w="1661"/>
          </w:tcPr>
          <w:p>
            <w:pPr>
              <w:pStyle w:val="null3"/>
            </w:pPr>
            <w:r>
              <w:rPr/>
              <w:t>售后服务方案</w:t>
            </w:r>
          </w:p>
        </w:tc>
        <w:tc>
          <w:tcPr>
            <w:tcW w:type="dxa" w:w="2492"/>
          </w:tcPr>
          <w:p>
            <w:pPr>
              <w:pStyle w:val="null3"/>
            </w:pPr>
            <w:r>
              <w:rPr/>
              <w:t>一、评审内容： 售后服务方案包括①售后服务机构②质保期内的维护保养、相关技术支持方案③服务保障力度④产品出现故障响应时间承诺、解决故障时间承诺、补救措施等。 二、评审标准： （1）完整性：内容全面详尽，对各方面有详细的描述和说明。 （2）合理性：项目切合实际，进度控制合理、思路清晰，科学合理。 （3）针对性：方案编制紧扣项目特点和采购需求，针对性强，整体性高。 三、赋分标准（满分12分） ①售后服务机构，此评审满分3分，每完全满足一项评审标准得1分，针对每条评审标准，如存在不合理的方面扣0.3分，针对每条评审标准，内容与本项目无关或未提供得0分； ②质保期内的维护保养、相关技术支持方案，此评审满分3分，每完全满足一项评审标准得1分，针对每条评审标准，如存在不合理的方面扣0.3分，针对每条评审标准，内容与本项目无关或未提供得0分； ③服务保障力度，此评审满分3分，每完全满足一项评审标准得1分，针对每条评审标准，如存在不合理的方面扣0.3分，针对每条评审标准，内容与本项目无关或未提供得0分； ④产品出现故障响应时间承诺、解决故障时间承诺、补救措施等，此评审满分3分，每完全满足一项评审标准得1分，针对每条评审标准，如存在不合理的方面扣0.3分，针对每条评审标准，内容与本项目无关或未提供得0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技术文件</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业绩</w:t>
            </w:r>
          </w:p>
        </w:tc>
        <w:tc>
          <w:tcPr>
            <w:tcW w:type="dxa" w:w="2492"/>
          </w:tcPr>
          <w:p>
            <w:pPr>
              <w:pStyle w:val="null3"/>
            </w:pPr>
            <w:r>
              <w:rPr/>
              <w:t>投标人每提供一份 2021 年 11月 1 日至今所投产品清晰完整的业绩合同复印件并加盖公章（时间以合同签订时间为准）得1分，最高得4分。 注：未按照要求提供不得分。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投标价格得分</w:t>
            </w:r>
          </w:p>
        </w:tc>
        <w:tc>
          <w:tcPr>
            <w:tcW w:type="dxa" w:w="2492"/>
          </w:tcPr>
          <w:p>
            <w:pPr>
              <w:pStyle w:val="null3"/>
            </w:pPr>
            <w:r>
              <w:rPr/>
              <w:t xml:space="preserve"> 投标报价得分＝（评标基准价/投标报价）×30（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根据《关于进一步加大政府采购支持中小企业力度的通知》财库〔2022〕19号的相关规定，对小型和微型企业的价格给予10%的扣除，用扣除后的价格参与评审。（2）根据《财政部民政部中国残疾人联合会关于促进残疾人就业政府采购政策的通知》（财库〔2017〕141号）的规定，对符合条件的残疾人福利性单位设备的价格给予10%的扣除，用扣除后的价格参与评审。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t>开标一览表 残疾人福利性单位声明函 中小企业声明函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详见附件：投标人应提交的相关资格证明材料</w:t>
      </w:r>
    </w:p>
    <w:p>
      <w:pPr>
        <w:pStyle w:val="null3"/>
        <w:ind w:firstLine="960"/>
      </w:pPr>
      <w:r>
        <w:rPr/>
        <w:t>详见附件：业绩</w:t>
      </w:r>
    </w:p>
    <w:p>
      <w:pPr>
        <w:pStyle w:val="null3"/>
        <w:ind w:firstLine="960"/>
      </w:pPr>
      <w:r>
        <w:rPr/>
        <w:t>详见附件：技术文件</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