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图书馆2025年电子资源（中国知网等）采购项目</w:t>
      </w:r>
    </w:p>
    <w:p>
      <w:pPr>
        <w:pStyle w:val="null3"/>
        <w:jc w:val="center"/>
        <w:outlineLvl w:val="5"/>
      </w:pPr>
      <w:r>
        <w:rPr>
          <w:sz w:val="15"/>
          <w:b/>
        </w:rPr>
        <w:t xml:space="preserve">采购项目编号: </w:t>
      </w:r>
      <w:r>
        <w:rPr>
          <w:sz w:val="15"/>
          <w:b/>
        </w:rPr>
        <w:t>KY2024-3-331</w:t>
      </w:r>
      <w:r>
        <w:br/>
      </w:r>
      <w:r>
        <w:br/>
      </w:r>
      <w:r>
        <w:br/>
      </w:r>
    </w:p>
    <w:p>
      <w:pPr>
        <w:pStyle w:val="null3"/>
        <w:jc w:val="center"/>
        <w:outlineLvl w:val="5"/>
      </w:pPr>
      <w:r>
        <w:rPr>
          <w:sz w:val="15"/>
          <w:b/>
        </w:rPr>
        <w:t>宝鸡文理学院</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2025年01月02日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宝鸡文理学院</w:t>
      </w:r>
      <w:r>
        <w:rPr/>
        <w:t>委托，拟对</w:t>
      </w:r>
      <w:r>
        <w:rPr/>
        <w:t>图书馆2025年电子资源（中国知网等）采购项目</w:t>
      </w:r>
      <w:r>
        <w:rPr/>
        <w:t>采用单一来源方式进行采购，现邀请贵公司参加该项目的协商。</w:t>
      </w:r>
    </w:p>
    <w:p>
      <w:pPr>
        <w:pStyle w:val="null3"/>
        <w:outlineLvl w:val="2"/>
      </w:pPr>
      <w:r>
        <w:rPr>
          <w:sz w:val="28"/>
          <w:b/>
        </w:rPr>
        <w:t xml:space="preserve"> 一、采购项目编号：</w:t>
      </w:r>
      <w:r>
        <w:rPr>
          <w:sz w:val="28"/>
          <w:b/>
        </w:rPr>
        <w:t>KY2024-3-331</w:t>
      </w:r>
    </w:p>
    <w:p>
      <w:pPr>
        <w:pStyle w:val="null3"/>
        <w:outlineLvl w:val="2"/>
      </w:pPr>
      <w:r>
        <w:rPr>
          <w:sz w:val="28"/>
          <w:b/>
        </w:rPr>
        <w:t xml:space="preserve"> 二、采购项目名称：</w:t>
      </w:r>
      <w:r>
        <w:rPr>
          <w:sz w:val="28"/>
          <w:b/>
        </w:rPr>
        <w:t>图书馆2025年电子资源（中国知网等）采购项目</w:t>
      </w:r>
    </w:p>
    <w:p>
      <w:pPr>
        <w:pStyle w:val="null3"/>
        <w:outlineLvl w:val="2"/>
      </w:pPr>
      <w:r>
        <w:rPr>
          <w:sz w:val="28"/>
          <w:b/>
        </w:rPr>
        <w:t>三、协商项目简介：</w:t>
      </w:r>
    </w:p>
    <w:p>
      <w:pPr>
        <w:pStyle w:val="null3"/>
        <w:ind w:firstLine="480"/>
      </w:pPr>
      <w:r>
        <w:rPr/>
        <w:t>宝鸡文理学院图书馆2025年电子资源（中国知网等）采购项目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8、法定代表人授权书：法定代表人授权书及被授权人身份证。（法定代表人直接投标只须提交其法定代表人证明书，被授权人提供供应商为其缴纳的本年度任意一个月社保缴纳证明）</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8、法定代表人授权书：法定代表人授权书及被授权人身份证。（法定代表人直接投标只须提交其法定代表人证明书，被授权人提供供应商为其缴纳的本年度任意一个月社保缴纳证明）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宝鸡文理学院</w:t>
      </w:r>
    </w:p>
    <w:p>
      <w:pPr>
        <w:pStyle w:val="null3"/>
      </w:pPr>
      <w:r>
        <w:rPr/>
        <w:t xml:space="preserve"> 地址： </w:t>
      </w:r>
      <w:r>
        <w:rPr/>
        <w:t>陕西省宝鸡市高新大道1号</w:t>
      </w:r>
    </w:p>
    <w:p>
      <w:pPr>
        <w:pStyle w:val="null3"/>
      </w:pPr>
      <w:r>
        <w:rPr/>
        <w:t xml:space="preserve"> 邮编： </w:t>
      </w:r>
      <w:r>
        <w:rPr/>
        <w:t>721013</w:t>
      </w:r>
    </w:p>
    <w:p>
      <w:pPr>
        <w:pStyle w:val="null3"/>
      </w:pPr>
      <w:r>
        <w:rPr/>
        <w:t xml:space="preserve"> 联系人： </w:t>
      </w:r>
      <w:r>
        <w:rPr/>
        <w:t>蔡老师</w:t>
      </w:r>
    </w:p>
    <w:p>
      <w:pPr>
        <w:pStyle w:val="null3"/>
      </w:pPr>
      <w:r>
        <w:rPr/>
        <w:t xml:space="preserve"> 联系电话： </w:t>
      </w:r>
      <w:r>
        <w:rPr/>
        <w:t>0917-3566017</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徐闫靖双、李瑞洁、戈迪</w:t>
      </w:r>
    </w:p>
    <w:p>
      <w:pPr>
        <w:pStyle w:val="null3"/>
      </w:pPr>
      <w:r>
        <w:rPr/>
        <w:t xml:space="preserve"> 联系电话： </w:t>
      </w:r>
      <w:r>
        <w:rPr/>
        <w:t>029-81206622-841</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采购包1：521,000.00元</w:t>
            </w:r>
          </w:p>
          <w:p>
            <w:pPr>
              <w:pStyle w:val="null3"/>
            </w:pPr>
            <w:r>
              <w:rPr/>
              <w:t>采购包2：158,000.00元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采购包1：521,000.00元</w:t>
            </w:r>
          </w:p>
          <w:p>
            <w:pPr>
              <w:pStyle w:val="null3"/>
            </w:pPr>
            <w:r>
              <w:rPr/>
              <w:t>采购包2：158,000.00元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采购包1保证金金额：10,000.00元</w:t>
            </w:r>
          </w:p>
          <w:p>
            <w:pPr>
              <w:pStyle w:val="null3"/>
            </w:pPr>
            <w:r>
              <w:rPr/>
              <w:t>采购包2保证金金额：3,000.00元</w:t>
            </w:r>
          </w:p>
          <w:p>
            <w:pPr>
              <w:pStyle w:val="null3"/>
            </w:pPr>
            <w:r>
              <w:rPr/>
              <w:t>缴交渠道：转账、支票、汇票等（需通过实体账户、户名及开户行信息）,电子保函</w:t>
            </w:r>
          </w:p>
          <w:p>
            <w:pPr>
              <w:pStyle w:val="null3"/>
            </w:pPr>
            <w:r>
              <w:rPr/>
              <w:t>开户名称：陕西开源招标有限公司</w:t>
            </w:r>
          </w:p>
          <w:p>
            <w:pPr>
              <w:pStyle w:val="null3"/>
            </w:pPr>
            <w:r>
              <w:rPr/>
              <w:t>开户银行：交通银行西安甜水井街支行</w:t>
            </w:r>
          </w:p>
          <w:p>
            <w:pPr>
              <w:pStyle w:val="null3"/>
            </w:pPr>
            <w:r>
              <w:rPr/>
              <w:t>银行账号：86113010750181501003950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费用计取参照国家计委颁布的《招标代理服务收费管理暂行办法》（计价格[2002]1980号）及发改办价格[2003]857号文件的规定标准下浮15%计取。由中标单位在领取中标通知书前一次性支付。</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宝鸡文理学院</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宝鸡文理学院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按单一来源采购文件及合同约定执行</w:t>
      </w:r>
    </w:p>
    <w:p>
      <w:pPr>
        <w:pStyle w:val="null3"/>
      </w:pPr>
      <w:r>
        <w:rPr/>
        <w:t>采购包2：</w:t>
      </w:r>
    </w:p>
    <w:p>
      <w:pPr>
        <w:pStyle w:val="null3"/>
      </w:pPr>
      <w:r>
        <w:rPr/>
        <w:t>按单一来源采购文件及合同约定执行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宝鸡文理学院图书馆2025年电子资源（中国知网等）采购项目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521,000.00</w:t>
      </w:r>
    </w:p>
    <w:p>
      <w:pPr>
        <w:pStyle w:val="null3"/>
      </w:pPr>
      <w:r>
        <w:rPr/>
        <w:t>采购包最高限价（元）: 521,000.00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中国知网CNKI</w:t>
            </w:r>
          </w:p>
        </w:tc>
        <w:tc>
          <w:tcPr>
            <w:tcW w:type="dxa" w:w="831"/>
          </w:tcPr>
          <w:p>
            <w:pPr>
              <w:pStyle w:val="null3"/>
              <w:jc w:val="right"/>
            </w:pPr>
            <w:r>
              <w:rPr/>
              <w:t>1.00</w:t>
            </w:r>
          </w:p>
        </w:tc>
        <w:tc>
          <w:tcPr>
            <w:tcW w:type="dxa" w:w="831"/>
          </w:tcPr>
          <w:p>
            <w:pPr>
              <w:pStyle w:val="null3"/>
              <w:jc w:val="right"/>
            </w:pPr>
            <w:r>
              <w:rPr/>
              <w:t>521,000.00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158,000.00</w:t>
      </w:r>
    </w:p>
    <w:p>
      <w:pPr>
        <w:pStyle w:val="null3"/>
      </w:pPr>
      <w:r>
        <w:rPr/>
        <w:t>采购包最高限价（元）: 158,000.00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Engineering Village Compendex数据库</w:t>
            </w:r>
          </w:p>
        </w:tc>
        <w:tc>
          <w:tcPr>
            <w:tcW w:type="dxa" w:w="831"/>
          </w:tcPr>
          <w:p>
            <w:pPr>
              <w:pStyle w:val="null3"/>
              <w:jc w:val="right"/>
            </w:pPr>
            <w:r>
              <w:rPr/>
              <w:t>1.00</w:t>
            </w:r>
          </w:p>
        </w:tc>
        <w:tc>
          <w:tcPr>
            <w:tcW w:type="dxa" w:w="831"/>
          </w:tcPr>
          <w:p>
            <w:pPr>
              <w:pStyle w:val="null3"/>
              <w:jc w:val="right"/>
            </w:pPr>
            <w:r>
              <w:rPr/>
              <w:t>158,000.00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标的名称：中国知网CNKI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sz w:val="21"/>
              </w:rPr>
              <w:t>1.中国学术期刊(网络版)、中国博士学位论文全文数据库、中国优秀硕士学位论文全文数据库（含8个专辑的基础科学、工程科技Ⅰ辑、工程科技Ⅱ辑、信息科技I、哲学与人文科学F、社会科学Ⅰ辑、社会科学Ⅱ辑、经济与管理科学J）以及《中国基础教育期刊全文数据库—完全版》。</w:t>
            </w:r>
          </w:p>
          <w:p>
            <w:pPr>
              <w:pStyle w:val="null3"/>
            </w:pPr>
            <w:r>
              <w:rPr>
                <w:rFonts w:ascii="&quot;times new roman&quot;" w:hAnsi="&quot;times new roman&quot;" w:cs="&quot;times new roman&quot;" w:eastAsia="&quot;times new roman&quot;"/>
                <w:sz w:val="21"/>
              </w:rPr>
              <w:t>备注：中国学术期刊里面包含《中国高等教育期刊文献总库》。</w:t>
            </w:r>
          </w:p>
          <w:p>
            <w:pPr>
              <w:pStyle w:val="null3"/>
            </w:pPr>
            <w:r>
              <w:rPr>
                <w:rFonts w:ascii="&quot;times new roman&quot;" w:hAnsi="&quot;times new roman&quot;" w:cs="&quot;times new roman&quot;" w:eastAsia="&quot;times new roman&quot;"/>
                <w:sz w:val="21"/>
              </w:rPr>
              <w:t>2.研究生毕业论文检测系统。（计划采购1300篇）</w:t>
            </w:r>
          </w:p>
          <w:p>
            <w:pPr>
              <w:pStyle w:val="null3"/>
            </w:pPr>
            <w:r>
              <w:rPr>
                <w:rFonts w:ascii="&quot;times new roman&quot;" w:hAnsi="&quot;times new roman&quot;" w:cs="&quot;times new roman&quot;" w:eastAsia="&quot;times new roman&quot;"/>
                <w:sz w:val="21"/>
              </w:rPr>
              <w:t>本科生毕业论文（设计）管理系统。包含：本科生包年学术不端检测模块、2025年5300名本科生毕业生论文全过程管理以及论文不限次数检测。</w:t>
            </w:r>
          </w:p>
        </w:tc>
      </w:tr>
      <w:tr>
        <w:tc>
          <w:tcPr>
            <w:tcW w:type="dxa" w:w="2769"/>
          </w:tcPr>
          <w:p/>
        </w:tc>
        <w:tc>
          <w:tcPr>
            <w:tcW w:type="dxa" w:w="2769"/>
          </w:tcPr>
          <w:p>
            <w:pPr>
              <w:pStyle w:val="null3"/>
            </w:pPr>
            <w:r>
              <w:rPr/>
              <w:t>2</w:t>
            </w:r>
          </w:p>
        </w:tc>
        <w:tc>
          <w:tcPr>
            <w:tcW w:type="dxa" w:w="2769"/>
          </w:tcPr>
          <w:p>
            <w:pPr>
              <w:pStyle w:val="null3"/>
              <w:jc w:val="both"/>
            </w:pPr>
            <w:r>
              <w:rPr>
                <w:rFonts w:ascii="&quot;times new roman&quot;" w:hAnsi="&quot;times new roman&quot;" w:cs="&quot;times new roman&quot;" w:eastAsia="&quot;times new roman&quot;"/>
                <w:sz w:val="21"/>
              </w:rPr>
              <w:t>采购要求</w:t>
            </w:r>
          </w:p>
          <w:p>
            <w:pPr>
              <w:pStyle w:val="null3"/>
            </w:pPr>
            <w:r>
              <w:rPr>
                <w:rFonts w:ascii="&quot;times new roman&quot;" w:hAnsi="&quot;times new roman&quot;" w:cs="&quot;times new roman&quot;" w:eastAsia="&quot;times new roman&quot;"/>
                <w:sz w:val="21"/>
              </w:rPr>
              <w:t>1.技术要求：</w:t>
            </w:r>
          </w:p>
          <w:p>
            <w:pPr>
              <w:pStyle w:val="null3"/>
            </w:pPr>
            <w:r>
              <w:rPr>
                <w:rFonts w:ascii="&quot;times new roman&quot;" w:hAnsi="&quot;times new roman&quot;" w:cs="&quot;times new roman&quot;" w:eastAsia="&quot;times new roman&quot;"/>
                <w:sz w:val="21"/>
              </w:rPr>
              <w:t>（1）产品质量保证期</w:t>
            </w:r>
          </w:p>
          <w:p>
            <w:pPr>
              <w:pStyle w:val="null3"/>
            </w:pPr>
            <w:r>
              <w:rPr>
                <w:rFonts w:ascii="&quot;times new roman&quot;" w:hAnsi="&quot;times new roman&quot;" w:cs="&quot;times new roman&quot;" w:eastAsia="&quot;times new roman&quot;"/>
                <w:sz w:val="21"/>
              </w:rPr>
              <w:t>投标人应明确承诺：其投标产品质量保证期达到1年。</w:t>
            </w:r>
          </w:p>
          <w:p>
            <w:pPr>
              <w:pStyle w:val="null3"/>
            </w:pPr>
            <w:r>
              <w:rPr>
                <w:rFonts w:ascii="&quot;times new roman&quot;" w:hAnsi="&quot;times new roman&quot;" w:cs="&quot;times new roman&quot;" w:eastAsia="&quot;times new roman&quot;"/>
                <w:sz w:val="21"/>
              </w:rPr>
              <w:t>（2）售后服务内容</w:t>
            </w:r>
          </w:p>
          <w:p>
            <w:pPr>
              <w:pStyle w:val="null3"/>
            </w:pPr>
            <w:r>
              <w:rPr>
                <w:rFonts w:ascii="&quot;times new roman&quot;" w:hAnsi="&quot;times new roman&quot;" w:cs="&quot;times new roman&quot;" w:eastAsia="&quot;times new roman&quot;"/>
                <w:sz w:val="21"/>
              </w:rPr>
              <w:t>投标人和制造商在质量保证期内应当为采购人提供以下技术支持和服务：</w:t>
            </w:r>
          </w:p>
          <w:p>
            <w:pPr>
              <w:pStyle w:val="null3"/>
            </w:pPr>
            <w:r>
              <w:rPr>
                <w:rFonts w:ascii="&quot;times new roman&quot;" w:hAnsi="&quot;times new roman&quot;" w:cs="&quot;times new roman&quot;" w:eastAsia="&quot;times new roman&quot;"/>
                <w:sz w:val="21"/>
              </w:rPr>
              <w:t>①电话咨询。中标人和制造商应当为采购人提供技术援助电话，解答采购人在使用中遇到的问题，及时为采购人提出解决问题的建议。</w:t>
            </w:r>
          </w:p>
          <w:p>
            <w:pPr>
              <w:pStyle w:val="null3"/>
            </w:pPr>
            <w:r>
              <w:rPr>
                <w:rFonts w:ascii="&quot;times new roman&quot;" w:hAnsi="&quot;times new roman&quot;" w:cs="&quot;times new roman&quot;" w:eastAsia="&quot;times new roman&quot;"/>
                <w:sz w:val="21"/>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pPr>
            <w:r>
              <w:rPr>
                <w:rFonts w:ascii="&quot;times new roman&quot;" w:hAnsi="&quot;times new roman&quot;" w:cs="&quot;times new roman&quot;" w:eastAsia="&quot;times new roman&quot;"/>
                <w:sz w:val="21"/>
              </w:rPr>
              <w:t>③技术升级</w:t>
            </w:r>
          </w:p>
          <w:p>
            <w:pPr>
              <w:pStyle w:val="null3"/>
            </w:pPr>
            <w:r>
              <w:rPr>
                <w:rFonts w:ascii="&quot;times new roman&quot;" w:hAnsi="&quot;times new roman&quot;" w:cs="&quot;times new roman&quot;" w:eastAsia="&quot;times new roman&quot;"/>
                <w:sz w:val="21"/>
              </w:rPr>
              <w:t>在质保期内，如果图书电子资源进行升级，供应商应及时通知采购人，如采购人有相应要求，中标人和制造商应对采购人购买的资源进行免费升级服务。</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标的名称：Engineering Village Compendex数据库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sz w:val="21"/>
              </w:rPr>
              <w:t>Engineering Village是一种基础工程研究数据库，提供最全面的可搜索工程文献与专利信息索引，包含12个子数据库，为工程科研人员在其研究领域的研发和实践过程中，提供有针对性的内容和信息支持，其中的Compendex(也称作Ei)被工程用户所熟知。</w:t>
            </w:r>
          </w:p>
        </w:tc>
      </w:tr>
      <w:tr>
        <w:tc>
          <w:tcPr>
            <w:tcW w:type="dxa" w:w="2769"/>
          </w:tcPr>
          <w:p/>
        </w:tc>
        <w:tc>
          <w:tcPr>
            <w:tcW w:type="dxa" w:w="2769"/>
          </w:tcPr>
          <w:p>
            <w:pPr>
              <w:pStyle w:val="null3"/>
            </w:pPr>
            <w:r>
              <w:rPr/>
              <w:t>2</w:t>
            </w:r>
          </w:p>
        </w:tc>
        <w:tc>
          <w:tcPr>
            <w:tcW w:type="dxa" w:w="2769"/>
          </w:tcPr>
          <w:p>
            <w:pPr>
              <w:pStyle w:val="null3"/>
              <w:jc w:val="both"/>
            </w:pPr>
            <w:r>
              <w:rPr>
                <w:rFonts w:ascii="&quot;times new roman&quot;" w:hAnsi="&quot;times new roman&quot;" w:cs="&quot;times new roman&quot;" w:eastAsia="&quot;times new roman&quot;"/>
                <w:sz w:val="21"/>
              </w:rPr>
              <w:t>采购要求</w:t>
            </w:r>
          </w:p>
          <w:p>
            <w:pPr>
              <w:pStyle w:val="null3"/>
            </w:pPr>
            <w:r>
              <w:rPr>
                <w:rFonts w:ascii="&quot;times new roman&quot;" w:hAnsi="&quot;times new roman&quot;" w:cs="&quot;times new roman&quot;" w:eastAsia="&quot;times new roman&quot;"/>
                <w:sz w:val="21"/>
              </w:rPr>
              <w:t>1.技术要求：</w:t>
            </w:r>
          </w:p>
          <w:p>
            <w:pPr>
              <w:pStyle w:val="null3"/>
            </w:pPr>
            <w:r>
              <w:rPr>
                <w:rFonts w:ascii="&quot;times new roman&quot;" w:hAnsi="&quot;times new roman&quot;" w:cs="&quot;times new roman&quot;" w:eastAsia="&quot;times new roman&quot;"/>
                <w:sz w:val="21"/>
              </w:rPr>
              <w:t>（1）产品质量保证期</w:t>
            </w:r>
          </w:p>
          <w:p>
            <w:pPr>
              <w:pStyle w:val="null3"/>
            </w:pPr>
            <w:r>
              <w:rPr>
                <w:rFonts w:ascii="&quot;times new roman&quot;" w:hAnsi="&quot;times new roman&quot;" w:cs="&quot;times new roman&quot;" w:eastAsia="&quot;times new roman&quot;"/>
                <w:sz w:val="21"/>
              </w:rPr>
              <w:t>投标人应明确承诺：其投标产品质量保证期达到1年。</w:t>
            </w:r>
          </w:p>
          <w:p>
            <w:pPr>
              <w:pStyle w:val="null3"/>
            </w:pPr>
            <w:r>
              <w:rPr>
                <w:rFonts w:ascii="&quot;times new roman&quot;" w:hAnsi="&quot;times new roman&quot;" w:cs="&quot;times new roman&quot;" w:eastAsia="&quot;times new roman&quot;"/>
                <w:sz w:val="21"/>
              </w:rPr>
              <w:t>（2）售后服务内容</w:t>
            </w:r>
          </w:p>
          <w:p>
            <w:pPr>
              <w:pStyle w:val="null3"/>
            </w:pPr>
            <w:r>
              <w:rPr>
                <w:rFonts w:ascii="&quot;times new roman&quot;" w:hAnsi="&quot;times new roman&quot;" w:cs="&quot;times new roman&quot;" w:eastAsia="&quot;times new roman&quot;"/>
                <w:sz w:val="21"/>
              </w:rPr>
              <w:t>投标人和制造商在质量保证期内应当为采购人提供以下技术支持和服务：</w:t>
            </w:r>
          </w:p>
          <w:p>
            <w:pPr>
              <w:pStyle w:val="null3"/>
            </w:pPr>
            <w:r>
              <w:rPr>
                <w:rFonts w:ascii="&quot;times new roman&quot;" w:hAnsi="&quot;times new roman&quot;" w:cs="&quot;times new roman&quot;" w:eastAsia="&quot;times new roman&quot;"/>
                <w:sz w:val="21"/>
              </w:rPr>
              <w:t>①电话咨询。中标人和制造商应当为采购人提供技术援助电话，解答采购人在使用中遇到的问题，及时为采购人提出解决问题的建议。</w:t>
            </w:r>
          </w:p>
          <w:p>
            <w:pPr>
              <w:pStyle w:val="null3"/>
            </w:pPr>
            <w:r>
              <w:rPr>
                <w:rFonts w:ascii="&quot;times new roman&quot;" w:hAnsi="&quot;times new roman&quot;" w:cs="&quot;times new roman&quot;" w:eastAsia="&quot;times new roman&quot;"/>
                <w:sz w:val="21"/>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pPr>
            <w:r>
              <w:rPr>
                <w:rFonts w:ascii="&quot;times new roman&quot;" w:hAnsi="&quot;times new roman&quot;" w:cs="&quot;times new roman&quot;" w:eastAsia="&quot;times new roman&quot;"/>
                <w:sz w:val="21"/>
              </w:rPr>
              <w:t>③技术升级</w:t>
            </w:r>
          </w:p>
          <w:p>
            <w:pPr>
              <w:pStyle w:val="null3"/>
            </w:pPr>
            <w:r>
              <w:rPr>
                <w:rFonts w:ascii="&quot;times new roman&quot;" w:hAnsi="&quot;times new roman&quot;" w:cs="&quot;times new roman&quot;" w:eastAsia="&quot;times new roman&quot;"/>
                <w:sz w:val="21"/>
              </w:rPr>
              <w:t>在质保期内，如果图书电子资源进行升级，供应商应及时通知采购人，如采购人有相应要求，中标人和制造商应对采购人购买的资源进行免费升级服务。</w:t>
            </w:r>
          </w:p>
        </w:tc>
      </w:tr>
    </w:tbl>
    <w:p>
      <w:pPr>
        <w:pStyle w:val="null3"/>
        <w:outlineLvl w:val="3"/>
      </w:pPr>
      <w:r>
        <w:rPr>
          <w:sz w:val="24"/>
          <w:b/>
        </w:rPr>
        <w:t>3.2.3人员配置要求</w:t>
      </w:r>
    </w:p>
    <w:p>
      <w:pPr>
        <w:pStyle w:val="null3"/>
      </w:pPr>
      <w:r>
        <w:rPr/>
        <w:t>采购包1：</w:t>
      </w:r>
    </w:p>
    <w:p>
      <w:pPr>
        <w:pStyle w:val="null3"/>
      </w:pPr>
      <w:r>
        <w:rPr/>
        <w:t>满足项目实施需求</w:t>
      </w:r>
    </w:p>
    <w:p>
      <w:pPr>
        <w:pStyle w:val="null3"/>
      </w:pPr>
      <w:r>
        <w:rPr/>
        <w:t>采购包2：</w:t>
      </w:r>
    </w:p>
    <w:p>
      <w:pPr>
        <w:pStyle w:val="null3"/>
      </w:pPr>
      <w:r>
        <w:rPr/>
        <w:t>满足项目实施要求</w:t>
      </w:r>
    </w:p>
    <w:p>
      <w:pPr>
        <w:pStyle w:val="null3"/>
        <w:outlineLvl w:val="3"/>
      </w:pPr>
      <w:r>
        <w:rPr>
          <w:sz w:val="24"/>
          <w:b/>
        </w:rPr>
        <w:t>3.2.4设施设备要求</w:t>
      </w:r>
    </w:p>
    <w:p>
      <w:pPr>
        <w:pStyle w:val="null3"/>
      </w:pPr>
      <w:r>
        <w:rPr/>
        <w:t>采购包1：</w:t>
      </w:r>
    </w:p>
    <w:p>
      <w:pPr>
        <w:pStyle w:val="null3"/>
      </w:pPr>
      <w:r>
        <w:rPr/>
        <w:t>满足项目实施需求</w:t>
      </w:r>
    </w:p>
    <w:p>
      <w:pPr>
        <w:pStyle w:val="null3"/>
      </w:pPr>
      <w:r>
        <w:rPr/>
        <w:t>采购包2：</w:t>
      </w:r>
    </w:p>
    <w:p>
      <w:pPr>
        <w:pStyle w:val="null3"/>
      </w:pPr>
      <w:r>
        <w:rPr/>
        <w:t>满足项目实施需求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自合同签订之日起7日内开通，执行期为1年。</w:t>
      </w:r>
    </w:p>
    <w:p>
      <w:pPr>
        <w:pStyle w:val="null3"/>
      </w:pPr>
      <w:r>
        <w:rPr/>
        <w:t>采购包2：</w:t>
      </w:r>
    </w:p>
    <w:p>
      <w:pPr>
        <w:pStyle w:val="null3"/>
      </w:pPr>
      <w:r>
        <w:rPr/>
        <w:t>自合同签订之日起7日内开通，执行期为1年。</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数据库正常开通使用，验收合格后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数据库正常开通使用，验收合格后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（1）检查数字资源的访问速度、稳定性以及是否具备必要的检索、浏览等功能。 （2）检查数字资源的内容完整性、准确性、时效性和学术价值，是否满足我校教学科研工作的需求。</w:t>
      </w:r>
    </w:p>
    <w:p>
      <w:pPr>
        <w:pStyle w:val="null3"/>
      </w:pPr>
      <w:r>
        <w:rPr/>
        <w:t>采购包2：</w:t>
      </w:r>
    </w:p>
    <w:p>
      <w:pPr>
        <w:pStyle w:val="null3"/>
      </w:pPr>
      <w:r>
        <w:rPr/>
        <w:t>（1）检查数字资源的访问速度、稳定性以及是否具备必要的检索、浏览等功能。 （2）检查数字资源的内容完整性、准确性、时效性和学术价值，是否满足我校教学科研工作的需求。</w:t>
      </w:r>
    </w:p>
    <w:p>
      <w:pPr>
        <w:pStyle w:val="null3"/>
        <w:outlineLvl w:val="3"/>
      </w:pPr>
      <w:r>
        <w:rPr>
          <w:sz w:val="24"/>
          <w:b/>
        </w:rPr>
        <w:t>3.3.6违约责任及解决争议的方法</w:t>
      </w:r>
    </w:p>
    <w:p>
      <w:pPr>
        <w:pStyle w:val="null3"/>
      </w:pPr>
      <w:r>
        <w:rPr/>
        <w:t>采购包1：</w:t>
      </w:r>
    </w:p>
    <w:p>
      <w:pPr>
        <w:pStyle w:val="null3"/>
      </w:pPr>
      <w:r>
        <w:rPr/>
        <w:t>按《中华人民共和国政府采购法》、《中华人民共和国合同法》中的相关条款执行。未按合同或招标文件要求提供产品或供应的产品质量不能满足采购人技术要求，采购单位有权终止合同，甚至对供应商违约行为进行追究。</w:t>
      </w:r>
    </w:p>
    <w:p>
      <w:pPr>
        <w:pStyle w:val="null3"/>
      </w:pPr>
      <w:r>
        <w:rPr/>
        <w:t>采购包2：</w:t>
      </w:r>
    </w:p>
    <w:p>
      <w:pPr>
        <w:pStyle w:val="null3"/>
      </w:pPr>
      <w:r>
        <w:rPr/>
        <w:t>按《中华人民共和国政府采购法》、《中华人民共和国合同法》中的相关条款执行。未按合同或招标文件要求提供产品或供应的产品质量不能满足采购人技术要求，采购单位有权终止合同，甚至对供应商违约行为进行追究。</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徐闫靖双，联系电话：029-81206622/81206633-841）。 3、若电子响应文件与纸质响应文件不一致的，以电子响应文件为准。</w:t>
      </w:r>
    </w:p>
    <w:p>
      <w:pPr>
        <w:pStyle w:val="null3"/>
      </w:pPr>
      <w:r>
        <w:rPr/>
        <w:t>采购包2：</w:t>
      </w:r>
    </w:p>
    <w:p>
      <w:pPr>
        <w:pStyle w:val="null3"/>
      </w:pPr>
      <w:r>
        <w:rPr/>
        <w:t>1、为顺利推进政府采购电子化交易平台应用工作，供应商需要在线提交所有通过电子化交易平台实施的政府采购项目的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徐闫靖双，联系电话：029-81206622/81206633-841）。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法定代表人授权书及被授权人身份证。（法定代表人直接投标只须提交其法定代表人证明书，被授权人提供供应商为其缴纳的本年度任意一个月社保缴纳证明）</w:t>
            </w:r>
          </w:p>
        </w:tc>
        <w:tc>
          <w:tcPr>
            <w:tcW w:type="dxa" w:w="1661"/>
          </w:tcPr>
          <w:p>
            <w:pPr>
              <w:pStyle w:val="null3"/>
            </w:pPr>
            <w:r>
              <w:rPr/>
              <w:t>供应商资格条件证明文件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法定代表人授权书及被授权人身份证。（法定代表人直接投标只须提交其法定代表人证明书，被授权人提供供应商为其缴纳的本年度任意一个月社保缴纳证明）</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供应商名称与营业执照、资质证书一致</w:t>
            </w:r>
          </w:p>
        </w:tc>
        <w:tc>
          <w:tcPr>
            <w:tcW w:type="dxa" w:w="3322"/>
          </w:tcPr>
          <w:p>
            <w:pPr>
              <w:pStyle w:val="null3"/>
            </w:pPr>
            <w:r>
              <w:rPr/>
              <w:t>供应商名称与营业执照、资质证书一致</w:t>
            </w:r>
          </w:p>
        </w:tc>
        <w:tc>
          <w:tcPr>
            <w:tcW w:type="dxa" w:w="1661"/>
          </w:tcPr>
          <w:p>
            <w:pPr>
              <w:pStyle w:val="null3"/>
            </w:pPr>
            <w:r>
              <w:rPr/>
              <w:t>供应商资格条件证明文件 响应函</w:t>
            </w:r>
          </w:p>
        </w:tc>
      </w:tr>
      <w:tr>
        <w:tc>
          <w:tcPr>
            <w:tcW w:type="dxa" w:w="831"/>
          </w:tcPr>
          <w:p>
            <w:pPr>
              <w:pStyle w:val="null3"/>
            </w:pPr>
            <w:r>
              <w:rPr/>
              <w:t>5</w:t>
            </w:r>
          </w:p>
        </w:tc>
        <w:tc>
          <w:tcPr>
            <w:tcW w:type="dxa" w:w="2492"/>
          </w:tcPr>
          <w:p>
            <w:pPr>
              <w:pStyle w:val="null3"/>
            </w:pPr>
            <w:r>
              <w:rPr/>
              <w:t>响应文件按单一来源采购文件要求的数量、计量单位、报价货币及签字盖章</w:t>
            </w:r>
          </w:p>
        </w:tc>
        <w:tc>
          <w:tcPr>
            <w:tcW w:type="dxa" w:w="3322"/>
          </w:tcPr>
          <w:p>
            <w:pPr>
              <w:pStyle w:val="null3"/>
            </w:pPr>
            <w:r>
              <w:rPr/>
              <w:t>响应文件按单一来源采购文件要求的数量、计量单位、报价货币及签字盖章</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谈判有效期达到单一来源采购文件要求</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符合法律、法规和单一来源采购文件中规定的其他实质性要求</w:t>
            </w:r>
          </w:p>
        </w:tc>
        <w:tc>
          <w:tcPr>
            <w:tcW w:type="dxa" w:w="3322"/>
          </w:tcPr>
          <w:p>
            <w:pPr>
              <w:pStyle w:val="null3"/>
            </w:pPr>
            <w:r>
              <w:rPr/>
              <w:t>符合法律、法规和单一来源采购文件中规定的其他实质性要求</w:t>
            </w:r>
          </w:p>
        </w:tc>
        <w:tc>
          <w:tcPr>
            <w:tcW w:type="dxa" w:w="1661"/>
          </w:tcPr>
          <w:p>
            <w:pPr>
              <w:pStyle w:val="null3"/>
            </w:pPr>
            <w:r>
              <w:rPr/>
              <w:t>服务内容及服务邀请应答表 供应商认为有必要说明的问题 商务应答表 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供应商名称与营业执照、资质证书一致</w:t>
            </w:r>
          </w:p>
        </w:tc>
        <w:tc>
          <w:tcPr>
            <w:tcW w:type="dxa" w:w="3322"/>
          </w:tcPr>
          <w:p>
            <w:pPr>
              <w:pStyle w:val="null3"/>
            </w:pPr>
            <w:r>
              <w:rPr/>
              <w:t>供应商名称与营业执照、资质证书一致</w:t>
            </w:r>
          </w:p>
        </w:tc>
        <w:tc>
          <w:tcPr>
            <w:tcW w:type="dxa" w:w="1661"/>
          </w:tcPr>
          <w:p>
            <w:pPr>
              <w:pStyle w:val="null3"/>
            </w:pPr>
            <w:r>
              <w:rPr/>
              <w:t>供应商资格条件证明文件 响应函</w:t>
            </w:r>
          </w:p>
        </w:tc>
      </w:tr>
      <w:tr>
        <w:tc>
          <w:tcPr>
            <w:tcW w:type="dxa" w:w="831"/>
          </w:tcPr>
          <w:p>
            <w:pPr>
              <w:pStyle w:val="null3"/>
            </w:pPr>
            <w:r>
              <w:rPr/>
              <w:t>5</w:t>
            </w:r>
          </w:p>
        </w:tc>
        <w:tc>
          <w:tcPr>
            <w:tcW w:type="dxa" w:w="2492"/>
          </w:tcPr>
          <w:p>
            <w:pPr>
              <w:pStyle w:val="null3"/>
            </w:pPr>
            <w:r>
              <w:rPr/>
              <w:t>响应文件按单一来源采购文件要求的数量、计量单位、报价货币及签字盖章</w:t>
            </w:r>
          </w:p>
        </w:tc>
        <w:tc>
          <w:tcPr>
            <w:tcW w:type="dxa" w:w="3322"/>
          </w:tcPr>
          <w:p>
            <w:pPr>
              <w:pStyle w:val="null3"/>
            </w:pPr>
            <w:r>
              <w:rPr/>
              <w:t>响应文件按单一来源采购文件要求的数量、计量单位、报价货币及签字盖章</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谈判有效期达到单一来源采购文件要求</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符合法律、法规和单一来源采购文件中规定的其他实质性要求</w:t>
            </w:r>
          </w:p>
        </w:tc>
        <w:tc>
          <w:tcPr>
            <w:tcW w:type="dxa" w:w="3322"/>
          </w:tcPr>
          <w:p>
            <w:pPr>
              <w:pStyle w:val="null3"/>
            </w:pPr>
            <w:r>
              <w:rPr/>
              <w:t>符合法律、法规和单一来源采购文件中规定的其他实质性要求</w:t>
            </w:r>
          </w:p>
        </w:tc>
        <w:tc>
          <w:tcPr>
            <w:tcW w:type="dxa" w:w="1661"/>
          </w:tcPr>
          <w:p>
            <w:pPr>
              <w:pStyle w:val="null3"/>
            </w:pPr>
            <w:r>
              <w:rPr/>
              <w:t>服务内容及服务邀请应答表 供应商认为有必要说明的问题 商务应答表 服务方案</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详见附件：供应商认为有必要说明的问题</w:t>
      </w:r>
    </w:p>
    <w:p>
      <w:pPr>
        <w:pStyle w:val="null3"/>
        <w:ind w:firstLine="960"/>
      </w:pPr>
      <w:r>
        <w:rPr/>
        <w:t>详见附件：供应商资格条件证明文件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详见附件：供应商认为有必要说明的问题</w:t>
      </w:r>
    </w:p>
    <w:p>
      <w:pPr>
        <w:pStyle w:val="null3"/>
        <w:ind w:firstLine="960"/>
      </w:pPr>
      <w:r>
        <w:rPr/>
        <w:t>详见附件：供应商资格条件证明文件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