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版本号：241227001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航空应急救援飞行地面保障项目</w:t>
      </w:r>
    </w:p>
    <w:p>
      <w:pPr>
        <w:pStyle w:val="null3"/>
        <w:jc w:val="center"/>
        <w:outlineLvl w:val="2"/>
      </w:pPr>
      <w:r>
        <w:rPr>
          <w:sz w:val="28"/>
          <w:b/>
        </w:rPr>
        <w:t>采购项目编号：</w:t>
      </w:r>
      <w:r>
        <w:rPr>
          <w:sz w:val="28"/>
          <w:b/>
        </w:rPr>
        <w:t>ZDGC-ZC-2411137</w:t>
      </w:r>
      <w:r>
        <w:br/>
      </w:r>
      <w:r>
        <w:br/>
      </w:r>
      <w:r>
        <w:br/>
      </w:r>
    </w:p>
    <w:p>
      <w:pPr>
        <w:pStyle w:val="null3"/>
        <w:jc w:val="center"/>
        <w:outlineLvl w:val="2"/>
      </w:pPr>
      <w:r>
        <w:rPr>
          <w:sz w:val="28"/>
          <w:b/>
        </w:rPr>
        <w:t>陕西省应急救援与航空护林中心</w:t>
      </w:r>
    </w:p>
    <w:p>
      <w:pPr>
        <w:pStyle w:val="null3"/>
        <w:jc w:val="center"/>
        <w:outlineLvl w:val="2"/>
      </w:pPr>
      <w:r>
        <w:rPr>
          <w:sz w:val="28"/>
          <w:b/>
        </w:rPr>
        <w:t>陕西中达国创项目管理有限公司</w:t>
      </w:r>
      <w:r>
        <w:rPr>
          <w:sz w:val="28"/>
          <w:b/>
        </w:rPr>
        <w:t>共同编制</w:t>
      </w:r>
    </w:p>
    <w:p>
      <w:pPr>
        <w:pStyle w:val="null3"/>
        <w:jc w:val="center"/>
        <w:outlineLvl w:val="2"/>
      </w:pPr>
      <w:r>
        <w:rPr>
          <w:sz w:val="28"/>
          <w:b/>
        </w:rPr>
        <w:t>2024年12月27日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陕西中达国创项目管理有限公司</w:t>
      </w:r>
      <w:r>
        <w:rPr/>
        <w:t>（以下简称“代理机构”）受</w:t>
      </w:r>
      <w:r>
        <w:rPr/>
        <w:t>陕西省应急救援与航空护林中心</w:t>
      </w:r>
      <w:r>
        <w:rPr/>
        <w:t>委托，拟对</w:t>
      </w:r>
      <w:r>
        <w:rPr/>
        <w:t>航空应急救援飞行地面保障项目</w:t>
      </w:r>
      <w:r>
        <w:rPr/>
        <w:t>采用竞争性磋商采购方式进行采购，兹邀请供应商参加本项目的竞争性磋商。</w:t>
      </w:r>
    </w:p>
    <w:p>
      <w:pPr>
        <w:pStyle w:val="null3"/>
        <w:outlineLvl w:val="2"/>
      </w:pPr>
      <w:r>
        <w:rPr>
          <w:sz w:val="28"/>
          <w:b/>
        </w:rPr>
        <w:t>一、项目编号：</w:t>
      </w:r>
      <w:r>
        <w:rPr>
          <w:sz w:val="28"/>
          <w:b/>
        </w:rPr>
        <w:t>ZDGC-ZC-2411137</w:t>
      </w:r>
    </w:p>
    <w:p>
      <w:pPr>
        <w:pStyle w:val="null3"/>
        <w:outlineLvl w:val="2"/>
      </w:pPr>
      <w:r>
        <w:rPr>
          <w:sz w:val="28"/>
          <w:b/>
        </w:rPr>
        <w:t>二、项目名称：</w:t>
      </w:r>
      <w:r>
        <w:rPr>
          <w:sz w:val="28"/>
          <w:b/>
        </w:rPr>
        <w:t>航空应急救援飞行地面保障项目</w:t>
      </w:r>
    </w:p>
    <w:p>
      <w:pPr>
        <w:pStyle w:val="null3"/>
        <w:outlineLvl w:val="2"/>
      </w:pPr>
      <w:r>
        <w:rPr>
          <w:sz w:val="28"/>
          <w:b/>
        </w:rPr>
        <w:t>三、磋商项目简介</w:t>
      </w:r>
    </w:p>
    <w:p>
      <w:pPr>
        <w:pStyle w:val="null3"/>
        <w:ind w:firstLine="480"/>
      </w:pPr>
      <w:r>
        <w:rPr/>
        <w:t>航空应急救援飞行地面保障项目，采购内容主要包括：地面保障服务总面积约110亩，服务内容主要包含空地勤人员食宿保障服务、车辆保障、清洁服务、应急物资储备、维修保养、机坪管理、劳务费（人员工资）、安保服务等。</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采购包1（航空应急救援飞行地面保障项目）：属于专门面向中小企业采购。</w:t>
      </w:r>
    </w:p>
    <w:p>
      <w:pPr>
        <w:pStyle w:val="null3"/>
        <w:ind w:firstLine="480"/>
      </w:pPr>
      <w:r>
        <w:rPr/>
        <w:t>（三）本项目的特定资格要求：</w:t>
      </w:r>
    </w:p>
    <w:p>
      <w:pPr>
        <w:pStyle w:val="null3"/>
      </w:pPr>
      <w:r>
        <w:rPr/>
        <w:t>采购包1：</w:t>
      </w:r>
    </w:p>
    <w:p>
      <w:pPr>
        <w:pStyle w:val="null3"/>
      </w:pPr>
      <w:r>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t>2、财务状况报告：提供2023年度经审计的财务报告（成立时间至提交投标文件截止时间不足一年的可提供成立后任意时段的资产负债表），或其开标前六个月内银行出具的资信证明；</w:t>
      </w:r>
    </w:p>
    <w:p>
      <w:pPr>
        <w:pStyle w:val="null3"/>
      </w:pPr>
      <w:r>
        <w:rPr/>
        <w:t>3、有依法缴纳社会保障资金的良好记录：提供投标截止日前一年内已缴存的至少一个月的社会保障资金缴存单据或社保机构开具的社会保险参保缴费情况证明。依法不需要缴纳社会保障资金的单位应提供相关证明材料；</w:t>
      </w:r>
    </w:p>
    <w:p>
      <w:pPr>
        <w:pStyle w:val="null3"/>
      </w:pPr>
      <w:r>
        <w:rPr/>
        <w:t>4、有依法缴纳税收的良好记录：提供投标截止日前一年内已缴纳的至少一个月的纳税证明或完税证明（时间以税款所属日期为准），依法免税的单位应提供相关证明材料；</w:t>
      </w:r>
    </w:p>
    <w:p>
      <w:pPr>
        <w:pStyle w:val="null3"/>
      </w:pPr>
      <w:r>
        <w:rPr/>
        <w:t>5、无重大违法记录声明：参加本次政府采购活动前3年内在经营活动中没有重大违法记录（提供声明）；</w:t>
      </w:r>
    </w:p>
    <w:p>
      <w:pPr>
        <w:pStyle w:val="null3"/>
      </w:pPr>
      <w:r>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t>7、具有履行合同能力声明：具有履行合同所必需的设备和专业技术能力（提供声明）；</w:t>
      </w:r>
    </w:p>
    <w:p>
      <w:pPr>
        <w:pStyle w:val="null3"/>
      </w:pPr>
      <w:r>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t>9、投标人关联关系声明：单位负责人为同一人或者存在直接控股、管理关系的不同投标人，不得参加同一合同项下的政府采购活动；（提供承诺书）</w:t>
      </w:r>
    </w:p>
    <w:p>
      <w:pPr>
        <w:pStyle w:val="null3"/>
      </w:pPr>
      <w:r>
        <w:rPr/>
        <w:t>10、非联合体投标：本项目不接受联合体投标。（提供声明）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陕西省应急救援与航空护林中心</w:t>
      </w:r>
    </w:p>
    <w:p>
      <w:pPr>
        <w:pStyle w:val="null3"/>
      </w:pPr>
      <w:r>
        <w:rPr/>
        <w:t xml:space="preserve"> 地址： </w:t>
      </w:r>
      <w:r>
        <w:rPr/>
        <w:t>长安区神舟六路858号</w:t>
      </w:r>
    </w:p>
    <w:p>
      <w:pPr>
        <w:pStyle w:val="null3"/>
      </w:pPr>
      <w:r>
        <w:rPr/>
        <w:t xml:space="preserve"> 邮编： </w:t>
      </w:r>
      <w:r>
        <w:rPr/>
        <w:t>710000</w:t>
      </w:r>
    </w:p>
    <w:p>
      <w:pPr>
        <w:pStyle w:val="null3"/>
      </w:pPr>
      <w:r>
        <w:rPr/>
        <w:t xml:space="preserve"> 联系人： </w:t>
      </w:r>
      <w:r>
        <w:rPr/>
        <w:t>李主任</w:t>
      </w:r>
    </w:p>
    <w:p>
      <w:pPr>
        <w:pStyle w:val="null3"/>
      </w:pPr>
      <w:r>
        <w:rPr/>
        <w:t xml:space="preserve"> 联系电话： </w:t>
      </w:r>
      <w:r>
        <w:rPr/>
        <w:t>029-85898803</w:t>
      </w:r>
    </w:p>
    <w:p>
      <w:pPr>
        <w:pStyle w:val="null3"/>
        <w:outlineLvl w:val="3"/>
      </w:pPr>
      <w:r>
        <w:rPr>
          <w:sz w:val="24"/>
          <w:b/>
        </w:rPr>
        <w:t>代理机构：</w:t>
      </w:r>
      <w:r>
        <w:rPr>
          <w:sz w:val="24"/>
          <w:b/>
        </w:rPr>
        <w:t>陕西中达国创项目管理有限公司</w:t>
      </w:r>
    </w:p>
    <w:p>
      <w:pPr>
        <w:pStyle w:val="null3"/>
      </w:pPr>
      <w:r>
        <w:rPr/>
        <w:t xml:space="preserve"> 地址： </w:t>
      </w:r>
      <w:r>
        <w:rPr/>
        <w:t>陕西省西安市雁塔区朱雀大街南段15号明德盛荟2号楼 616 室</w:t>
      </w:r>
    </w:p>
    <w:p>
      <w:pPr>
        <w:pStyle w:val="null3"/>
      </w:pPr>
      <w:r>
        <w:rPr/>
        <w:t xml:space="preserve"> 邮编： </w:t>
      </w:r>
      <w:r>
        <w:rPr/>
        <w:t>710000</w:t>
      </w:r>
    </w:p>
    <w:p>
      <w:pPr>
        <w:pStyle w:val="null3"/>
      </w:pPr>
      <w:r>
        <w:rPr/>
        <w:t xml:space="preserve"> 联系人： </w:t>
      </w:r>
      <w:r>
        <w:rPr/>
        <w:t>张尧、孟明、王凯</w:t>
      </w:r>
    </w:p>
    <w:p>
      <w:pPr>
        <w:pStyle w:val="null3"/>
      </w:pPr>
      <w:r>
        <w:rPr/>
        <w:t xml:space="preserve"> 联系电话： </w:t>
      </w:r>
      <w:r>
        <w:rPr/>
        <w:t>029-88661828、15619205839</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采购包1：2,360,000.00元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代理服务费收费标准：代理服务费收费标准：1、招标代理服务费的收取参见国家计委颁布的《招标代理服务收费管 理暂行办法》（计价格[2002]1980 号）和（发改办价格[2003]857 号） 收费标准收取。 2、中标单位在领取中标通知书前应向代理机构一次性全额缴纳招标代理服务费。 3、缴纳账户信息： 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陕西省应急救援与航空护林中心</w:t>
      </w:r>
      <w:r>
        <w:rPr/>
        <w:t>和</w:t>
      </w:r>
      <w:r>
        <w:rPr/>
        <w:t>陕西中达国创项目管理有限公司</w:t>
      </w:r>
      <w:r>
        <w:rPr/>
        <w:t>享有。对磋商文件中供应商参加本次政府采购活动应当具备的条件，磋商项目技术、服务、商务及其他要求，评审细则及标准由</w:t>
      </w:r>
      <w:r>
        <w:rPr/>
        <w:t>陕西省应急救援与航空护林中心</w:t>
      </w:r>
      <w:r>
        <w:rPr/>
        <w:t>负责解释。除上述磋商文件内容，其他内容由</w:t>
      </w:r>
      <w:r>
        <w:rPr/>
        <w:t>陕西中达国创项目管理有限公司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陕西省应急救援与航空护林中心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陕西中达国创项目管理有限公司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详见合同约定</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陕西中达国创项目管理有限公司</w:t>
      </w:r>
      <w:r>
        <w:rPr/>
        <w:t xml:space="preserve"> 负责答复；供应商对除采购需求外的采购文件的询问、质疑由</w:t>
      </w:r>
      <w:r>
        <w:rPr/>
        <w:t>陕西中达国创项目管理有限公司</w:t>
      </w:r>
      <w:r>
        <w:rPr/>
        <w:t xml:space="preserve"> 负责答复；供应商对采购过程、采购结果的询问、质疑由 </w:t>
      </w:r>
      <w:r>
        <w:rPr/>
        <w:t>陕西中达国创项目管理有限公司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联系人：张尧、孟明、王凯</w:t>
      </w:r>
    </w:p>
    <w:p>
      <w:pPr>
        <w:pStyle w:val="null3"/>
      </w:pPr>
      <w:r>
        <w:rPr/>
        <w:t>联系电话：029-88661828、15619205839</w:t>
      </w:r>
    </w:p>
    <w:p>
      <w:pPr>
        <w:pStyle w:val="null3"/>
      </w:pPr>
      <w:r>
        <w:rPr/>
        <w:t>地址：陕西省西安市雁塔区朱雀大街南段15号明德盛荟2号楼 616 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航空应急救援飞行地面保障项目，采购内容主要包括：地面保障服务总面积约110亩，服务内容主要包含空地勤人员食宿保障服务、车辆保障、清洁服务、应急物资储备、维修保养、机坪管理、劳务费（人员工资）、安保服务等。</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2,360,000.00</w:t>
      </w:r>
    </w:p>
    <w:p>
      <w:pPr>
        <w:pStyle w:val="null3"/>
      </w:pPr>
      <w:r>
        <w:rPr/>
        <w:t>采购包最高限价（元）: 2,360,000.00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航空应急救援飞行地面保障项目</w:t>
            </w:r>
          </w:p>
        </w:tc>
        <w:tc>
          <w:tcPr>
            <w:tcW w:type="dxa" w:w="831"/>
          </w:tcPr>
          <w:p>
            <w:pPr>
              <w:pStyle w:val="null3"/>
              <w:jc w:val="right"/>
            </w:pPr>
            <w:r>
              <w:rPr/>
              <w:t>1.00</w:t>
            </w:r>
          </w:p>
        </w:tc>
        <w:tc>
          <w:tcPr>
            <w:tcW w:type="dxa" w:w="831"/>
          </w:tcPr>
          <w:p>
            <w:pPr>
              <w:pStyle w:val="null3"/>
              <w:jc w:val="right"/>
            </w:pPr>
            <w:r>
              <w:rPr/>
              <w:t>2,360,000.00</w:t>
            </w:r>
          </w:p>
        </w:tc>
        <w:tc>
          <w:tcPr>
            <w:tcW w:type="dxa" w:w="831"/>
          </w:tcPr>
          <w:p>
            <w:pPr>
              <w:pStyle w:val="null3"/>
            </w:pPr>
            <w:r>
              <w:rPr/>
              <w:t>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标的名称：航空应急救援飞行地面保障项目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rPr>
              <w:t>一、项目概况</w:t>
            </w:r>
          </w:p>
          <w:p>
            <w:pPr>
              <w:pStyle w:val="null3"/>
              <w:jc w:val="both"/>
            </w:pPr>
            <w:r>
              <w:rPr>
                <w:rFonts w:ascii="宋体" w:hAnsi="宋体" w:cs="宋体" w:eastAsia="宋体"/>
                <w:sz w:val="21"/>
              </w:rPr>
              <w:t>陕西省应急救援保障中心（陕西省航空应急救援护林中心）关于</w:t>
            </w:r>
            <w:r>
              <w:rPr>
                <w:rFonts w:ascii="宋体" w:hAnsi="宋体" w:cs="宋体" w:eastAsia="宋体"/>
                <w:sz w:val="21"/>
              </w:rPr>
              <w:t>航空应急救援飞行地面保障项目</w:t>
            </w:r>
            <w:r>
              <w:rPr>
                <w:rFonts w:ascii="宋体" w:hAnsi="宋体" w:cs="宋体" w:eastAsia="宋体"/>
                <w:sz w:val="21"/>
              </w:rPr>
              <w:t>项目</w:t>
            </w:r>
            <w:r>
              <w:rPr>
                <w:rFonts w:ascii="宋体" w:hAnsi="宋体" w:cs="宋体" w:eastAsia="宋体"/>
                <w:sz w:val="21"/>
              </w:rPr>
              <w:t>，地面保障服务总面积约</w:t>
            </w:r>
            <w:r>
              <w:rPr>
                <w:rFonts w:ascii="calibri" w:hAnsi="calibri" w:cs="calibri" w:eastAsia="calibri"/>
                <w:sz w:val="21"/>
              </w:rPr>
              <w:t>110</w:t>
            </w:r>
            <w:r>
              <w:rPr>
                <w:rFonts w:ascii="宋体" w:hAnsi="宋体" w:cs="宋体" w:eastAsia="宋体"/>
                <w:sz w:val="21"/>
              </w:rPr>
              <w:t>亩，服务内容主要包含空地勤人员食宿保障服务、车辆保障、清洁服务、应急物资储备、维修保养、机坪管理、劳务费（人员工资）、安保服务等。</w:t>
            </w:r>
          </w:p>
          <w:p>
            <w:pPr>
              <w:pStyle w:val="null3"/>
              <w:jc w:val="both"/>
            </w:pPr>
            <w:r>
              <w:rPr>
                <w:rFonts w:ascii="宋体" w:hAnsi="宋体" w:cs="宋体" w:eastAsia="宋体"/>
                <w:sz w:val="21"/>
                <w:b/>
              </w:rPr>
              <w:t>二、服务内容</w:t>
            </w:r>
          </w:p>
          <w:p>
            <w:pPr>
              <w:pStyle w:val="null3"/>
              <w:jc w:val="both"/>
            </w:pPr>
            <w:r>
              <w:rPr>
                <w:rFonts w:ascii="calibri" w:hAnsi="calibri" w:cs="calibri" w:eastAsia="calibri"/>
                <w:sz w:val="21"/>
              </w:rPr>
              <w:t>1.</w:t>
            </w:r>
            <w:r>
              <w:rPr>
                <w:rFonts w:ascii="宋体" w:hAnsi="宋体" w:cs="宋体" w:eastAsia="宋体"/>
                <w:sz w:val="21"/>
              </w:rPr>
              <w:t>空地勤人员食宿保障服务：</w:t>
            </w:r>
          </w:p>
          <w:p>
            <w:pPr>
              <w:pStyle w:val="null3"/>
              <w:jc w:val="both"/>
            </w:pPr>
            <w:r>
              <w:rPr>
                <w:rFonts w:ascii="宋体" w:hAnsi="宋体" w:cs="宋体" w:eastAsia="宋体"/>
                <w:sz w:val="21"/>
              </w:rPr>
              <w:t>协助招标人为驻场各类航空器机组人员提供食宿保障服务。</w:t>
            </w:r>
          </w:p>
          <w:p>
            <w:pPr>
              <w:pStyle w:val="null3"/>
              <w:jc w:val="both"/>
            </w:pPr>
            <w:r>
              <w:rPr>
                <w:rFonts w:ascii="calibri" w:hAnsi="calibri" w:cs="calibri" w:eastAsia="calibri"/>
                <w:sz w:val="21"/>
              </w:rPr>
              <w:t>1.1</w:t>
            </w:r>
            <w:r>
              <w:rPr>
                <w:rFonts w:ascii="宋体" w:hAnsi="宋体" w:cs="宋体" w:eastAsia="宋体"/>
                <w:sz w:val="21"/>
              </w:rPr>
              <w:t>提供餐食服务要求：按照每日三餐（常规就餐时间为早：</w:t>
            </w:r>
            <w:r>
              <w:rPr>
                <w:rFonts w:ascii="calibri" w:hAnsi="calibri" w:cs="calibri" w:eastAsia="calibri"/>
                <w:sz w:val="21"/>
              </w:rPr>
              <w:t>7</w:t>
            </w:r>
            <w:r>
              <w:rPr>
                <w:rFonts w:ascii="宋体" w:hAnsi="宋体" w:cs="宋体" w:eastAsia="宋体"/>
                <w:sz w:val="21"/>
              </w:rPr>
              <w:t>：</w:t>
            </w:r>
            <w:r>
              <w:rPr>
                <w:rFonts w:ascii="calibri" w:hAnsi="calibri" w:cs="calibri" w:eastAsia="calibri"/>
                <w:sz w:val="21"/>
              </w:rPr>
              <w:t>00</w:t>
            </w:r>
            <w:r>
              <w:rPr>
                <w:rFonts w:ascii="宋体" w:hAnsi="宋体" w:cs="宋体" w:eastAsia="宋体"/>
                <w:sz w:val="21"/>
              </w:rPr>
              <w:t>至</w:t>
            </w:r>
            <w:r>
              <w:rPr>
                <w:rFonts w:ascii="calibri" w:hAnsi="calibri" w:cs="calibri" w:eastAsia="calibri"/>
                <w:sz w:val="21"/>
              </w:rPr>
              <w:t>9</w:t>
            </w:r>
            <w:r>
              <w:rPr>
                <w:rFonts w:ascii="宋体" w:hAnsi="宋体" w:cs="宋体" w:eastAsia="宋体"/>
                <w:sz w:val="21"/>
              </w:rPr>
              <w:t>：</w:t>
            </w:r>
            <w:r>
              <w:rPr>
                <w:rFonts w:ascii="calibri" w:hAnsi="calibri" w:cs="calibri" w:eastAsia="calibri"/>
                <w:sz w:val="21"/>
              </w:rPr>
              <w:t>00</w:t>
            </w:r>
            <w:r>
              <w:rPr>
                <w:rFonts w:ascii="宋体" w:hAnsi="宋体" w:cs="宋体" w:eastAsia="宋体"/>
                <w:sz w:val="21"/>
              </w:rPr>
              <w:t>、中：</w:t>
            </w:r>
            <w:r>
              <w:rPr>
                <w:rFonts w:ascii="calibri" w:hAnsi="calibri" w:cs="calibri" w:eastAsia="calibri"/>
                <w:sz w:val="21"/>
              </w:rPr>
              <w:t>12</w:t>
            </w:r>
            <w:r>
              <w:rPr>
                <w:rFonts w:ascii="宋体" w:hAnsi="宋体" w:cs="宋体" w:eastAsia="宋体"/>
                <w:sz w:val="21"/>
              </w:rPr>
              <w:t>：</w:t>
            </w:r>
            <w:r>
              <w:rPr>
                <w:rFonts w:ascii="calibri" w:hAnsi="calibri" w:cs="calibri" w:eastAsia="calibri"/>
                <w:sz w:val="21"/>
              </w:rPr>
              <w:t>00</w:t>
            </w:r>
            <w:r>
              <w:rPr>
                <w:rFonts w:ascii="宋体" w:hAnsi="宋体" w:cs="宋体" w:eastAsia="宋体"/>
                <w:sz w:val="21"/>
              </w:rPr>
              <w:t>至</w:t>
            </w:r>
            <w:r>
              <w:rPr>
                <w:rFonts w:ascii="calibri" w:hAnsi="calibri" w:cs="calibri" w:eastAsia="calibri"/>
                <w:sz w:val="21"/>
              </w:rPr>
              <w:t>14</w:t>
            </w:r>
            <w:r>
              <w:rPr>
                <w:rFonts w:ascii="宋体" w:hAnsi="宋体" w:cs="宋体" w:eastAsia="宋体"/>
                <w:sz w:val="21"/>
              </w:rPr>
              <w:t>：</w:t>
            </w:r>
            <w:r>
              <w:rPr>
                <w:rFonts w:ascii="calibri" w:hAnsi="calibri" w:cs="calibri" w:eastAsia="calibri"/>
                <w:sz w:val="21"/>
              </w:rPr>
              <w:t>00</w:t>
            </w:r>
            <w:r>
              <w:rPr>
                <w:rFonts w:ascii="宋体" w:hAnsi="宋体" w:cs="宋体" w:eastAsia="宋体"/>
                <w:sz w:val="21"/>
              </w:rPr>
              <w:t>、晚：</w:t>
            </w:r>
            <w:r>
              <w:rPr>
                <w:rFonts w:ascii="calibri" w:hAnsi="calibri" w:cs="calibri" w:eastAsia="calibri"/>
                <w:sz w:val="21"/>
              </w:rPr>
              <w:t>18</w:t>
            </w:r>
            <w:r>
              <w:rPr>
                <w:rFonts w:ascii="宋体" w:hAnsi="宋体" w:cs="宋体" w:eastAsia="宋体"/>
                <w:sz w:val="21"/>
              </w:rPr>
              <w:t>：</w:t>
            </w:r>
            <w:r>
              <w:rPr>
                <w:rFonts w:ascii="calibri" w:hAnsi="calibri" w:cs="calibri" w:eastAsia="calibri"/>
                <w:sz w:val="21"/>
              </w:rPr>
              <w:t>00</w:t>
            </w:r>
            <w:r>
              <w:rPr>
                <w:rFonts w:ascii="宋体" w:hAnsi="宋体" w:cs="宋体" w:eastAsia="宋体"/>
                <w:sz w:val="21"/>
              </w:rPr>
              <w:t>至</w:t>
            </w:r>
            <w:r>
              <w:rPr>
                <w:rFonts w:ascii="calibri" w:hAnsi="calibri" w:cs="calibri" w:eastAsia="calibri"/>
                <w:sz w:val="21"/>
              </w:rPr>
              <w:t>20:00</w:t>
            </w:r>
            <w:r>
              <w:rPr>
                <w:rFonts w:ascii="宋体" w:hAnsi="宋体" w:cs="宋体" w:eastAsia="宋体"/>
                <w:sz w:val="21"/>
              </w:rPr>
              <w:t>）提供日常餐饮服务，就餐人数约</w:t>
            </w:r>
            <w:r>
              <w:rPr>
                <w:rFonts w:ascii="calibri" w:hAnsi="calibri" w:cs="calibri" w:eastAsia="calibri"/>
                <w:sz w:val="21"/>
              </w:rPr>
              <w:t>60</w:t>
            </w:r>
            <w:r>
              <w:rPr>
                <w:rFonts w:ascii="宋体" w:hAnsi="宋体" w:cs="宋体" w:eastAsia="宋体"/>
                <w:sz w:val="21"/>
              </w:rPr>
              <w:t>人，特殊情况下要以应急救援任务需要随时提供保障；并对餐厅设施设备进行管理和日常维护。（注：供应商在服务期内实行有偿服务，对就餐人员进行有偿收费，收费标准不超过</w:t>
            </w:r>
            <w:r>
              <w:rPr>
                <w:rFonts w:ascii="calibri" w:hAnsi="calibri" w:cs="calibri" w:eastAsia="calibri"/>
                <w:sz w:val="21"/>
              </w:rPr>
              <w:t>70</w:t>
            </w:r>
            <w:r>
              <w:rPr>
                <w:rFonts w:ascii="宋体" w:hAnsi="宋体" w:cs="宋体" w:eastAsia="宋体"/>
                <w:sz w:val="21"/>
              </w:rPr>
              <w:t>元</w:t>
            </w:r>
            <w:r>
              <w:rPr>
                <w:rFonts w:ascii="calibri" w:hAnsi="calibri" w:cs="calibri" w:eastAsia="calibri"/>
                <w:sz w:val="21"/>
              </w:rPr>
              <w:t>/</w:t>
            </w:r>
            <w:r>
              <w:rPr>
                <w:rFonts w:ascii="宋体" w:hAnsi="宋体" w:cs="宋体" w:eastAsia="宋体"/>
                <w:sz w:val="21"/>
              </w:rPr>
              <w:t>人</w:t>
            </w:r>
            <w:r>
              <w:rPr>
                <w:rFonts w:ascii="calibri" w:hAnsi="calibri" w:cs="calibri" w:eastAsia="calibri"/>
                <w:sz w:val="21"/>
              </w:rPr>
              <w:t>/</w:t>
            </w:r>
            <w:r>
              <w:rPr>
                <w:rFonts w:ascii="宋体" w:hAnsi="宋体" w:cs="宋体" w:eastAsia="宋体"/>
                <w:sz w:val="21"/>
              </w:rPr>
              <w:t>天。）</w:t>
            </w:r>
          </w:p>
          <w:p>
            <w:pPr>
              <w:pStyle w:val="null3"/>
              <w:jc w:val="both"/>
            </w:pPr>
            <w:r>
              <w:rPr>
                <w:rFonts w:ascii="calibri" w:hAnsi="calibri" w:cs="calibri" w:eastAsia="calibri"/>
                <w:sz w:val="21"/>
              </w:rPr>
              <w:t>1.2</w:t>
            </w:r>
            <w:r>
              <w:rPr>
                <w:rFonts w:ascii="宋体" w:hAnsi="宋体" w:cs="宋体" w:eastAsia="宋体"/>
                <w:sz w:val="21"/>
              </w:rPr>
              <w:t>提供住宿服务要求：为房间提供日常清洁、布草更换服务以及对空调、暖气、相关设施进行维修等；（注：供应商对住宿人员可适当收取住宿保障服务费，服务费标准不超过</w:t>
            </w:r>
            <w:r>
              <w:rPr>
                <w:rFonts w:ascii="calibri" w:hAnsi="calibri" w:cs="calibri" w:eastAsia="calibri"/>
                <w:sz w:val="21"/>
              </w:rPr>
              <w:t>160</w:t>
            </w:r>
            <w:r>
              <w:rPr>
                <w:rFonts w:ascii="宋体" w:hAnsi="宋体" w:cs="宋体" w:eastAsia="宋体"/>
                <w:sz w:val="21"/>
              </w:rPr>
              <w:t>元</w:t>
            </w:r>
            <w:r>
              <w:rPr>
                <w:rFonts w:ascii="calibri" w:hAnsi="calibri" w:cs="calibri" w:eastAsia="calibri"/>
                <w:sz w:val="21"/>
              </w:rPr>
              <w:t>/</w:t>
            </w:r>
            <w:r>
              <w:rPr>
                <w:rFonts w:ascii="宋体" w:hAnsi="宋体" w:cs="宋体" w:eastAsia="宋体"/>
                <w:sz w:val="21"/>
              </w:rPr>
              <w:t>间</w:t>
            </w:r>
            <w:r>
              <w:rPr>
                <w:rFonts w:ascii="calibri" w:hAnsi="calibri" w:cs="calibri" w:eastAsia="calibri"/>
                <w:sz w:val="21"/>
              </w:rPr>
              <w:t>/</w:t>
            </w:r>
            <w:r>
              <w:rPr>
                <w:rFonts w:ascii="宋体" w:hAnsi="宋体" w:cs="宋体" w:eastAsia="宋体"/>
                <w:sz w:val="21"/>
              </w:rPr>
              <w:t>天。）</w:t>
            </w:r>
          </w:p>
          <w:p>
            <w:pPr>
              <w:pStyle w:val="null3"/>
              <w:jc w:val="both"/>
            </w:pPr>
            <w:r>
              <w:rPr>
                <w:rFonts w:ascii="calibri" w:hAnsi="calibri" w:cs="calibri" w:eastAsia="calibri"/>
                <w:sz w:val="21"/>
              </w:rPr>
              <w:t>2.</w:t>
            </w:r>
            <w:r>
              <w:rPr>
                <w:rFonts w:ascii="宋体" w:hAnsi="宋体" w:cs="宋体" w:eastAsia="宋体"/>
                <w:sz w:val="21"/>
              </w:rPr>
              <w:t>车辆租赁服务：</w:t>
            </w:r>
          </w:p>
          <w:p>
            <w:pPr>
              <w:pStyle w:val="null3"/>
              <w:jc w:val="both"/>
            </w:pPr>
            <w:r>
              <w:rPr>
                <w:rFonts w:ascii="calibri" w:hAnsi="calibri" w:cs="calibri" w:eastAsia="calibri"/>
                <w:sz w:val="21"/>
              </w:rPr>
              <w:t>2.1</w:t>
            </w:r>
            <w:r>
              <w:rPr>
                <w:rFonts w:ascii="宋体" w:hAnsi="宋体" w:cs="宋体" w:eastAsia="宋体"/>
                <w:sz w:val="21"/>
              </w:rPr>
              <w:t>车辆租赁服务内容：提供车辆租赁，承担燃油费、过路过桥费、维修费、保险费等费用。</w:t>
            </w:r>
          </w:p>
          <w:p>
            <w:pPr>
              <w:pStyle w:val="null3"/>
              <w:jc w:val="both"/>
            </w:pPr>
            <w:r>
              <w:rPr>
                <w:rFonts w:ascii="calibri" w:hAnsi="calibri" w:cs="calibri" w:eastAsia="calibri"/>
                <w:sz w:val="21"/>
              </w:rPr>
              <w:t>2.2</w:t>
            </w:r>
            <w:r>
              <w:rPr>
                <w:rFonts w:ascii="宋体" w:hAnsi="宋体" w:cs="宋体" w:eastAsia="宋体"/>
                <w:sz w:val="21"/>
              </w:rPr>
              <w:t>保障范围：用于宝鸡场站日常采购及后勤保障，按需提供应急任务执行期间的通勤保障。</w:t>
            </w:r>
          </w:p>
          <w:p>
            <w:pPr>
              <w:pStyle w:val="null3"/>
              <w:jc w:val="both"/>
            </w:pPr>
            <w:r>
              <w:rPr>
                <w:rFonts w:ascii="calibri" w:hAnsi="calibri" w:cs="calibri" w:eastAsia="calibri"/>
                <w:sz w:val="21"/>
              </w:rPr>
              <w:t>3.</w:t>
            </w:r>
            <w:r>
              <w:rPr>
                <w:rFonts w:ascii="宋体" w:hAnsi="宋体" w:cs="宋体" w:eastAsia="宋体"/>
                <w:sz w:val="21"/>
              </w:rPr>
              <w:t>清洁服务：</w:t>
            </w:r>
          </w:p>
          <w:p>
            <w:pPr>
              <w:pStyle w:val="null3"/>
              <w:jc w:val="both"/>
            </w:pPr>
            <w:r>
              <w:rPr>
                <w:rFonts w:ascii="宋体" w:hAnsi="宋体" w:cs="宋体" w:eastAsia="宋体"/>
                <w:sz w:val="21"/>
              </w:rPr>
              <w:t>服务内容：中心宝鸡场站办公楼、及餐厅区域卫生清洁工作，所有服务区域内卫生间洗手液、卫生纸、擦手纸及餐厅餐巾纸配备均由中标单位负责提供，卫生保洁所需的各类工具均由中标单位自备。</w:t>
            </w:r>
          </w:p>
          <w:p>
            <w:pPr>
              <w:pStyle w:val="null3"/>
              <w:jc w:val="both"/>
            </w:pPr>
            <w:r>
              <w:rPr>
                <w:rFonts w:ascii="calibri" w:hAnsi="calibri" w:cs="calibri" w:eastAsia="calibri"/>
                <w:sz w:val="21"/>
              </w:rPr>
              <w:t>4.</w:t>
            </w:r>
            <w:r>
              <w:rPr>
                <w:rFonts w:ascii="宋体" w:hAnsi="宋体" w:cs="宋体" w:eastAsia="宋体"/>
                <w:sz w:val="21"/>
              </w:rPr>
              <w:t>机坪管理服务：</w:t>
            </w:r>
          </w:p>
          <w:p>
            <w:pPr>
              <w:pStyle w:val="null3"/>
              <w:jc w:val="both"/>
            </w:pPr>
            <w:r>
              <w:rPr>
                <w:rFonts w:ascii="calibri" w:hAnsi="calibri" w:cs="calibri" w:eastAsia="calibri"/>
                <w:sz w:val="21"/>
              </w:rPr>
              <w:t xml:space="preserve">4.1 </w:t>
            </w:r>
            <w:r>
              <w:rPr>
                <w:rFonts w:ascii="宋体" w:hAnsi="宋体" w:cs="宋体" w:eastAsia="宋体"/>
                <w:sz w:val="21"/>
              </w:rPr>
              <w:t>制定机坪管理制度，做好停机坪及跑道区域进出管理、检查登记等工作，提供进入停机坪及跑道区域所需的反光背带或背心；</w:t>
            </w:r>
          </w:p>
          <w:p>
            <w:pPr>
              <w:pStyle w:val="null3"/>
              <w:jc w:val="both"/>
            </w:pPr>
            <w:r>
              <w:rPr>
                <w:rFonts w:ascii="calibri" w:hAnsi="calibri" w:cs="calibri" w:eastAsia="calibri"/>
                <w:sz w:val="21"/>
              </w:rPr>
              <w:t xml:space="preserve">4.2 </w:t>
            </w:r>
            <w:r>
              <w:rPr>
                <w:rFonts w:ascii="宋体" w:hAnsi="宋体" w:cs="宋体" w:eastAsia="宋体"/>
                <w:sz w:val="21"/>
              </w:rPr>
              <w:t>提供停机坪及跑道周边日常巡视检查、维护保养等服务，根据民航相关标准完善停机坪及跑道区域标识标线、灯光照明、围栏等设施，确保停机坪、跑道及相关设施设备随时处于适飞状态，且不影响飞行安全；</w:t>
            </w:r>
          </w:p>
          <w:p>
            <w:pPr>
              <w:pStyle w:val="null3"/>
              <w:jc w:val="both"/>
            </w:pPr>
            <w:r>
              <w:rPr>
                <w:rFonts w:ascii="calibri" w:hAnsi="calibri" w:cs="calibri" w:eastAsia="calibri"/>
                <w:sz w:val="21"/>
              </w:rPr>
              <w:t xml:space="preserve">4.3 </w:t>
            </w:r>
            <w:r>
              <w:rPr>
                <w:rFonts w:ascii="宋体" w:hAnsi="宋体" w:cs="宋体" w:eastAsia="宋体"/>
                <w:sz w:val="21"/>
              </w:rPr>
              <w:t>维护停机坪及跑道区域公共消防安全，根据机场消防保障等级及时更换、配备完善的消防硬件设施及消防设施的日常巡检、维护；</w:t>
            </w:r>
          </w:p>
          <w:p>
            <w:pPr>
              <w:pStyle w:val="null3"/>
              <w:jc w:val="both"/>
            </w:pPr>
            <w:r>
              <w:rPr>
                <w:rFonts w:ascii="calibri" w:hAnsi="calibri" w:cs="calibri" w:eastAsia="calibri"/>
                <w:sz w:val="21"/>
              </w:rPr>
              <w:t xml:space="preserve">4.4 </w:t>
            </w:r>
            <w:r>
              <w:rPr>
                <w:rFonts w:ascii="宋体" w:hAnsi="宋体" w:cs="宋体" w:eastAsia="宋体"/>
                <w:sz w:val="21"/>
              </w:rPr>
              <w:t>提供停机坪及跑道区域安全值守、维护、警戒等服务；</w:t>
            </w:r>
          </w:p>
          <w:p>
            <w:pPr>
              <w:pStyle w:val="null3"/>
              <w:jc w:val="both"/>
            </w:pPr>
            <w:r>
              <w:rPr>
                <w:rFonts w:ascii="calibri" w:hAnsi="calibri" w:cs="calibri" w:eastAsia="calibri"/>
                <w:sz w:val="21"/>
              </w:rPr>
              <w:t xml:space="preserve">4.5 </w:t>
            </w:r>
            <w:r>
              <w:rPr>
                <w:rFonts w:ascii="宋体" w:hAnsi="宋体" w:cs="宋体" w:eastAsia="宋体"/>
                <w:sz w:val="21"/>
              </w:rPr>
              <w:t>提供夜航飞行相关人员及地面保障服务。</w:t>
            </w:r>
          </w:p>
          <w:p>
            <w:pPr>
              <w:pStyle w:val="null3"/>
              <w:jc w:val="both"/>
            </w:pPr>
            <w:r>
              <w:rPr>
                <w:rFonts w:ascii="calibri" w:hAnsi="calibri" w:cs="calibri" w:eastAsia="calibri"/>
                <w:sz w:val="21"/>
              </w:rPr>
              <w:t>5.</w:t>
            </w:r>
            <w:r>
              <w:rPr>
                <w:rFonts w:ascii="宋体" w:hAnsi="宋体" w:cs="宋体" w:eastAsia="宋体"/>
                <w:sz w:val="21"/>
              </w:rPr>
              <w:t>应急物资储备服务：</w:t>
            </w:r>
          </w:p>
          <w:p>
            <w:pPr>
              <w:pStyle w:val="null3"/>
              <w:jc w:val="both"/>
            </w:pPr>
            <w:r>
              <w:rPr>
                <w:rFonts w:ascii="宋体" w:hAnsi="宋体" w:cs="宋体" w:eastAsia="宋体"/>
                <w:sz w:val="21"/>
              </w:rPr>
              <w:t>服务内容：应急储备食品、医疗物资等物资采买管理服务。注：应急食品储备不低于一次性</w:t>
            </w:r>
            <w:r>
              <w:rPr>
                <w:rFonts w:ascii="calibri" w:hAnsi="calibri" w:cs="calibri" w:eastAsia="calibri"/>
                <w:sz w:val="21"/>
              </w:rPr>
              <w:t>60</w:t>
            </w:r>
            <w:r>
              <w:rPr>
                <w:rFonts w:ascii="宋体" w:hAnsi="宋体" w:cs="宋体" w:eastAsia="宋体"/>
                <w:sz w:val="21"/>
              </w:rPr>
              <w:t>人三天的量。</w:t>
            </w:r>
          </w:p>
          <w:p>
            <w:pPr>
              <w:pStyle w:val="null3"/>
              <w:jc w:val="both"/>
            </w:pPr>
            <w:r>
              <w:rPr>
                <w:rFonts w:ascii="calibri" w:hAnsi="calibri" w:cs="calibri" w:eastAsia="calibri"/>
                <w:sz w:val="21"/>
              </w:rPr>
              <w:t>6.</w:t>
            </w:r>
            <w:r>
              <w:rPr>
                <w:rFonts w:ascii="宋体" w:hAnsi="宋体" w:cs="宋体" w:eastAsia="宋体"/>
                <w:sz w:val="21"/>
              </w:rPr>
              <w:t>维修保养服务：</w:t>
            </w:r>
          </w:p>
          <w:p>
            <w:pPr>
              <w:pStyle w:val="null3"/>
              <w:jc w:val="both"/>
            </w:pPr>
            <w:r>
              <w:rPr>
                <w:rFonts w:ascii="宋体" w:hAnsi="宋体" w:cs="宋体" w:eastAsia="宋体"/>
                <w:sz w:val="21"/>
              </w:rPr>
              <w:t>设施设备维护范围：包括中心宝鸡场站公共部分配套设施、设备末端维修养护，含单价</w:t>
            </w:r>
            <w:r>
              <w:rPr>
                <w:rFonts w:ascii="calibri" w:hAnsi="calibri" w:cs="calibri" w:eastAsia="calibri"/>
                <w:sz w:val="21"/>
              </w:rPr>
              <w:t>1000</w:t>
            </w:r>
            <w:r>
              <w:rPr>
                <w:rFonts w:ascii="宋体" w:hAnsi="宋体" w:cs="宋体" w:eastAsia="宋体"/>
                <w:sz w:val="21"/>
              </w:rPr>
              <w:t>元以下的维修耗材维护。</w:t>
            </w:r>
          </w:p>
          <w:p>
            <w:pPr>
              <w:pStyle w:val="null3"/>
              <w:jc w:val="both"/>
            </w:pPr>
            <w:r>
              <w:rPr>
                <w:rFonts w:ascii="calibri" w:hAnsi="calibri" w:cs="calibri" w:eastAsia="calibri"/>
                <w:sz w:val="21"/>
              </w:rPr>
              <w:t>7.</w:t>
            </w:r>
            <w:r>
              <w:rPr>
                <w:rFonts w:ascii="宋体" w:hAnsi="宋体" w:cs="宋体" w:eastAsia="宋体"/>
                <w:sz w:val="21"/>
              </w:rPr>
              <w:t>巡检服务：</w:t>
            </w:r>
          </w:p>
          <w:p>
            <w:pPr>
              <w:pStyle w:val="null3"/>
              <w:jc w:val="both"/>
            </w:pPr>
            <w:r>
              <w:rPr>
                <w:rFonts w:ascii="calibri" w:hAnsi="calibri" w:cs="calibri" w:eastAsia="calibri"/>
                <w:sz w:val="21"/>
              </w:rPr>
              <w:t xml:space="preserve">7.1 </w:t>
            </w:r>
            <w:r>
              <w:rPr>
                <w:rFonts w:ascii="宋体" w:hAnsi="宋体" w:cs="宋体" w:eastAsia="宋体"/>
                <w:sz w:val="21"/>
              </w:rPr>
              <w:t>提供不少于</w:t>
            </w:r>
            <w:r>
              <w:rPr>
                <w:rFonts w:ascii="calibri" w:hAnsi="calibri" w:cs="calibri" w:eastAsia="calibri"/>
                <w:sz w:val="21"/>
              </w:rPr>
              <w:t>10</w:t>
            </w:r>
            <w:r>
              <w:rPr>
                <w:rFonts w:ascii="宋体" w:hAnsi="宋体" w:cs="宋体" w:eastAsia="宋体"/>
                <w:sz w:val="21"/>
              </w:rPr>
              <w:t>人的巡检服务人员；</w:t>
            </w:r>
          </w:p>
          <w:p>
            <w:pPr>
              <w:pStyle w:val="null3"/>
              <w:jc w:val="both"/>
            </w:pPr>
            <w:r>
              <w:rPr>
                <w:rFonts w:ascii="calibri" w:hAnsi="calibri" w:cs="calibri" w:eastAsia="calibri"/>
                <w:sz w:val="21"/>
              </w:rPr>
              <w:t xml:space="preserve">7.2 </w:t>
            </w:r>
            <w:r>
              <w:rPr>
                <w:rFonts w:ascii="宋体" w:hAnsi="宋体" w:cs="宋体" w:eastAsia="宋体"/>
                <w:sz w:val="21"/>
              </w:rPr>
              <w:t>巡检服务内容：中心宝鸡场站</w:t>
            </w:r>
            <w:r>
              <w:rPr>
                <w:rFonts w:ascii="calibri" w:hAnsi="calibri" w:cs="calibri" w:eastAsia="calibri"/>
                <w:sz w:val="21"/>
              </w:rPr>
              <w:t>24</w:t>
            </w:r>
            <w:r>
              <w:rPr>
                <w:rFonts w:ascii="宋体" w:hAnsi="宋体" w:cs="宋体" w:eastAsia="宋体"/>
                <w:sz w:val="21"/>
              </w:rPr>
              <w:t>小时出入口进行值守、验证、检查登记；宝鸡场站</w:t>
            </w:r>
            <w:r>
              <w:rPr>
                <w:rFonts w:ascii="calibri" w:hAnsi="calibri" w:cs="calibri" w:eastAsia="calibri"/>
                <w:sz w:val="21"/>
              </w:rPr>
              <w:t>24</w:t>
            </w:r>
            <w:r>
              <w:rPr>
                <w:rFonts w:ascii="宋体" w:hAnsi="宋体" w:cs="宋体" w:eastAsia="宋体"/>
                <w:sz w:val="21"/>
              </w:rPr>
              <w:t>小时巡视检查、警戒；办公楼内末端消防设施巡检、维护；场站的安保系统值守、维护；安保人员协助招标人进行特情处置、演练等；</w:t>
            </w:r>
          </w:p>
          <w:p>
            <w:pPr>
              <w:pStyle w:val="null3"/>
              <w:jc w:val="both"/>
            </w:pPr>
            <w:r>
              <w:rPr>
                <w:rFonts w:ascii="calibri" w:hAnsi="calibri" w:cs="calibri" w:eastAsia="calibri"/>
                <w:sz w:val="21"/>
              </w:rPr>
              <w:t>8.</w:t>
            </w:r>
            <w:r>
              <w:rPr>
                <w:rFonts w:ascii="宋体" w:hAnsi="宋体" w:cs="宋体" w:eastAsia="宋体"/>
                <w:sz w:val="21"/>
              </w:rPr>
              <w:t>劳务服务：</w:t>
            </w:r>
          </w:p>
          <w:p>
            <w:pPr>
              <w:pStyle w:val="null3"/>
              <w:jc w:val="both"/>
            </w:pPr>
            <w:r>
              <w:rPr>
                <w:rFonts w:ascii="calibri" w:hAnsi="calibri" w:cs="calibri" w:eastAsia="calibri"/>
                <w:sz w:val="21"/>
              </w:rPr>
              <w:t xml:space="preserve">8.1 </w:t>
            </w:r>
            <w:r>
              <w:rPr>
                <w:rFonts w:ascii="宋体" w:hAnsi="宋体" w:cs="宋体" w:eastAsia="宋体"/>
                <w:sz w:val="21"/>
              </w:rPr>
              <w:t>包括专业技术、后勤保障、综合维修等服务人员的工资，总服务人数限定应不少于</w:t>
            </w:r>
            <w:r>
              <w:rPr>
                <w:rFonts w:ascii="calibri" w:hAnsi="calibri" w:cs="calibri" w:eastAsia="calibri"/>
                <w:sz w:val="21"/>
              </w:rPr>
              <w:t>30</w:t>
            </w:r>
            <w:r>
              <w:rPr>
                <w:rFonts w:ascii="宋体" w:hAnsi="宋体" w:cs="宋体" w:eastAsia="宋体"/>
                <w:sz w:val="21"/>
              </w:rPr>
              <w:t>人并有专职项目经理驻场保障服务；</w:t>
            </w:r>
          </w:p>
          <w:p>
            <w:pPr>
              <w:pStyle w:val="null3"/>
              <w:jc w:val="both"/>
            </w:pPr>
            <w:r>
              <w:rPr>
                <w:rFonts w:ascii="calibri" w:hAnsi="calibri" w:cs="calibri" w:eastAsia="calibri"/>
                <w:sz w:val="21"/>
              </w:rPr>
              <w:t xml:space="preserve">8.2 </w:t>
            </w:r>
            <w:r>
              <w:rPr>
                <w:rFonts w:ascii="宋体" w:hAnsi="宋体" w:cs="宋体" w:eastAsia="宋体"/>
                <w:sz w:val="21"/>
              </w:rPr>
              <w:t>航空管制专业人员不少于</w:t>
            </w:r>
            <w:r>
              <w:rPr>
                <w:rFonts w:ascii="calibri" w:hAnsi="calibri" w:cs="calibri" w:eastAsia="calibri"/>
                <w:sz w:val="21"/>
              </w:rPr>
              <w:t>2</w:t>
            </w:r>
            <w:r>
              <w:rPr>
                <w:rFonts w:ascii="宋体" w:hAnsi="宋体" w:cs="宋体" w:eastAsia="宋体"/>
                <w:sz w:val="21"/>
              </w:rPr>
              <w:t>名，应具有</w:t>
            </w:r>
            <w:r>
              <w:rPr>
                <w:rFonts w:ascii="calibri" w:hAnsi="calibri" w:cs="calibri" w:eastAsia="calibri"/>
                <w:sz w:val="21"/>
              </w:rPr>
              <w:t>20</w:t>
            </w:r>
            <w:r>
              <w:rPr>
                <w:rFonts w:ascii="宋体" w:hAnsi="宋体" w:cs="宋体" w:eastAsia="宋体"/>
                <w:sz w:val="21"/>
              </w:rPr>
              <w:t>年以上航空管制、飞行指挥工作经验；</w:t>
            </w:r>
          </w:p>
          <w:p>
            <w:pPr>
              <w:pStyle w:val="null3"/>
              <w:jc w:val="both"/>
            </w:pPr>
            <w:r>
              <w:rPr>
                <w:rFonts w:ascii="calibri" w:hAnsi="calibri" w:cs="calibri" w:eastAsia="calibri"/>
                <w:sz w:val="21"/>
              </w:rPr>
              <w:t xml:space="preserve">8.3 </w:t>
            </w:r>
            <w:r>
              <w:rPr>
                <w:rFonts w:ascii="宋体" w:hAnsi="宋体" w:cs="宋体" w:eastAsia="宋体"/>
                <w:sz w:val="21"/>
              </w:rPr>
              <w:t>气象保障服务专业人员不少于</w:t>
            </w:r>
            <w:r>
              <w:rPr>
                <w:rFonts w:ascii="calibri" w:hAnsi="calibri" w:cs="calibri" w:eastAsia="calibri"/>
                <w:sz w:val="21"/>
              </w:rPr>
              <w:t>1</w:t>
            </w:r>
            <w:r>
              <w:rPr>
                <w:rFonts w:ascii="宋体" w:hAnsi="宋体" w:cs="宋体" w:eastAsia="宋体"/>
                <w:sz w:val="21"/>
              </w:rPr>
              <w:t>名，应具有</w:t>
            </w:r>
            <w:r>
              <w:rPr>
                <w:rFonts w:ascii="calibri" w:hAnsi="calibri" w:cs="calibri" w:eastAsia="calibri"/>
                <w:sz w:val="21"/>
              </w:rPr>
              <w:t>20</w:t>
            </w:r>
            <w:r>
              <w:rPr>
                <w:rFonts w:ascii="宋体" w:hAnsi="宋体" w:cs="宋体" w:eastAsia="宋体"/>
                <w:sz w:val="21"/>
              </w:rPr>
              <w:t>年以上飞行气象相关工作经验。</w:t>
            </w:r>
          </w:p>
          <w:p>
            <w:pPr>
              <w:pStyle w:val="null3"/>
            </w:pPr>
            <w:r>
              <w:rPr>
                <w:rFonts w:ascii="宋体" w:hAnsi="宋体" w:cs="宋体" w:eastAsia="宋体"/>
                <w:sz w:val="21"/>
                <w:b/>
              </w:rPr>
              <w:t>三、本项目服务内容中涉及保安服务，供应商需提供以下任意一种资料：</w:t>
            </w:r>
          </w:p>
          <w:p>
            <w:pPr>
              <w:pStyle w:val="null3"/>
            </w:pPr>
            <w:r>
              <w:rPr>
                <w:rFonts w:ascii="calibri" w:hAnsi="calibri" w:cs="calibri" w:eastAsia="calibri"/>
                <w:sz w:val="21"/>
              </w:rPr>
              <w:t>1</w:t>
            </w:r>
            <w:r>
              <w:rPr>
                <w:rFonts w:ascii="宋体" w:hAnsi="宋体" w:cs="宋体" w:eastAsia="宋体"/>
                <w:sz w:val="21"/>
              </w:rPr>
              <w:t>、自行招用保安员的供应商，须出具承诺书（承诺书形式不限），承诺自承接本项目之日起</w:t>
            </w:r>
            <w:r>
              <w:rPr>
                <w:rFonts w:ascii="calibri" w:hAnsi="calibri" w:cs="calibri" w:eastAsia="calibri"/>
                <w:sz w:val="21"/>
              </w:rPr>
              <w:t>30</w:t>
            </w:r>
            <w:r>
              <w:rPr>
                <w:rFonts w:ascii="宋体" w:hAnsi="宋体" w:cs="宋体" w:eastAsia="宋体"/>
                <w:sz w:val="21"/>
              </w:rPr>
              <w:t>日内向采购人所在地设区的市级人民政府公安机关备案；</w:t>
            </w:r>
            <w:r>
              <w:rPr>
                <w:rFonts w:ascii="calibri" w:hAnsi="calibri" w:cs="calibri" w:eastAsia="calibri"/>
                <w:sz w:val="21"/>
              </w:rPr>
              <w:t>2</w:t>
            </w:r>
            <w:r>
              <w:rPr>
                <w:rFonts w:ascii="宋体" w:hAnsi="宋体" w:cs="宋体" w:eastAsia="宋体"/>
                <w:sz w:val="21"/>
              </w:rPr>
              <w:t>、从保安服务公司购买安保服务的供应商，需提供与保安服务公司签订的保安服务合同，明确规定服务的项目、内容以及双方的权利义务。</w:t>
            </w:r>
          </w:p>
          <w:p>
            <w:pPr>
              <w:pStyle w:val="null3"/>
              <w:jc w:val="both"/>
            </w:pPr>
            <w:r>
              <w:rPr>
                <w:rFonts w:ascii="宋体" w:hAnsi="宋体" w:cs="宋体" w:eastAsia="宋体"/>
                <w:sz w:val="21"/>
                <w:b/>
              </w:rPr>
              <w:t>四、食品经营许可证</w:t>
            </w:r>
          </w:p>
          <w:p>
            <w:pPr>
              <w:pStyle w:val="null3"/>
              <w:jc w:val="both"/>
            </w:pPr>
            <w:r>
              <w:rPr>
                <w:rFonts w:ascii="宋体" w:hAnsi="宋体" w:cs="宋体" w:eastAsia="宋体"/>
                <w:sz w:val="21"/>
              </w:rPr>
              <w:t>供应商承诺中标后三个月办理完成</w:t>
            </w:r>
            <w:r>
              <w:rPr>
                <w:rFonts w:ascii="宋体" w:hAnsi="宋体" w:cs="宋体" w:eastAsia="宋体"/>
                <w:sz w:val="21"/>
              </w:rPr>
              <w:t>。</w:t>
            </w: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服务质量：质量达到现行合格标准，符合国家、行业、地方相关规定及采购人要求。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自合同签订之日起365日（具体服务期限以实际情况和采购人要求为准）。</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供应商完成服务后，由采购人对项目整体进行验收。其内容包括确认服务指标、服务工作内容是否达到现行有关验收规范“合格”标准，是否满足采购人要求，进行逐项检查。 1、验收提交资料：乙方向甲方提供服务过程中的所有资料，以便采购人日后管理。 2、验收标准：国家标准、行业标准、地方标准及采购人要求。按招标文件、投标文件及澄清函、乙方向甲方提供服务过程中的所有资料等进行验收，各项指标均应符合验收标准及采购人要求。 3、验收合格后，填写验收单，双方签字生效。</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25</w:t>
      </w:r>
      <w:r>
        <w:rPr/>
        <w:t xml:space="preserve"> 日内，支付合同总金额的 </w:t>
      </w:r>
      <w:r>
        <w:rPr/>
        <w:t>50.00</w:t>
      </w:r>
      <w:r>
        <w:rPr/>
        <w:t>%。</w:t>
      </w:r>
    </w:p>
    <w:p>
      <w:pPr>
        <w:pStyle w:val="null3"/>
      </w:pPr>
      <w:r>
        <w:rPr/>
        <w:t>采购包1：</w:t>
      </w:r>
      <w:r>
        <w:rPr/>
        <w:t xml:space="preserve"> 付款条件说明： </w:t>
      </w:r>
      <w:r>
        <w:rPr/>
        <w:t>服务期满，完成全部服务后提交付款申请后</w:t>
      </w:r>
      <w:r>
        <w:rPr/>
        <w:t xml:space="preserve"> ，达到付款条件起 </w:t>
      </w:r>
      <w:r>
        <w:rPr/>
        <w:t>25</w:t>
      </w:r>
      <w:r>
        <w:rPr/>
        <w:t xml:space="preserve"> 日内，支付合同总金额的 </w:t>
      </w:r>
      <w:r>
        <w:rPr/>
        <w:t>50.00</w:t>
      </w:r>
      <w:r>
        <w:rPr/>
        <w:t>%。</w:t>
      </w:r>
    </w:p>
    <w:p>
      <w:pPr>
        <w:pStyle w:val="null3"/>
        <w:outlineLvl w:val="3"/>
      </w:pPr>
      <w:r>
        <w:rPr>
          <w:sz w:val="24"/>
          <w:b/>
        </w:rPr>
        <w:t>3.3.6违约责任及解决争议的方法</w:t>
      </w:r>
    </w:p>
    <w:p>
      <w:pPr>
        <w:pStyle w:val="null3"/>
      </w:pPr>
      <w:r>
        <w:rPr/>
        <w:t>采购包1：</w:t>
      </w:r>
    </w:p>
    <w:p>
      <w:pPr>
        <w:pStyle w:val="null3"/>
      </w:pPr>
      <w:r>
        <w:rPr/>
        <w:t>1.依据《中华人民共和国民法典》、《中华人民共和国政府采购法》的相关条款和本合同约定，中标人未全面履行合同义务或者发生违约，采购人有权终止合同，依法向中标人要求经济索赔，并报请招标监督管理机关进行相应的行政处罚。采购人违约的，应当赔偿给中标人造成的经济损失。详见详见合同条款约定。 2.中标单位未按合同要求履行，不符合招标技术要求，中标单位必须无条件更换人员或产品，提高技术，完善质量，否则，招标人有权终止合同，并对中标单位的违约行为进行追究并依法向中标单位进行经济索赔。</w:t>
      </w:r>
    </w:p>
    <w:p>
      <w:pPr>
        <w:pStyle w:val="null3"/>
        <w:outlineLvl w:val="2"/>
      </w:pPr>
      <w:r>
        <w:rPr>
          <w:sz w:val="28"/>
          <w:b/>
        </w:rPr>
        <w:t>3.4其他要求</w:t>
      </w:r>
    </w:p>
    <w:p>
      <w:pPr>
        <w:pStyle w:val="null3"/>
      </w:pPr>
      <w:r>
        <w:rPr/>
        <w:t>1、本项目所属行业为：租赁和商务服务业。根据《工业和信息化部、国家统计局、国家发展和改革委员会、财政部关于印发中小企业划型标准规定的通知》《工信部联企业(2011)300号)规定的划型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为顺利推进政府采购电子化交易平台应用工作，供应商需要在线提交所有通过电子化交易平台实施的政府采购项目的投标文件，同时，线下提交与电子化平台提交内容一致的纸质版投标文件，正本壹份、副本壹份，纸质响应文件标明供应商名称并密封递交。若线上电子投标文件与纸质投标文件不一致的，以线上电子投标文件为准；若正本和副本不符，以正本为准。 线下递交文件截止时间:同在线递交电子响应文件截止时间一致，线下递交文件地点：西安市碑林区和平路108号佳腾大厦9楼C室。（咨询电话15619205839）</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投标文件截止时间不足一年的可提供成立后任意时段的资产负债表），或其开标前六个月内银行出具的资信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提供2023年度经审计的财务报告（成立时间至提交投标文件截止时间不足一年的可提供成立后任意时段的资产负债表），或其开标前六个月内银行出具的资信证明；</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有依法缴纳社会保障资金的良好记录</w:t>
            </w:r>
          </w:p>
        </w:tc>
        <w:tc>
          <w:tcPr>
            <w:tcW w:type="dxa" w:w="3322"/>
          </w:tcPr>
          <w:p>
            <w:pPr>
              <w:pStyle w:val="null3"/>
            </w:pPr>
            <w:r>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有依法缴纳税收的良好记录</w:t>
            </w:r>
          </w:p>
        </w:tc>
        <w:tc>
          <w:tcPr>
            <w:tcW w:type="dxa" w:w="3322"/>
          </w:tcPr>
          <w:p>
            <w:pPr>
              <w:pStyle w:val="null3"/>
            </w:pPr>
            <w:r>
              <w:rPr/>
              <w:t>提供投标截止日前一年内已缴纳的至少一个月的纳税证明或完税证明（时间以税款所属日期为准），依法免税的单位应提供相关证明材料；</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无重大违法记录声明</w:t>
            </w:r>
          </w:p>
        </w:tc>
        <w:tc>
          <w:tcPr>
            <w:tcW w:type="dxa" w:w="3322"/>
          </w:tcPr>
          <w:p>
            <w:pPr>
              <w:pStyle w:val="null3"/>
            </w:pPr>
            <w:r>
              <w:rPr/>
              <w:t>参加本次政府采购活动前3年内在经营活动中没有重大违法记录（提供声明）；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具有良好的商业信誉</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具有履行合同能力声明</w:t>
            </w:r>
          </w:p>
        </w:tc>
        <w:tc>
          <w:tcPr>
            <w:tcW w:type="dxa" w:w="3322"/>
          </w:tcPr>
          <w:p>
            <w:pPr>
              <w:pStyle w:val="null3"/>
            </w:pPr>
            <w:r>
              <w:rPr/>
              <w:t>具有履行合同所必需的设备和专业技术能力（提供声明）；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法定代表人证明书或法定代表人授权书</w:t>
            </w:r>
          </w:p>
        </w:tc>
        <w:tc>
          <w:tcPr>
            <w:tcW w:type="dxa" w:w="3322"/>
          </w:tcPr>
          <w:p>
            <w:pPr>
              <w:pStyle w:val="null3"/>
            </w:pPr>
            <w:r>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投标人关联关系声明</w:t>
            </w:r>
          </w:p>
        </w:tc>
        <w:tc>
          <w:tcPr>
            <w:tcW w:type="dxa" w:w="3322"/>
          </w:tcPr>
          <w:p>
            <w:pPr>
              <w:pStyle w:val="null3"/>
            </w:pPr>
            <w:r>
              <w:rPr/>
              <w:t>单位负责人为同一人或者存在直接控股、管理关系的不同投标人，不得参加同一合同项下的政府采购活动；（提供承诺书）</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非联合体投标</w:t>
            </w:r>
          </w:p>
        </w:tc>
        <w:tc>
          <w:tcPr>
            <w:tcW w:type="dxa" w:w="3322"/>
          </w:tcPr>
          <w:p>
            <w:pPr>
              <w:pStyle w:val="null3"/>
            </w:pPr>
            <w:r>
              <w:rPr/>
              <w:t>本项目不接受联合体投标。（提供声明）</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投标文件的签署、盖章</w:t>
            </w:r>
          </w:p>
        </w:tc>
        <w:tc>
          <w:tcPr>
            <w:tcW w:type="dxa" w:w="3322"/>
          </w:tcPr>
          <w:p>
            <w:pPr>
              <w:pStyle w:val="null3"/>
            </w:pPr>
            <w:r>
              <w:rPr/>
              <w:t>供应商应按招标文件要求对招标文件进行电子签章。</w:t>
            </w:r>
          </w:p>
        </w:tc>
        <w:tc>
          <w:tcPr>
            <w:tcW w:type="dxa" w:w="1661"/>
          </w:tcPr>
          <w:p>
            <w:pPr>
              <w:pStyle w:val="null3"/>
            </w:pPr>
            <w:r>
              <w:rPr/>
              <w:t>响应文件封面 服务内容及服务邀请应答表 中小企业声明函 残疾人福利性单位声明函 商务应答表 服务方案 标的清单 供应商应提交的相关资格证明材料 报价表 响应函 监狱企业的证明文件 业绩一览表</w:t>
            </w:r>
          </w:p>
        </w:tc>
      </w:tr>
      <w:tr>
        <w:tc>
          <w:tcPr>
            <w:tcW w:type="dxa" w:w="831"/>
          </w:tcPr>
          <w:p>
            <w:pPr>
              <w:pStyle w:val="null3"/>
            </w:pPr>
            <w:r>
              <w:rPr/>
              <w:t>3</w:t>
            </w:r>
          </w:p>
        </w:tc>
        <w:tc>
          <w:tcPr>
            <w:tcW w:type="dxa" w:w="2492"/>
          </w:tcPr>
          <w:p>
            <w:pPr>
              <w:pStyle w:val="null3"/>
            </w:pPr>
            <w:r>
              <w:rPr/>
              <w:t>报价</w:t>
            </w:r>
          </w:p>
        </w:tc>
        <w:tc>
          <w:tcPr>
            <w:tcW w:type="dxa" w:w="3322"/>
          </w:tcPr>
          <w:p>
            <w:pPr>
              <w:pStyle w:val="null3"/>
            </w:pPr>
            <w:r>
              <w:rPr/>
              <w:t>投标报价未超过采购预算或最高限价</w:t>
            </w:r>
          </w:p>
        </w:tc>
        <w:tc>
          <w:tcPr>
            <w:tcW w:type="dxa" w:w="1661"/>
          </w:tcPr>
          <w:p>
            <w:pPr>
              <w:pStyle w:val="null3"/>
            </w:pPr>
            <w:r>
              <w:rPr/>
              <w:t>标的清单 报价表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满足招标文件要求</w:t>
            </w:r>
          </w:p>
        </w:tc>
        <w:tc>
          <w:tcPr>
            <w:tcW w:type="dxa" w:w="1661"/>
          </w:tcPr>
          <w:p>
            <w:pPr>
              <w:pStyle w:val="null3"/>
            </w:pPr>
            <w:r>
              <w:rPr/>
              <w:t>标的清单 响应函</w:t>
            </w:r>
          </w:p>
        </w:tc>
      </w:tr>
      <w:tr>
        <w:tc>
          <w:tcPr>
            <w:tcW w:type="dxa" w:w="831"/>
          </w:tcPr>
          <w:p>
            <w:pPr>
              <w:pStyle w:val="null3"/>
            </w:pPr>
            <w:r>
              <w:rPr/>
              <w:t>6</w:t>
            </w:r>
          </w:p>
        </w:tc>
        <w:tc>
          <w:tcPr>
            <w:tcW w:type="dxa" w:w="2492"/>
          </w:tcPr>
          <w:p>
            <w:pPr>
              <w:pStyle w:val="null3"/>
            </w:pPr>
            <w:r>
              <w:rPr/>
              <w:t>磋商文件第三章“3.2.2服务要求”列表中第三、第四条规定的应附的相关承诺</w:t>
            </w:r>
          </w:p>
        </w:tc>
        <w:tc>
          <w:tcPr>
            <w:tcW w:type="dxa" w:w="3322"/>
          </w:tcPr>
          <w:p>
            <w:pPr>
              <w:pStyle w:val="null3"/>
            </w:pPr>
            <w:r>
              <w:rPr/>
              <w:t>按要求提供了相关承诺或合同</w:t>
            </w:r>
          </w:p>
        </w:tc>
        <w:tc>
          <w:tcPr>
            <w:tcW w:type="dxa" w:w="1661"/>
          </w:tcPr>
          <w:p>
            <w:pPr>
              <w:pStyle w:val="null3"/>
            </w:pPr>
            <w:r>
              <w:rPr/>
              <w:t>服务内容及服务邀请应答表</w:t>
            </w:r>
          </w:p>
        </w:tc>
      </w:tr>
      <w:tr>
        <w:tc>
          <w:tcPr>
            <w:tcW w:type="dxa" w:w="831"/>
          </w:tcPr>
          <w:p>
            <w:pPr>
              <w:pStyle w:val="null3"/>
            </w:pPr>
            <w:r>
              <w:rPr/>
              <w:t>7</w:t>
            </w:r>
          </w:p>
        </w:tc>
        <w:tc>
          <w:tcPr>
            <w:tcW w:type="dxa" w:w="2492"/>
          </w:tcPr>
          <w:p>
            <w:pPr>
              <w:pStyle w:val="null3"/>
            </w:pPr>
            <w:r>
              <w:rPr/>
              <w:t>磋商文件规定的其他情形</w:t>
            </w:r>
          </w:p>
        </w:tc>
        <w:tc>
          <w:tcPr>
            <w:tcW w:type="dxa" w:w="3322"/>
          </w:tcPr>
          <w:p>
            <w:pPr>
              <w:pStyle w:val="null3"/>
            </w:pPr>
            <w:r>
              <w:rPr/>
              <w:t>响应文件中没有含采购人不能接受的附加条件或其他情形</w:t>
            </w:r>
          </w:p>
        </w:tc>
        <w:tc>
          <w:tcPr>
            <w:tcW w:type="dxa" w:w="1661"/>
          </w:tcPr>
          <w:p>
            <w:pPr>
              <w:pStyle w:val="null3"/>
            </w:pPr>
            <w:r>
              <w:rPr/>
              <w:t>服务内容及服务邀请应答表 商务应答表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总体服务方案</w:t>
            </w:r>
          </w:p>
        </w:tc>
        <w:tc>
          <w:tcPr>
            <w:tcW w:type="dxa" w:w="2492"/>
          </w:tcPr>
          <w:p>
            <w:pPr>
              <w:pStyle w:val="null3"/>
            </w:pPr>
            <w:r>
              <w:rPr/>
              <w:t>提供针对本项目的总体服务方案（包括不限于服务管理工作目标、工作流程及实施方案、工作秩序等）。 1.方案全面具体、思路清晰、合理、可行、针对性强，对项目实施有很强的指导作用得8分；2.方案较为全面具体、思路较为清晰、较为合理可行、针对性较强，对项目实施有较强的指导作用得6分；3.方案一般、思路基本清晰、有针对性，对项目实施基本有指导作用得4分；4.服务方案笼统，欠缺针对性得2分；未提供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管理制度</w:t>
            </w:r>
          </w:p>
        </w:tc>
        <w:tc>
          <w:tcPr>
            <w:tcW w:type="dxa" w:w="2492"/>
          </w:tcPr>
          <w:p>
            <w:pPr>
              <w:pStyle w:val="null3"/>
            </w:pPr>
            <w:r>
              <w:rPr/>
              <w:t>针对本项目具有良好的管理制度，内容包括①岗位制度：具有岗位职责、服务质量标准、岗位制度、作业流程②内控制度：具有管理组织机构、内部管理制度、监督机制③人员管理制度：具有员工日常管理办法、请销假制度、奖惩措施、薪酬待遇、激励机制、仪容仪表制度。 1.管理制度健全、规范，机制好，可行性强得8分； 2.管理制度较为健全规范，工作机制较好，可行性较强得6分； 3.管理制度一般，工作机制一般、有可行性得4分；4.管理制度简单，工作机制欠佳，可行性欠佳得2分； 未提供不得分。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培训考核方案</w:t>
            </w:r>
          </w:p>
        </w:tc>
        <w:tc>
          <w:tcPr>
            <w:tcW w:type="dxa" w:w="2492"/>
          </w:tcPr>
          <w:p>
            <w:pPr>
              <w:pStyle w:val="null3"/>
            </w:pPr>
            <w:r>
              <w:rPr/>
              <w:t>针对采购需求及特点制定各岗位培训考核方案，包括：①岗前培训②定期岗位培训③考核：针对不同的岗位、制度及工作程序制定考核方案。 1.方案完整全面、科学合理、操作性强、切合本项目实际情况得8分；2.方案较为完整全面、较为科学合理、可操作性较强、比较切合项目实际情况得6分；3.方案一般、科学合理度一般、操作性一般得4分；4.方案空洞、有欠缺得2分。未提供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卫生保洁服务方案</w:t>
            </w:r>
          </w:p>
        </w:tc>
        <w:tc>
          <w:tcPr>
            <w:tcW w:type="dxa" w:w="2492"/>
          </w:tcPr>
          <w:p>
            <w:pPr>
              <w:pStyle w:val="null3"/>
            </w:pPr>
            <w:r>
              <w:rPr/>
              <w:t>针对本项目提出卫生保洁服务方案。 1.方案全面具体、有针对性、符合项目实际情况得6分；2.方案较为全面具体、较有针对性、比较符合项目实际情况得5分；3.方案一般、基本符合项目实际情况得4分；4.方案略显笼统、无针对性得3分；5.完全套用，内容空洞有欠缺得2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餐饮服务方案</w:t>
            </w:r>
          </w:p>
        </w:tc>
        <w:tc>
          <w:tcPr>
            <w:tcW w:type="dxa" w:w="2492"/>
          </w:tcPr>
          <w:p>
            <w:pPr>
              <w:pStyle w:val="null3"/>
            </w:pPr>
            <w:r>
              <w:rPr/>
              <w:t>针对本项目提出餐饮服务方案，内容至少包含①食品安全以及保障食品安全事故为零 ②确保科学、合理搭配每周餐谱，营养均衡及食品原材料的采购与存放 ③成本控制、杜绝浪费。 1.方案全面具体、有针对性、符合项目实际情况得6分；2.方案较为全面具体、较有针对性、比较符合项目实际情况得5分；3.方案一般、基本符合项目实际情况得4分；4.方案略显笼统，无针对性得3分；5. 完全套用，内容空洞有欠缺得2分；未提供不得分。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质量保证措施</w:t>
            </w:r>
          </w:p>
        </w:tc>
        <w:tc>
          <w:tcPr>
            <w:tcW w:type="dxa" w:w="2492"/>
          </w:tcPr>
          <w:p>
            <w:pPr>
              <w:pStyle w:val="null3"/>
            </w:pPr>
            <w:r>
              <w:rPr/>
              <w:t>针对本项目提出服务质量保证措施。 1.措施完善合理可行得6分； 2.措施基本合理、基本完善，基本可行得5分；3.措施一般得4分；4.方案略显笼统、无针对性得3分；5、完全套用，内容空洞有欠缺得2分。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各单项服务项目时效</w:t>
            </w:r>
          </w:p>
        </w:tc>
        <w:tc>
          <w:tcPr>
            <w:tcW w:type="dxa" w:w="2492"/>
          </w:tcPr>
          <w:p>
            <w:pPr>
              <w:pStyle w:val="null3"/>
            </w:pPr>
            <w:r>
              <w:rPr/>
              <w:t>针对本项目的时效性保证措施。 1.措施完善合理、时效性强得6分； 2.措施基本合理、基本完善、时效性较好得5分；3.措施一般得4分；4.方案略显笼统、无针对性得3分；5、完全套用，内容空洞有欠缺得2分。未提供不得分。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人员配置</w:t>
            </w:r>
          </w:p>
        </w:tc>
        <w:tc>
          <w:tcPr>
            <w:tcW w:type="dxa" w:w="2492"/>
          </w:tcPr>
          <w:p>
            <w:pPr>
              <w:pStyle w:val="null3"/>
            </w:pPr>
            <w:r>
              <w:rPr/>
              <w:t>提供专业的技术服务团队，该团队由有相关技术经验的人员组成，且针对本项目提供的服务团队应从人员数量、组成结构、响应时限及专业度等方面满足采购人要求。 1.人员配备充足、分工合理、责任明确，具有相关技术人员，组织机构健全得6分； 2.人员配备基本充足、分工基本合理、责任基本明确，具有相关技术人员，组织机构基本健全得5分； 3.人员配备数量一般、分工责任一般，组织机构健度一般得4分； 4.人员配备不够充足，组织机构不够健全，还需完善得3分。5. 人员配备很少，分工不合理、责任不明确，无相关技术人员得2分，未提供不得分。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项目负责人</w:t>
            </w:r>
          </w:p>
        </w:tc>
        <w:tc>
          <w:tcPr>
            <w:tcW w:type="dxa" w:w="2492"/>
          </w:tcPr>
          <w:p>
            <w:pPr>
              <w:pStyle w:val="null3"/>
            </w:pPr>
            <w:r>
              <w:rPr/>
              <w:t>1.项目负责人学历要求：具有专科学历得2分，具有本科及以上学历得4分（取最高学历计分，不重复计分）。 赋分依据：须提供学信网经查证的《教育部学历证书电子注册备案表》，不提供或不满足学历要求不得分。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1、承诺：接受采购人对本项目服务的考核、监督及管理，定期调研采购人对服务质量的满意度并加以改进，确保服务工作的优质高效，得2分。无承诺不得分。 2、承诺：上岗人员固定，不随意更换，若出现服务人员因事、病等不能工作的，能及时调整其他服务人员补充，确保服务工作的正常进行，得2分。无承诺不得分。 3、承诺：储备可调度人员，调度人员可保障临时性工作需要及突发事件处置，得2分。无承诺不得分。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根据本项目特点制定应急预案，有处理紧急事件、突发事故、遇重要活动和重要检查时的各项预案措施。 1.措施全面细致、有可靠的应急决策、有很好的处理协调机制，针对性强得6分；2.措施较为全面细致、应急决策较为可靠、处理协调机制较好，针对性较强得5分；3.措施一般、应急决策一般、处理协调机制一般得4分；4.措施简单、应急决策欠佳、处理协调机制欠佳3分；5、完全套用，内容空洞有欠缺得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档案管理方案</w:t>
            </w:r>
          </w:p>
        </w:tc>
        <w:tc>
          <w:tcPr>
            <w:tcW w:type="dxa" w:w="2492"/>
          </w:tcPr>
          <w:p>
            <w:pPr>
              <w:pStyle w:val="null3"/>
            </w:pPr>
            <w:r>
              <w:rPr/>
              <w:t>提供各类货物采买验收、各单项服务工作中重要资料的档案管理方案。 1. 方案完整、档案规划和保管措施有力、符合实际需求得6分；2. 方案较为完整、档案规划和保管措施较为有力、比较符合实际需求得5分；3. 方案较一般、档案规划和保管措施一般得4分；4.方案略显笼统、无针对性得3分；5、完全套用，内容空洞有欠缺得2分。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物资及耗材配置</w:t>
            </w:r>
          </w:p>
        </w:tc>
        <w:tc>
          <w:tcPr>
            <w:tcW w:type="dxa" w:w="2492"/>
          </w:tcPr>
          <w:p>
            <w:pPr>
              <w:pStyle w:val="null3"/>
            </w:pPr>
            <w:r>
              <w:rPr/>
              <w:t>提供拟投入本项目所需的物资装备及耗材配置，包含清洁用具、服装、劳保用品、消耗材料等等。 1.物资投入计划合理、物资配备齐全，能够满足服务期内项目需要得6分；2.物资投入计划较为合理、物资配备较为齐全，比较满足服务期内项目需要得5分；3.物资投入计划一般、物资配备一般得4分；4.物资投入计划和配备欠佳，还需完善得3分；5、完全套用，内容空洞有欠缺得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投标人提供2020年1月1日至今类似项目业绩。每提供一个业绩得2分，最高得8分。 注：业绩证明材料以所附合同复印件或扫描件为准，并加盖单位公章。</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满足磋商文件要求且报价最低的投标报价为评标基准价，其价格分为满分10 分。 报价得分=（评标基准价/投标报价）×价格分（10）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响应函</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详见附件：服务方案</w:t>
      </w:r>
    </w:p>
    <w:p>
      <w:pPr>
        <w:pStyle w:val="null3"/>
        <w:ind w:firstLine="960"/>
      </w:pPr>
      <w:r>
        <w:rPr/>
        <w:t>详见附件：业绩一览表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详见附件：合同示范文本-航空应急救援地面保障服务.docx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