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5B6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2D03B3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现代通信技术实验教学系统采购项目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 2024年12月10日 14时00分 （北京时间）前提交响应文件。</w:t>
      </w:r>
    </w:p>
    <w:p w14:paraId="00975E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7B4C6B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项目编号：HZGH-2024-083</w:t>
      </w:r>
    </w:p>
    <w:p w14:paraId="35B60E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w:t>
      </w:r>
      <w:bookmarkStart w:id="0" w:name="_GoBack"/>
      <w:r>
        <w:rPr>
          <w:rFonts w:hint="eastAsia" w:ascii="微软雅黑" w:hAnsi="微软雅黑" w:eastAsia="微软雅黑" w:cs="微软雅黑"/>
          <w:i w:val="0"/>
          <w:iCs w:val="0"/>
          <w:caps w:val="0"/>
          <w:color w:val="333333"/>
          <w:spacing w:val="0"/>
          <w:sz w:val="21"/>
          <w:szCs w:val="21"/>
          <w:bdr w:val="none" w:color="auto" w:sz="0" w:space="0"/>
          <w:shd w:val="clear" w:fill="FFFFFF"/>
        </w:rPr>
        <w:t>现代通信技术实验教学系统</w:t>
      </w:r>
      <w:bookmarkEnd w:id="0"/>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w:t>
      </w:r>
    </w:p>
    <w:p w14:paraId="7C6255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14:paraId="570A26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预算金额：923,450.00元</w:t>
      </w:r>
    </w:p>
    <w:p w14:paraId="5F244E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14:paraId="4E2120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07342A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采购包1：合同签订之日起90日内交货、安装调试并交付使用。</w:t>
      </w:r>
    </w:p>
    <w:p w14:paraId="52EC95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14:paraId="435BAB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14:paraId="4662BB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3026CF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7B268F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0ED150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合同包1(现代通信技术实验教学系统采购项目)落实政府采购政策需满足的资格要求如下:</w:t>
      </w:r>
    </w:p>
    <w:p w14:paraId="18D47A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的通知--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（2）、《陕西省财政厅关于加快推进我省中小企业政府采购信用融资工作的通知》（陕财办采〔2020〕15号）、陕西省财政厅关于印发《陕西省中小企业政府采购信用融资办法》(陕财办采[2018]23号)；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国务院办公厅关于建立政府强制采购节能产品制度的通知》（国办发〔2007〕51号）、《财政部发展改革委生态环境部市场监督总局关于调整优化节能产品、环境标志产品政府采购执行机制的通知》（财库[2019]9号）、《关于印发环境标志产品政府采购品目清单的通知》（财库〔2019〕18号）、《关于印发节能产品政府采购品目清单的通知》（财库〔2019〕19号）、《市场监督总局关于发布参与实施政府采购节能产品、环境标志产品认证机构名录的公告》（2019年第16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（4）、《陕西省财政厅关于进一步加大政府采购支持中小企业力度的通知》（陕财办采〔2022〕5号）、《陕西省财政厅关于落实政府采购支持中小企业政策有关事项的通知》（陕财办采函〔2022〕10号）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号）、《财政部国务院扶贫办关于运用政府采购政策支持脱贫攻坚的通知》（财库〔2019〕27号）；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（6）《关于进一步加强政府绿色采购有关问题的通知》（陕财办采〔2021〕29号）；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（7）如有最新颁布的政府采购政策，按最新的文件执行。</w:t>
      </w:r>
    </w:p>
    <w:p w14:paraId="229D65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4E92C2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合同包1(现代通信技术实验教学系统采购项目)特定资格要求如下:</w:t>
      </w:r>
    </w:p>
    <w:p w14:paraId="7B8E0F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(1)具有独立承担民事责任能力的法人、其他组织或自然人，并出具合法有效的营业执照或事业单位法人证书等国家规定的相关证明，自然人参与的提供其身份证明；</w:t>
      </w:r>
    </w:p>
    <w:p w14:paraId="4223DC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提供具有财务审计资质单位出具的2022年度或2023年度财务报告（成立时间至开标时间不足一年的可提供成立后任意时段的资产负债表）或开标前六个月内其基本账户银行出具的资信证明（附开户许可证或基本账户证明）或政府采购信用担保机构出具的投标担保函；</w:t>
      </w:r>
    </w:p>
    <w:p w14:paraId="2726CD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(3)提供2024年1月1日至今任意一个月已缴纳的纳税证明或完税证明（时间以税款所属日期为准）；（依法免税的供应商应提供相关文件证明）</w:t>
      </w:r>
    </w:p>
    <w:p w14:paraId="4AFE38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(4)提供2024年1月1日至今任意一个月的社保缴费凭据或社保机构开具的社会保险参保缴费情况证明；（依法不需要缴纳社会保障资金的供应商应提供相关证明）</w:t>
      </w:r>
    </w:p>
    <w:p w14:paraId="7BBE13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(5)提供具有履行本合同所必需的设备和专业技术能力的说明及承诺；（格式自拟，加盖供应商公章）</w:t>
      </w:r>
    </w:p>
    <w:p w14:paraId="4B8FF2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(6)提供参加政府采购活动前三年内在经营活动中没有重大违法记录的书面声明。（格式自拟，加盖供应商公章）</w:t>
      </w:r>
    </w:p>
    <w:p w14:paraId="37218B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(7)法定代表人或负责人参与投标时需提供法定代表人或负责人资格证明书（附法定代表人或负责人身份证复印件）；</w:t>
      </w:r>
    </w:p>
    <w:p w14:paraId="51208C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(8)被授权人参与投标时需提供法定代表人或负责人授权委托书（附法定代表人或负责人及被授权人身份证复印件）；</w:t>
      </w:r>
    </w:p>
    <w:p w14:paraId="24E15D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(9)谈判保证金交纳凭证或担保函；（保证金交纳凭证复印件或担保函复印件加盖公章）</w:t>
      </w:r>
    </w:p>
    <w:p w14:paraId="029FF4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14:paraId="25D090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(11)单位负责人为同一人或者存在直接控股、管理关系的不同供应商，不得参加同一合同项下的政府采购活动；（提供书面承诺函，格式自拟加盖供应商公章）</w:t>
      </w:r>
    </w:p>
    <w:p w14:paraId="6000A0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(12)本项目不接受联合体谈判。（提供书面承诺函，格式自拟加盖供应商公章）</w:t>
      </w:r>
    </w:p>
    <w:p w14:paraId="2F8448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370BB4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2024年12月03日 至 2024年12月06日 ，每天上午 00:00:00 至 12:00:00 ，下午 12:00:00 至 23:59:59 （北京时间）</w:t>
      </w:r>
    </w:p>
    <w:p w14:paraId="7A2898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途径：项目电子化交易系统-应标-项目投标中选择本项目参与并获取采购文件</w:t>
      </w:r>
    </w:p>
    <w:p w14:paraId="090774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方式：投标人有意参加本项目的，应在陕西省政府采购网（www.ccgp-shaanxi.gov.cn）登录项目电子化交易系统申请获取采购文件</w:t>
      </w:r>
    </w:p>
    <w:p w14:paraId="34CB53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23A39C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1E9C8D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2024年12月10日 14时00分00秒 （北京时间）</w:t>
      </w:r>
    </w:p>
    <w:p w14:paraId="08B755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地点：项目电子化交易系统</w:t>
      </w:r>
    </w:p>
    <w:p w14:paraId="571481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697DE6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2024年12月10日 14时00分00秒 （北京时间）</w:t>
      </w:r>
    </w:p>
    <w:p w14:paraId="395CDA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地点：项目电子化交易系统</w:t>
      </w:r>
    </w:p>
    <w:p w14:paraId="2640B4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202E86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03671F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3FEEED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4E7151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5D6278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60E040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52170D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3E6BEC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52E7EA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29E784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14:paraId="5AAA06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14:paraId="0F0E06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14:paraId="65FFBE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CA及签章服务：通过陕西省政府采购网-办事指南进行查询</w:t>
      </w:r>
    </w:p>
    <w:p w14:paraId="2A9E22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1、为顺利推进政府采购电子化交易平台应用工作，供应商需要在线提交所有通过电子化交易平台实施的政府采购项目的响应文件，同时，线下提交纸质响应文件正本壹份、副本贰份。 2、纸质响应文件正、副本分别胶装，标明供应商名称密封递交，递交截止时间同在线递交响应电子文件截止时间一致，递交地址：西安市朱雀大街南段1号汇成天玺C座18层1812室。（纸质投标文件可邮寄（顺丰邮寄），邮件签收时间应在递交电子响应文件截止时间之前，邮寄地址：西安市朱雀大街南段1号汇成天玺C座18层1812室，联系人：秦工，联系电话：029-87592321）。 3、若电子响应文件与纸质响应文件不一致的，以电子响应文件为准。</w:t>
      </w:r>
    </w:p>
    <w:p w14:paraId="1304B7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6661B1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3BE9D0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名称：西北大学</w:t>
      </w:r>
    </w:p>
    <w:p w14:paraId="722518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地址：太白北路229号</w:t>
      </w:r>
    </w:p>
    <w:p w14:paraId="619227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联系方式：029-88302565</w:t>
      </w:r>
    </w:p>
    <w:p w14:paraId="7ABEA1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7F766C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名称：华招广和项目管理有限公司</w:t>
      </w:r>
    </w:p>
    <w:p w14:paraId="5F552A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地址：西安市朱雀大街南段1号汇成天玺C座18层</w:t>
      </w:r>
    </w:p>
    <w:p w14:paraId="52C508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联系方式：029-87592321</w:t>
      </w:r>
    </w:p>
    <w:p w14:paraId="3BA110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2A3BD2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项目联系人：秦工</w:t>
      </w:r>
    </w:p>
    <w:p w14:paraId="6E14CB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电话：029-87592321</w:t>
      </w:r>
    </w:p>
    <w:p w14:paraId="494F5FF5"/>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F4627"/>
    <w:rsid w:val="3CDF4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2024-12-03T12:04:00Z</dcterms:created>
  <dc:creator>QinL109</dc:creator>
  <cp:lastModifiedBy>QinL109</cp:lastModifiedBy>
  <dcterms:modified xsi:type="dcterms:W3CDTF">2024-12-03T12:05:11Z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CBF29413A8724D2EB6BE0C88F40FC847_11</vt:lpwstr>
  </property>
</Properties>
</file>