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非磁性垂直管板爬行机器人研制及控制软件开发</w:t>
      </w:r>
    </w:p>
    <w:p>
      <w:pPr>
        <w:pStyle w:val="null3"/>
        <w:jc w:val="center"/>
        <w:outlineLvl w:val="2"/>
      </w:pPr>
      <w:r>
        <w:rPr>
          <w:sz w:val="28"/>
          <w:b/>
        </w:rPr>
        <w:t>采购项目编号：</w:t>
      </w:r>
      <w:r>
        <w:rPr>
          <w:sz w:val="28"/>
          <w:b/>
        </w:rPr>
        <w:t>HRC-ZBDL-2024-01881</w:t>
      </w:r>
      <w:r>
        <w:br/>
      </w:r>
      <w:r>
        <w:br/>
      </w:r>
      <w:r>
        <w:br/>
      </w:r>
    </w:p>
    <w:p>
      <w:pPr>
        <w:pStyle w:val="null3"/>
        <w:jc w:val="center"/>
        <w:outlineLvl w:val="2"/>
      </w:pPr>
      <w:r>
        <w:rPr>
          <w:sz w:val="28"/>
          <w:b/>
        </w:rPr>
        <w:t>西安石油大学</w:t>
      </w:r>
    </w:p>
    <w:p>
      <w:pPr>
        <w:pStyle w:val="null3"/>
        <w:jc w:val="center"/>
        <w:outlineLvl w:val="2"/>
      </w:pPr>
      <w:r>
        <w:rPr>
          <w:sz w:val="28"/>
          <w:b/>
        </w:rPr>
        <w:t>华睿诚项目管理有限公司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华睿诚项目管理有限公司</w:t>
      </w:r>
      <w:r>
        <w:rPr/>
        <w:t>（以下简称“代理机构”）受</w:t>
      </w:r>
      <w:r>
        <w:rPr/>
        <w:t>西安石油大学</w:t>
      </w:r>
      <w:r>
        <w:rPr/>
        <w:t>委托，拟对</w:t>
      </w:r>
      <w:r>
        <w:rPr/>
        <w:t>非磁性垂直管板爬行机器人研制及控制软件开发</w:t>
      </w:r>
      <w:r>
        <w:rPr/>
        <w:t>采用竞争性磋商采购方式进行采购，兹邀请供应商参加本项目的竞争性磋商。</w:t>
      </w:r>
    </w:p>
    <w:p>
      <w:pPr>
        <w:pStyle w:val="null3"/>
        <w:outlineLvl w:val="2"/>
      </w:pPr>
      <w:r>
        <w:rPr>
          <w:sz w:val="28"/>
          <w:b/>
        </w:rPr>
        <w:t>一、项目编号：</w:t>
      </w:r>
      <w:r>
        <w:rPr>
          <w:sz w:val="28"/>
          <w:b/>
        </w:rPr>
        <w:t>HRC-ZBDL-2024-01881</w:t>
      </w:r>
    </w:p>
    <w:p>
      <w:pPr>
        <w:pStyle w:val="null3"/>
        <w:outlineLvl w:val="2"/>
      </w:pPr>
      <w:r>
        <w:rPr>
          <w:sz w:val="28"/>
          <w:b/>
        </w:rPr>
        <w:t>二、项目名称：</w:t>
      </w:r>
      <w:r>
        <w:rPr>
          <w:sz w:val="28"/>
          <w:b/>
        </w:rPr>
        <w:t>非磁性垂直管板爬行机器人研制及控制软件开发</w:t>
      </w:r>
    </w:p>
    <w:p>
      <w:pPr>
        <w:pStyle w:val="null3"/>
        <w:outlineLvl w:val="2"/>
      </w:pPr>
      <w:r>
        <w:rPr>
          <w:sz w:val="28"/>
          <w:b/>
        </w:rPr>
        <w:t>三、磋商项目简介</w:t>
      </w:r>
    </w:p>
    <w:p>
      <w:pPr>
        <w:pStyle w:val="null3"/>
        <w:ind w:firstLine="480"/>
      </w:pPr>
      <w:r>
        <w:rPr/>
        <w:t>非磁性垂直管板爬行机器人研制及控制软件开发项目，1项，详见竞争性磋商文件。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采购包1（非磁性垂直管板爬行机器人研制及控制软件开发项目）：属于专门面向中小企业采购。</w:t>
      </w:r>
    </w:p>
    <w:p>
      <w:pPr>
        <w:pStyle w:val="null3"/>
        <w:ind w:firstLine="480"/>
      </w:pPr>
      <w:r>
        <w:rPr/>
        <w:t>（三）本项目的特定资格要求：</w:t>
      </w:r>
    </w:p>
    <w:p>
      <w:pPr>
        <w:pStyle w:val="null3"/>
      </w:pPr>
      <w:r>
        <w:rPr/>
        <w:t>采购包1：</w:t>
      </w:r>
    </w:p>
    <w:p>
      <w:pPr>
        <w:pStyle w:val="null3"/>
      </w:pPr>
      <w:r>
        <w:rPr/>
        <w:t>1、供应商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w:t>
      </w:r>
    </w:p>
    <w:p>
      <w:pPr>
        <w:pStyle w:val="null3"/>
      </w:pPr>
      <w:r>
        <w:rPr/>
        <w:t xml:space="preserve"> 联系人： </w:t>
      </w:r>
      <w:r>
        <w:rPr/>
        <w:t>马老师</w:t>
      </w:r>
    </w:p>
    <w:p>
      <w:pPr>
        <w:pStyle w:val="null3"/>
      </w:pPr>
      <w:r>
        <w:rPr/>
        <w:t xml:space="preserve"> 联系电话： </w:t>
      </w:r>
      <w:r>
        <w:rPr/>
        <w:t>029-88382832</w:t>
      </w:r>
    </w:p>
    <w:p>
      <w:pPr>
        <w:pStyle w:val="null3"/>
        <w:outlineLvl w:val="3"/>
      </w:pPr>
      <w:r>
        <w:rPr>
          <w:sz w:val="24"/>
          <w:b/>
        </w:rPr>
        <w:t>代理机构：</w:t>
      </w:r>
      <w:r>
        <w:rPr>
          <w:sz w:val="24"/>
          <w:b/>
        </w:rPr>
        <w:t>华睿诚项目管理有限公司</w:t>
      </w:r>
    </w:p>
    <w:p>
      <w:pPr>
        <w:pStyle w:val="null3"/>
      </w:pPr>
      <w:r>
        <w:rPr/>
        <w:t xml:space="preserve"> 地址： </w:t>
      </w:r>
      <w:r>
        <w:rPr/>
        <w:t>陕西省西安市雁塔区曲江新区雁翔路3269号旺座曲江E座29层2901号</w:t>
      </w:r>
    </w:p>
    <w:p>
      <w:pPr>
        <w:pStyle w:val="null3"/>
      </w:pPr>
      <w:r>
        <w:rPr/>
        <w:t xml:space="preserve"> 邮编： </w:t>
      </w:r>
      <w:r>
        <w:rPr/>
        <w:t>/</w:t>
      </w:r>
    </w:p>
    <w:p>
      <w:pPr>
        <w:pStyle w:val="null3"/>
      </w:pPr>
      <w:r>
        <w:rPr/>
        <w:t xml:space="preserve"> 联系人： </w:t>
      </w:r>
      <w:r>
        <w:rPr/>
        <w:t>王小永</w:t>
      </w:r>
    </w:p>
    <w:p>
      <w:pPr>
        <w:pStyle w:val="null3"/>
      </w:pPr>
      <w:r>
        <w:rPr/>
        <w:t xml:space="preserve"> 联系电话： </w:t>
      </w:r>
      <w:r>
        <w:rPr/>
        <w:t>029-88851292/15802973324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代理服务费收费标准：以成交金额为基数，参照国家计委颁布的《招标代理服务收费管理暂行办法》(计价格[2002]1980号)号文件收费标准的90%收取。预算30万元(含)以下项目，按标准收取。 成交供应商在领取成交通知书前，须向采购代理机构支付代理服务费。 缴纳方式：银行转账户名：华睿诚项目管理有限公司 开户银行：西安银行小寨东路支行 账 号：816011580000101224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华睿诚项目管理有限公司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华睿诚项目管理有限公司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华睿诚项目管理有限公司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根据竞争性磋商文件要求，响应文件及合同约定执行。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华睿诚项目管理有限公司</w:t>
      </w:r>
      <w:r>
        <w:rPr/>
        <w:t xml:space="preserve"> 负责答复；供应商对除采购需求外的采购文件的询问、质疑由</w:t>
      </w:r>
      <w:r>
        <w:rPr/>
        <w:t>华睿诚项目管理有限公司</w:t>
      </w:r>
      <w:r>
        <w:rPr/>
        <w:t xml:space="preserve"> 负责答复；供应商对采购过程、采购结果的询问、质疑由 </w:t>
      </w:r>
      <w:r>
        <w:rPr/>
        <w:t>华睿诚项目管理有限公司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联系人：王小永</w:t>
      </w:r>
    </w:p>
    <w:p>
      <w:pPr>
        <w:pStyle w:val="null3"/>
      </w:pPr>
      <w:r>
        <w:rPr/>
        <w:t>联系电话：029-88851292/15802973324</w:t>
      </w:r>
    </w:p>
    <w:p>
      <w:pPr>
        <w:pStyle w:val="null3"/>
      </w:pPr>
      <w:r>
        <w:rPr/>
        <w:t>地址：西安市曲江新区雁翔路3269号【旺座曲江】E座29~30层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非磁性垂直管板爬行机器人研制及控制软件开发项目，1项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非磁性垂直管板爬行机器人</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爬行机器人控制软件</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标的名称：非磁性垂直管板爬行机器人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w:t>
            </w:r>
            <w:r>
              <w:rPr>
                <w:rFonts w:ascii="宋体" w:hAnsi="宋体" w:cs="宋体" w:eastAsia="宋体"/>
                <w:sz w:val="20"/>
              </w:rPr>
              <w:t>1）通过机械涨足方式可以完成在非磁性垂直管板管壁面全位置爬</w:t>
            </w:r>
            <w:r>
              <w:rPr>
                <w:rFonts w:ascii="宋体" w:hAnsi="宋体" w:cs="宋体" w:eastAsia="宋体"/>
                <w:sz w:val="20"/>
              </w:rPr>
              <w:t>行。</w:t>
            </w:r>
          </w:p>
          <w:p>
            <w:pPr>
              <w:pStyle w:val="null3"/>
              <w:jc w:val="both"/>
            </w:pPr>
            <w:r>
              <w:rPr>
                <w:rFonts w:ascii="宋体" w:hAnsi="宋体" w:cs="宋体" w:eastAsia="宋体"/>
                <w:sz w:val="20"/>
              </w:rPr>
              <w:t>（</w:t>
            </w:r>
            <w:r>
              <w:rPr>
                <w:rFonts w:ascii="宋体" w:hAnsi="宋体" w:cs="宋体" w:eastAsia="宋体"/>
                <w:sz w:val="20"/>
              </w:rPr>
              <w:t>2）爬行过程中具有20kg负载能力，定位精度：±1mm；行进速度：0-5m/min。</w:t>
            </w:r>
          </w:p>
          <w:p>
            <w:pPr>
              <w:pStyle w:val="null3"/>
              <w:jc w:val="both"/>
            </w:pPr>
            <w:r>
              <w:rPr>
                <w:rFonts w:ascii="宋体" w:hAnsi="宋体" w:cs="宋体" w:eastAsia="宋体"/>
                <w:sz w:val="20"/>
              </w:rPr>
              <w:t>（</w:t>
            </w:r>
            <w:r>
              <w:rPr>
                <w:rFonts w:ascii="宋体" w:hAnsi="宋体" w:cs="宋体" w:eastAsia="宋体"/>
                <w:sz w:val="20"/>
              </w:rPr>
              <w:t>3）机器人具有安全自锁功能，即在意外断电、断气等情况发生后可以吸附管板</w:t>
            </w:r>
            <w:r>
              <w:rPr>
                <w:rFonts w:ascii="宋体" w:hAnsi="宋体" w:cs="宋体" w:eastAsia="宋体"/>
                <w:sz w:val="20"/>
              </w:rPr>
              <w:t>4小时。单足可固定在管板上。</w:t>
            </w:r>
          </w:p>
          <w:p>
            <w:pPr>
              <w:pStyle w:val="null3"/>
              <w:jc w:val="both"/>
            </w:pPr>
            <w:r>
              <w:rPr>
                <w:rFonts w:ascii="宋体" w:hAnsi="宋体" w:cs="宋体" w:eastAsia="宋体"/>
                <w:sz w:val="20"/>
              </w:rPr>
              <w:t>（</w:t>
            </w:r>
            <w:r>
              <w:rPr>
                <w:rFonts w:ascii="宋体" w:hAnsi="宋体" w:cs="宋体" w:eastAsia="宋体"/>
                <w:sz w:val="20"/>
              </w:rPr>
              <w:t>4）具备图像和视频系统；整机重量不超过20kg；外形尺寸不超过400mm（长）X400mm（宽）X300（高）。</w:t>
            </w:r>
          </w:p>
          <w:p>
            <w:pPr>
              <w:pStyle w:val="null3"/>
              <w:jc w:val="both"/>
            </w:pPr>
            <w:r>
              <w:rPr>
                <w:rFonts w:ascii="宋体" w:hAnsi="宋体" w:cs="宋体" w:eastAsia="宋体"/>
                <w:sz w:val="20"/>
              </w:rPr>
              <w:t>（</w:t>
            </w:r>
            <w:r>
              <w:rPr>
                <w:rFonts w:ascii="宋体" w:hAnsi="宋体" w:cs="宋体" w:eastAsia="宋体"/>
                <w:sz w:val="20"/>
              </w:rPr>
              <w:t>5）能适应潮湿环境，防护等级IP66，工作温度-10-60℃。</w:t>
            </w:r>
          </w:p>
          <w:p>
            <w:pPr>
              <w:pStyle w:val="null3"/>
              <w:jc w:val="both"/>
            </w:pPr>
            <w:r>
              <w:rPr>
                <w:rFonts w:ascii="宋体" w:hAnsi="宋体" w:cs="宋体" w:eastAsia="宋体"/>
                <w:sz w:val="20"/>
              </w:rPr>
              <w:t>（</w:t>
            </w:r>
            <w:r>
              <w:rPr>
                <w:rFonts w:ascii="宋体" w:hAnsi="宋体" w:cs="宋体" w:eastAsia="宋体"/>
                <w:sz w:val="20"/>
              </w:rPr>
              <w:t>6）爬行机器人在垂直管板爬行不发生脱落或坠落现象，爬行时不能损坏传热管。</w:t>
            </w:r>
          </w:p>
          <w:p>
            <w:pPr>
              <w:pStyle w:val="null3"/>
              <w:jc w:val="both"/>
            </w:pPr>
            <w:r>
              <w:rPr>
                <w:rFonts w:ascii="宋体" w:hAnsi="宋体" w:cs="宋体" w:eastAsia="宋体"/>
                <w:sz w:val="20"/>
              </w:rPr>
              <w:t>（</w:t>
            </w:r>
            <w:r>
              <w:rPr>
                <w:rFonts w:ascii="宋体" w:hAnsi="宋体" w:cs="宋体" w:eastAsia="宋体"/>
                <w:sz w:val="20"/>
              </w:rPr>
              <w:t>7）爬行机器人可沿X及Y两个轴做直线运动，并能沿两个轴相互旋转运动，在旋转完成后停止在相应角度不动。</w:t>
            </w:r>
          </w:p>
          <w:p>
            <w:pPr>
              <w:pStyle w:val="null3"/>
              <w:jc w:val="both"/>
            </w:pPr>
            <w:r>
              <w:rPr>
                <w:rFonts w:ascii="宋体" w:hAnsi="宋体" w:cs="宋体" w:eastAsia="宋体"/>
                <w:sz w:val="20"/>
              </w:rPr>
              <w:t>（</w:t>
            </w:r>
            <w:r>
              <w:rPr>
                <w:rFonts w:ascii="宋体" w:hAnsi="宋体" w:cs="宋体" w:eastAsia="宋体"/>
                <w:sz w:val="20"/>
              </w:rPr>
              <w:t>8）适用于管板孔中心距30-50mm的管板上爬行。</w:t>
            </w:r>
          </w:p>
          <w:p>
            <w:pPr>
              <w:pStyle w:val="null3"/>
              <w:jc w:val="both"/>
            </w:pPr>
            <w:r>
              <w:rPr>
                <w:rFonts w:ascii="宋体" w:hAnsi="宋体" w:cs="宋体" w:eastAsia="宋体"/>
                <w:sz w:val="20"/>
              </w:rPr>
              <w:t>（</w:t>
            </w:r>
            <w:r>
              <w:rPr>
                <w:rFonts w:ascii="宋体" w:hAnsi="宋体" w:cs="宋体" w:eastAsia="宋体"/>
                <w:sz w:val="20"/>
              </w:rPr>
              <w:t>9）爬行机器人能在不低于30mSv/h的辐射环境下长期安全工作。</w:t>
            </w:r>
          </w:p>
          <w:p>
            <w:pPr>
              <w:pStyle w:val="null3"/>
              <w:jc w:val="both"/>
            </w:pPr>
            <w:r>
              <w:rPr>
                <w:rFonts w:ascii="宋体" w:hAnsi="宋体" w:cs="宋体" w:eastAsia="宋体"/>
                <w:sz w:val="20"/>
              </w:rPr>
              <w:t>（</w:t>
            </w:r>
            <w:r>
              <w:rPr>
                <w:rFonts w:ascii="宋体" w:hAnsi="宋体" w:cs="宋体" w:eastAsia="宋体"/>
                <w:sz w:val="20"/>
              </w:rPr>
              <w:t>10）爬行机器人的机械臂具有自动对中定位功能，偏差不超过±1mm。</w:t>
            </w:r>
          </w:p>
          <w:p>
            <w:pPr>
              <w:pStyle w:val="null3"/>
              <w:jc w:val="both"/>
            </w:pPr>
            <w:r>
              <w:rPr>
                <w:rFonts w:ascii="宋体" w:hAnsi="宋体" w:cs="宋体" w:eastAsia="宋体"/>
                <w:sz w:val="20"/>
              </w:rPr>
              <w:t>（</w:t>
            </w:r>
            <w:r>
              <w:rPr>
                <w:rFonts w:ascii="宋体" w:hAnsi="宋体" w:cs="宋体" w:eastAsia="宋体"/>
                <w:sz w:val="20"/>
              </w:rPr>
              <w:t>11）首先试制一台测试样机，经测试满足各项功能后，再制备1台成品机。</w:t>
            </w:r>
          </w:p>
        </w:tc>
      </w:tr>
    </w:tbl>
    <w:p>
      <w:pPr>
        <w:pStyle w:val="null3"/>
      </w:pPr>
      <w:r>
        <w:rPr/>
        <w:t>标的名称：爬行机器人控制软件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w:t>
            </w:r>
            <w:r>
              <w:rPr>
                <w:rFonts w:ascii="宋体" w:hAnsi="宋体" w:cs="宋体" w:eastAsia="宋体"/>
                <w:sz w:val="20"/>
              </w:rPr>
              <w:t>1）能够完成爬行机器人在垂直管板管壁面全位置爬行运动规划。</w:t>
            </w:r>
          </w:p>
          <w:p>
            <w:pPr>
              <w:pStyle w:val="null3"/>
              <w:jc w:val="both"/>
            </w:pPr>
            <w:r>
              <w:rPr>
                <w:rFonts w:ascii="宋体" w:hAnsi="宋体" w:cs="宋体" w:eastAsia="宋体"/>
                <w:sz w:val="20"/>
              </w:rPr>
              <w:t>（</w:t>
            </w:r>
            <w:r>
              <w:rPr>
                <w:rFonts w:ascii="宋体" w:hAnsi="宋体" w:cs="宋体" w:eastAsia="宋体"/>
                <w:sz w:val="20"/>
              </w:rPr>
              <w:t>2）能够实时显示机器人位置及运动姿态信息；具备自动定位及视屏、图像显示功能。</w:t>
            </w:r>
          </w:p>
          <w:p>
            <w:pPr>
              <w:pStyle w:val="null3"/>
              <w:jc w:val="both"/>
            </w:pPr>
            <w:r>
              <w:rPr>
                <w:rFonts w:ascii="宋体" w:hAnsi="宋体" w:cs="宋体" w:eastAsia="宋体"/>
                <w:sz w:val="20"/>
              </w:rPr>
              <w:t>（</w:t>
            </w:r>
            <w:r>
              <w:rPr>
                <w:rFonts w:ascii="宋体" w:hAnsi="宋体" w:cs="宋体" w:eastAsia="宋体"/>
                <w:sz w:val="20"/>
              </w:rPr>
              <w:t>3）能根据图像进行位置纠偏。</w:t>
            </w:r>
          </w:p>
          <w:p>
            <w:pPr>
              <w:pStyle w:val="null3"/>
              <w:jc w:val="both"/>
            </w:pPr>
            <w:r>
              <w:rPr>
                <w:rFonts w:ascii="宋体" w:hAnsi="宋体" w:cs="宋体" w:eastAsia="宋体"/>
                <w:sz w:val="20"/>
              </w:rPr>
              <w:t>（</w:t>
            </w:r>
            <w:r>
              <w:rPr>
                <w:rFonts w:ascii="宋体" w:hAnsi="宋体" w:cs="宋体" w:eastAsia="宋体"/>
                <w:sz w:val="20"/>
              </w:rPr>
              <w:t>4）具有避障功能，可以预报运动故障点，提示/警示越障路线。碰到新增堵管等，可自动规划路径并避障。</w:t>
            </w:r>
          </w:p>
          <w:p>
            <w:pPr>
              <w:pStyle w:val="null3"/>
              <w:jc w:val="both"/>
            </w:pPr>
            <w:r>
              <w:rPr>
                <w:rFonts w:ascii="宋体" w:hAnsi="宋体" w:cs="宋体" w:eastAsia="宋体"/>
                <w:sz w:val="20"/>
              </w:rPr>
              <w:t>（</w:t>
            </w:r>
            <w:r>
              <w:rPr>
                <w:rFonts w:ascii="宋体" w:hAnsi="宋体" w:cs="宋体" w:eastAsia="宋体"/>
                <w:sz w:val="20"/>
              </w:rPr>
              <w:t>5）具备历史运动轨迹查询，对历史运动轨迹路线进行编辑可形成新的运动轨迹路线等功能。</w:t>
            </w:r>
          </w:p>
          <w:p>
            <w:pPr>
              <w:pStyle w:val="null3"/>
              <w:jc w:val="both"/>
            </w:pPr>
            <w:r>
              <w:rPr>
                <w:rFonts w:ascii="宋体" w:hAnsi="宋体" w:cs="宋体" w:eastAsia="宋体"/>
                <w:sz w:val="20"/>
              </w:rPr>
              <w:t>（</w:t>
            </w:r>
            <w:r>
              <w:rPr>
                <w:rFonts w:ascii="宋体" w:hAnsi="宋体" w:cs="宋体" w:eastAsia="宋体"/>
                <w:sz w:val="20"/>
              </w:rPr>
              <w:t>6）具备软件安全报警功能。</w:t>
            </w:r>
          </w:p>
          <w:p>
            <w:pPr>
              <w:pStyle w:val="null3"/>
              <w:jc w:val="both"/>
            </w:pPr>
            <w:r>
              <w:rPr>
                <w:rFonts w:ascii="宋体" w:hAnsi="宋体" w:cs="宋体" w:eastAsia="宋体"/>
                <w:sz w:val="20"/>
              </w:rPr>
              <w:t>（</w:t>
            </w:r>
            <w:r>
              <w:rPr>
                <w:rFonts w:ascii="宋体" w:hAnsi="宋体" w:cs="宋体" w:eastAsia="宋体"/>
                <w:sz w:val="20"/>
              </w:rPr>
              <w:t>7）具有与相连软硬件设备实时交互功能，完成多设备协同控制及运动功能。</w:t>
            </w:r>
          </w:p>
        </w:tc>
      </w:tr>
    </w:tbl>
    <w:p>
      <w:pPr>
        <w:pStyle w:val="null3"/>
        <w:outlineLvl w:val="2"/>
      </w:pPr>
      <w:r>
        <w:rPr>
          <w:sz w:val="28"/>
          <w:b/>
        </w:rPr>
        <w:t>3.2.3人员配置要求</w:t>
      </w:r>
    </w:p>
    <w:p>
      <w:pPr>
        <w:pStyle w:val="null3"/>
      </w:pPr>
      <w:r>
        <w:rPr/>
        <w:t>采购包1：</w:t>
      </w:r>
    </w:p>
    <w:p>
      <w:pPr>
        <w:pStyle w:val="null3"/>
      </w:pPr>
      <w:r>
        <w:rPr/>
        <w:t>满足采购人要求。</w:t>
      </w:r>
    </w:p>
    <w:p>
      <w:pPr>
        <w:pStyle w:val="null3"/>
        <w:outlineLvl w:val="2"/>
      </w:pPr>
      <w:r>
        <w:rPr>
          <w:sz w:val="28"/>
          <w:b/>
        </w:rPr>
        <w:t>3.2.4设施设备要求</w:t>
      </w:r>
    </w:p>
    <w:p>
      <w:pPr>
        <w:pStyle w:val="null3"/>
      </w:pPr>
      <w:r>
        <w:rPr/>
        <w:t>采购包1：</w:t>
      </w:r>
    </w:p>
    <w:p>
      <w:pPr>
        <w:pStyle w:val="null3"/>
      </w:pPr>
      <w:r>
        <w:rPr/>
        <w:t>满足采购人要求。</w:t>
      </w:r>
    </w:p>
    <w:p>
      <w:pPr>
        <w:pStyle w:val="null3"/>
        <w:outlineLvl w:val="2"/>
      </w:pPr>
      <w:r>
        <w:rPr>
          <w:sz w:val="28"/>
          <w:b/>
        </w:rPr>
        <w:t>3.2.5其他要求</w:t>
      </w:r>
    </w:p>
    <w:p>
      <w:pPr>
        <w:pStyle w:val="null3"/>
      </w:pPr>
      <w:r>
        <w:rPr/>
        <w:t>采购包1：</w:t>
      </w:r>
    </w:p>
    <w:p>
      <w:pPr>
        <w:pStyle w:val="null3"/>
      </w:pPr>
      <w:r>
        <w:rPr/>
        <w:t>（1）培训要求 供应商提供不少于 4 次的相关技术内容培训，培训内容包括使用、安装、配置、维护和操作等，培训派出的培训教员应具有丰富的使用经验；提供培训所需的文字资料及相关材料。 （2）售后服务及质保期 售后服务:在保修期限内，质保期内提供 5 小时上门、7*24 小时电话、 网络远程技术支持等。 质保期:项目验收合格后3年，其他部分质保期按照国家等相关规定执行。 （3）包装和运输 符合《商品包装政府采购需求标准（试行）》《快递包装政府采购需求标准 （试行）》《陕西省财政厅关于进一步加强政府绿色采购有关问题的通知》。</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50天内完成项目全部研制工作</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根据技术内容要求验收 ，满足采购人要求及内容。</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按下列比例支付价款：验收合格后乙方提供税率6%的全额增值税专用发票后10个工作日内支付</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根据竞争性磋商文件要求，响应文件及合同约定执行。</w:t>
      </w:r>
    </w:p>
    <w:p>
      <w:pPr>
        <w:pStyle w:val="null3"/>
        <w:outlineLvl w:val="2"/>
      </w:pPr>
      <w:r>
        <w:rPr>
          <w:sz w:val="28"/>
          <w:b/>
        </w:rPr>
        <w:t>3.4其他要求</w:t>
      </w:r>
    </w:p>
    <w:p>
      <w:pPr>
        <w:pStyle w:val="null3"/>
      </w:pPr>
      <w:r>
        <w:rPr/>
        <w:t>1、请成交单位在领取成交通知书前将纸质版响应文件正本 1 份、副本 2 份、电子版1份(U 盘或光盘，标明供应商名称)打印盖章后提交至采购代理机构处，以便采购人进行留存备案等工作，成交单位应保持响应文件纸质版内容与电子版内容完全一致，否则将承担一切法律责任。 2、本项目为专门面向中小企业项目，供应商应为中型企业、小型企业、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 （2）法定代表人授权委托书（附法定代表人身份证复印件及被授权人身份证复印件），法定代表人直接参加磋商只须提供法定代表人证明书； （3）财务状况报告：提供具有财务审计资质单位出具的2022年度或者2023年度财务报告（成立时间至磋商截止时间不足一年的可提供成立后任意时段的资产负债表），或者磋商截止时间六个月内基本开户银行出具的资信证明（附基本账户信息证明），或者政府采购信用担保机构出具的投标担保函； （4）税收缴纳证明：提供响应文件递交截止时间前一年内已缴纳的至少三个月的有效缴税凭证（成立时间至磋商截止时间不足三个月的，至少提供一个月的有效纳税凭证）；（依法免税的供应商应提供相关文件证明）； （5）社会保障资金缴纳证明：提供响应文件递交截止时间前一年内已缴存的至少三个月的有效缴存单据或社保机构开具的社会保险参保缴费情况证明；（依法不需要缴纳社会保障资金的供应商应提供相关证明） （6）供应商提供具备履行合同所必需的设备和专业技术能力的承诺函； （7）供应商参加本次采购前3年内，在经营活动中没有重大违法记录的书面声明。 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提供2022年度或者2023年度经审计的供应商财务会计报告或者银行资信证明，供应商成立不到1年的，可提供企业任意时段财务报表，供应商需在项目电子化交易系统中按要求上传相应证明文件并进行电子签章。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供应商信用要求</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分项报价表 标的清单 报价表</w:t>
            </w:r>
          </w:p>
        </w:tc>
      </w:tr>
      <w:tr>
        <w:tc>
          <w:tcPr>
            <w:tcW w:type="dxa" w:w="831"/>
          </w:tcPr>
          <w:p>
            <w:pPr>
              <w:pStyle w:val="null3"/>
            </w:pPr>
            <w:r>
              <w:rPr/>
              <w:t>2</w:t>
            </w:r>
          </w:p>
        </w:tc>
        <w:tc>
          <w:tcPr>
            <w:tcW w:type="dxa" w:w="2492"/>
          </w:tcPr>
          <w:p>
            <w:pPr>
              <w:pStyle w:val="null3"/>
            </w:pPr>
            <w:r>
              <w:rPr/>
              <w:t>供应商名称是否与营业执照一致</w:t>
            </w:r>
          </w:p>
        </w:tc>
        <w:tc>
          <w:tcPr>
            <w:tcW w:type="dxa" w:w="3322"/>
          </w:tcPr>
          <w:p>
            <w:pPr>
              <w:pStyle w:val="null3"/>
            </w:pPr>
            <w:r>
              <w:rPr/>
              <w:t>供应商名称与营业执照一致</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响应总报价是否超过预算或最高限价</w:t>
            </w:r>
          </w:p>
        </w:tc>
        <w:tc>
          <w:tcPr>
            <w:tcW w:type="dxa" w:w="3322"/>
          </w:tcPr>
          <w:p>
            <w:pPr>
              <w:pStyle w:val="null3"/>
            </w:pPr>
            <w:r>
              <w:rPr/>
              <w:t>响应总报价未超过预算或最高限价</w:t>
            </w:r>
          </w:p>
        </w:tc>
        <w:tc>
          <w:tcPr>
            <w:tcW w:type="dxa" w:w="1661"/>
          </w:tcPr>
          <w:p>
            <w:pPr>
              <w:pStyle w:val="null3"/>
            </w:pPr>
            <w:r>
              <w:rPr/>
              <w:t>响应文件封面 分项报价表 标的清单 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均符合竞争性磋商文件要求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所投内容是否完整</w:t>
            </w:r>
          </w:p>
        </w:tc>
        <w:tc>
          <w:tcPr>
            <w:tcW w:type="dxa" w:w="3322"/>
          </w:tcPr>
          <w:p>
            <w:pPr>
              <w:pStyle w:val="null3"/>
            </w:pPr>
            <w:r>
              <w:rPr/>
              <w:t>所投内容完整</w:t>
            </w:r>
          </w:p>
        </w:tc>
        <w:tc>
          <w:tcPr>
            <w:tcW w:type="dxa" w:w="1661"/>
          </w:tcPr>
          <w:p>
            <w:pPr>
              <w:pStyle w:val="null3"/>
            </w:pPr>
            <w:r>
              <w:rPr/>
              <w:t>服务内容及服务邀请应答表 分项报价表 中小企业声明函 业绩 商务应答表 供应商应提交的相关资格证明材料 报价表 响应文件封面 残疾人福利性单位声明函 服务方案 标的清单 《拒绝政府采购领域商业贿赂承诺书》 响应函 监狱企业的证明文件</w:t>
            </w:r>
          </w:p>
        </w:tc>
      </w:tr>
      <w:tr>
        <w:tc>
          <w:tcPr>
            <w:tcW w:type="dxa" w:w="831"/>
          </w:tcPr>
          <w:p>
            <w:pPr>
              <w:pStyle w:val="null3"/>
            </w:pPr>
            <w:r>
              <w:rPr/>
              <w:t>6</w:t>
            </w:r>
          </w:p>
        </w:tc>
        <w:tc>
          <w:tcPr>
            <w:tcW w:type="dxa" w:w="2492"/>
          </w:tcPr>
          <w:p>
            <w:pPr>
              <w:pStyle w:val="null3"/>
            </w:pPr>
            <w:r>
              <w:rPr/>
              <w:t>响应文件有效性</w:t>
            </w:r>
          </w:p>
        </w:tc>
        <w:tc>
          <w:tcPr>
            <w:tcW w:type="dxa" w:w="3322"/>
          </w:tcPr>
          <w:p>
            <w:pPr>
              <w:pStyle w:val="null3"/>
            </w:pPr>
            <w:r>
              <w:rPr/>
              <w:t>符合竞争性磋商文件的要求</w:t>
            </w:r>
          </w:p>
        </w:tc>
        <w:tc>
          <w:tcPr>
            <w:tcW w:type="dxa" w:w="1661"/>
          </w:tcPr>
          <w:p>
            <w:pPr>
              <w:pStyle w:val="null3"/>
            </w:pPr>
            <w:r>
              <w:rPr/>
              <w:t>服务内容及服务邀请应答表 分项报价表 中小企业声明函 业绩 商务应答表 供应商应提交的相关资格证明材料 报价表 响应文件封面 残疾人福利性单位声明函 服务方案 标的清单 《拒绝政府采购领域商业贿赂承诺书》 响应函 监狱企业的证明文件</w:t>
            </w:r>
          </w:p>
        </w:tc>
      </w:tr>
      <w:tr>
        <w:tc>
          <w:tcPr>
            <w:tcW w:type="dxa" w:w="831"/>
          </w:tcPr>
          <w:p>
            <w:pPr>
              <w:pStyle w:val="null3"/>
            </w:pPr>
            <w:r>
              <w:rPr/>
              <w:t>7</w:t>
            </w:r>
          </w:p>
        </w:tc>
        <w:tc>
          <w:tcPr>
            <w:tcW w:type="dxa" w:w="2492"/>
          </w:tcPr>
          <w:p>
            <w:pPr>
              <w:pStyle w:val="null3"/>
            </w:pPr>
            <w:r>
              <w:rPr/>
              <w:t>签字盖章是否满足竞争性磋商文件要求</w:t>
            </w:r>
          </w:p>
        </w:tc>
        <w:tc>
          <w:tcPr>
            <w:tcW w:type="dxa" w:w="3322"/>
          </w:tcPr>
          <w:p>
            <w:pPr>
              <w:pStyle w:val="null3"/>
            </w:pPr>
            <w:r>
              <w:rPr/>
              <w:t>签字盖章均符合竞争性磋商文件要求，且无遗漏</w:t>
            </w:r>
          </w:p>
        </w:tc>
        <w:tc>
          <w:tcPr>
            <w:tcW w:type="dxa" w:w="1661"/>
          </w:tcPr>
          <w:p>
            <w:pPr>
              <w:pStyle w:val="null3"/>
            </w:pPr>
            <w:r>
              <w:rPr/>
              <w:t>服务内容及服务邀请应答表 分项报价表 中小企业声明函 业绩 商务应答表 供应商应提交的相关资格证明材料 报价表 响应文件封面 残疾人福利性单位声明函 服务方案 标的清单 《拒绝政府采购领域商业贿赂承诺书》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技术参数的响应程度</w:t>
            </w:r>
          </w:p>
        </w:tc>
        <w:tc>
          <w:tcPr>
            <w:tcW w:type="dxa" w:w="2492"/>
          </w:tcPr>
          <w:p>
            <w:pPr>
              <w:pStyle w:val="null3"/>
            </w:pPr>
            <w:r>
              <w:rPr/>
              <w:t>技术参数清楚、明确，完全满足磋商文件要求得15分，经磋商小组评审明显优于磋商文件要求，横向比较得15-20分；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p>
            <w:pPr>
              <w:pStyle w:val="null3"/>
            </w:pPr>
            <w:r>
              <w:rPr/>
              <w:t>《拒绝政府采购领域商业贿赂承诺书》</w:t>
            </w:r>
          </w:p>
        </w:tc>
      </w:tr>
      <w:tr>
        <w:tc>
          <w:tcPr>
            <w:tcW w:type="dxa" w:w="831"/>
            <w:vMerge/>
          </w:tcPr>
          <w:p/>
        </w:tc>
        <w:tc>
          <w:tcPr>
            <w:tcW w:type="dxa" w:w="1661"/>
          </w:tcPr>
          <w:p>
            <w:pPr>
              <w:pStyle w:val="null3"/>
            </w:pPr>
            <w:r>
              <w:rPr/>
              <w:t>总体设计、实施方案</w:t>
            </w:r>
          </w:p>
        </w:tc>
        <w:tc>
          <w:tcPr>
            <w:tcW w:type="dxa" w:w="2492"/>
          </w:tcPr>
          <w:p>
            <w:pPr>
              <w:pStyle w:val="null3"/>
            </w:pPr>
            <w:r>
              <w:rPr/>
              <w:t>根据采购内容及要求，详细阐述方案的实现思路和关键技术，以及对实施计划的建议。优得23-25分，良得20-23分，一般的得15-20分。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p>
            <w:pPr>
              <w:pStyle w:val="null3"/>
            </w:pPr>
            <w:r>
              <w:rPr/>
              <w:t>《拒绝政府采购领域商业贿赂承诺书》</w:t>
            </w:r>
          </w:p>
        </w:tc>
      </w:tr>
      <w:tr>
        <w:tc>
          <w:tcPr>
            <w:tcW w:type="dxa" w:w="831"/>
            <w:vMerge/>
          </w:tcPr>
          <w:p/>
        </w:tc>
        <w:tc>
          <w:tcPr>
            <w:tcW w:type="dxa" w:w="1661"/>
          </w:tcPr>
          <w:p>
            <w:pPr>
              <w:pStyle w:val="null3"/>
            </w:pPr>
            <w:r>
              <w:rPr/>
              <w:t>服务质量、技术文档、保密要求</w:t>
            </w:r>
          </w:p>
        </w:tc>
        <w:tc>
          <w:tcPr>
            <w:tcW w:type="dxa" w:w="2492"/>
          </w:tcPr>
          <w:p>
            <w:pPr>
              <w:pStyle w:val="null3"/>
            </w:pPr>
            <w:r>
              <w:rPr/>
              <w:t>针对本项目有完善的服务质量保障体系，机构设置合理，质量承诺，技术文档保密措施，管理手段先进，措施具体，操作性强，优得4-5分，良得3-4分，一般的得1-3分。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《拒绝政府采购领域商业贿赂承诺书》</w:t>
            </w:r>
          </w:p>
          <w:p>
            <w:pPr>
              <w:pStyle w:val="null3"/>
            </w:pPr>
            <w:r>
              <w:rPr/>
              <w:t>服务内容及服务邀请应答表</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根据各供应商的售后服务承诺、维护保修计划（包括具体的售后服务内容、响应方式、响应时间、故障服务管理、问题管理、设备返修管理等）进行评审按差别计分。 售后服务措施和承诺详细可行，得4-5分； 售后服务措施和承诺较完善，得2-4分； 售后服务措施和承诺较差或未提供，得0-2分。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《拒绝政府采购领域商业贿赂承诺书》</w:t>
            </w:r>
          </w:p>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满足服务期要求，进度安排合理，关键路径工序编排合理者，优得4-5分，良得3-4分，一般的得1-3分。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p>
            <w:pPr>
              <w:pStyle w:val="null3"/>
            </w:pPr>
            <w:r>
              <w:rPr/>
              <w:t>《拒绝政府采购领域商业贿赂承诺书》</w:t>
            </w:r>
          </w:p>
        </w:tc>
      </w:tr>
      <w:tr>
        <w:tc>
          <w:tcPr>
            <w:tcW w:type="dxa" w:w="831"/>
            <w:vMerge/>
          </w:tcPr>
          <w:p/>
        </w:tc>
        <w:tc>
          <w:tcPr>
            <w:tcW w:type="dxa" w:w="1661"/>
          </w:tcPr>
          <w:p>
            <w:pPr>
              <w:pStyle w:val="null3"/>
            </w:pPr>
            <w:r>
              <w:rPr/>
              <w:t>其他商务条款响应</w:t>
            </w:r>
          </w:p>
        </w:tc>
        <w:tc>
          <w:tcPr>
            <w:tcW w:type="dxa" w:w="2492"/>
          </w:tcPr>
          <w:p>
            <w:pPr>
              <w:pStyle w:val="null3"/>
            </w:pPr>
            <w:r>
              <w:rPr/>
              <w:t>服务期、服务地点、付款计划全部响应得5分；每有一项不满足扣1分。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p>
            <w:pPr>
              <w:pStyle w:val="null3"/>
            </w:pPr>
            <w:r>
              <w:rPr/>
              <w:t>《拒绝政府采购领域商业贿赂承诺书》</w:t>
            </w:r>
          </w:p>
        </w:tc>
      </w:tr>
      <w:tr>
        <w:tc>
          <w:tcPr>
            <w:tcW w:type="dxa" w:w="831"/>
            <w:vMerge/>
          </w:tcPr>
          <w:p/>
        </w:tc>
        <w:tc>
          <w:tcPr>
            <w:tcW w:type="dxa" w:w="1661"/>
          </w:tcPr>
          <w:p>
            <w:pPr>
              <w:pStyle w:val="null3"/>
            </w:pPr>
            <w:r>
              <w:rPr/>
              <w:t>业绩</w:t>
            </w:r>
          </w:p>
        </w:tc>
        <w:tc>
          <w:tcPr>
            <w:tcW w:type="dxa" w:w="2492"/>
          </w:tcPr>
          <w:p>
            <w:pPr>
              <w:pStyle w:val="null3"/>
            </w:pPr>
            <w:r>
              <w:rPr/>
              <w:t>供应商提供自2016年1月1日至今（以签订合同时间为准）类似项目业绩(以合同复印件为准)，每提供一份有效业绩证明得1分，最高得5分。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 最低评审价为评审基准价，得30分。 2. 按（评审基准价/评审价×30）的公式计算价格得分。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详见附件：业绩</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