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81626B">
      <w:pPr>
        <w:spacing w:line="360" w:lineRule="auto"/>
        <w:jc w:val="center"/>
        <w:rPr>
          <w:rFonts w:hint="eastAsia" w:ascii="宋体" w:hAnsi="宋体" w:eastAsia="宋体" w:cs="宋体"/>
          <w:color w:val="auto"/>
          <w:sz w:val="32"/>
        </w:rPr>
      </w:pPr>
      <w:r>
        <w:rPr>
          <w:rFonts w:hint="eastAsia" w:ascii="宋体" w:hAnsi="宋体" w:eastAsia="宋体" w:cs="宋体"/>
          <w:color w:val="auto"/>
          <w:sz w:val="32"/>
          <w:lang w:val="en-US" w:eastAsia="zh-CN"/>
        </w:rPr>
        <w:t>西北大学</w:t>
      </w:r>
      <w:r>
        <w:rPr>
          <w:rFonts w:hint="eastAsia" w:ascii="宋体" w:hAnsi="宋体" w:eastAsia="宋体" w:cs="宋体"/>
          <w:color w:val="auto"/>
          <w:sz w:val="32"/>
        </w:rPr>
        <w:t>购货合同</w:t>
      </w:r>
      <w:bookmarkStart w:id="0" w:name="_GoBack"/>
      <w:bookmarkEnd w:id="0"/>
    </w:p>
    <w:p w14:paraId="647DD01E">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(国产合同模板)</w:t>
      </w:r>
    </w:p>
    <w:p w14:paraId="0FE503F7">
      <w:pPr>
        <w:spacing w:line="360" w:lineRule="auto"/>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特别说明：以下内容只作为合同基本条款，在签订具体项目购货合同时，请根据项目实际情况再签订技术协议作为合同的附件。</w:t>
      </w:r>
    </w:p>
    <w:p w14:paraId="49626EA8">
      <w:pPr>
        <w:bidi w:val="0"/>
        <w:rPr>
          <w:rFonts w:hint="eastAsia"/>
          <w:color w:val="auto"/>
          <w:sz w:val="24"/>
          <w:szCs w:val="24"/>
        </w:rPr>
      </w:pPr>
    </w:p>
    <w:p w14:paraId="24033E7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根据《中华人民共和国政府采购法》、《中华人民共和国</w:t>
      </w:r>
      <w:r>
        <w:rPr>
          <w:rFonts w:hint="eastAsia" w:ascii="宋体" w:hAnsi="宋体" w:eastAsia="宋体" w:cs="宋体"/>
          <w:color w:val="auto"/>
          <w:sz w:val="24"/>
          <w:szCs w:val="24"/>
          <w:lang w:val="en-US" w:eastAsia="zh-CN"/>
        </w:rPr>
        <w:t>民法典</w:t>
      </w:r>
      <w:r>
        <w:rPr>
          <w:rFonts w:hint="eastAsia" w:ascii="宋体" w:hAnsi="宋体" w:eastAsia="宋体" w:cs="宋体"/>
          <w:color w:val="auto"/>
          <w:sz w:val="24"/>
          <w:szCs w:val="24"/>
        </w:rPr>
        <w:t>》及有关法律规定，遵循平等、自愿、公平和诚实信用的原则，西北大学（甲方）与××××公司（乙方）就西北大学××××学院（系）购置的××××等</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（招标编号：</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）经双方协商达成如下合同条款：</w:t>
      </w:r>
    </w:p>
    <w:p w14:paraId="5787C9B6">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一、合同内容</w:t>
      </w:r>
    </w:p>
    <w:p w14:paraId="61C85DC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乙方按本合同中确定的</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名称、型号与规格、产地、数量及配套内容进行供货；乙方按时将货物运送到甲方指定的地点，负责到货</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的安装与调试，达到正常使用；乙方负责为甲方培训操作、维护人员，质保期内负责指导</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的操作使用和保养维修，做好售后服务工作。甲方在乙方完成合同明确规定的责任和义务后，按合同要求付给乙方相应的货款。</w:t>
      </w:r>
    </w:p>
    <w:p w14:paraId="599768D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1、购置清单</w:t>
      </w:r>
    </w:p>
    <w:tbl>
      <w:tblPr>
        <w:tblStyle w:val="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06"/>
        <w:gridCol w:w="1715"/>
        <w:gridCol w:w="1847"/>
        <w:gridCol w:w="910"/>
        <w:gridCol w:w="786"/>
        <w:gridCol w:w="1236"/>
        <w:gridCol w:w="1236"/>
      </w:tblGrid>
      <w:tr w14:paraId="572E449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63" w:hRule="atLeast"/>
          <w:jc w:val="center"/>
        </w:trPr>
        <w:tc>
          <w:tcPr>
            <w:tcW w:w="1706" w:type="dxa"/>
            <w:tcBorders>
              <w:top w:val="single" w:color="auto" w:sz="4" w:space="0"/>
              <w:left w:val="single" w:color="auto" w:sz="4" w:space="0"/>
              <w:bottom w:val="single" w:color="auto" w:sz="4" w:space="0"/>
              <w:right w:val="single" w:color="auto" w:sz="4" w:space="0"/>
            </w:tcBorders>
            <w:noWrap w:val="0"/>
            <w:vAlign w:val="center"/>
          </w:tcPr>
          <w:p w14:paraId="6816F78C">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名称</w:t>
            </w:r>
          </w:p>
        </w:tc>
        <w:tc>
          <w:tcPr>
            <w:tcW w:w="1715" w:type="dxa"/>
            <w:tcBorders>
              <w:top w:val="single" w:color="auto" w:sz="4" w:space="0"/>
              <w:left w:val="single" w:color="auto" w:sz="4" w:space="0"/>
              <w:bottom w:val="single" w:color="auto" w:sz="4" w:space="0"/>
              <w:right w:val="single" w:color="auto" w:sz="4" w:space="0"/>
            </w:tcBorders>
            <w:noWrap w:val="0"/>
            <w:vAlign w:val="center"/>
          </w:tcPr>
          <w:p w14:paraId="37DE1E8B">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型号与规格</w:t>
            </w:r>
          </w:p>
        </w:tc>
        <w:tc>
          <w:tcPr>
            <w:tcW w:w="1847" w:type="dxa"/>
            <w:tcBorders>
              <w:top w:val="single" w:color="auto" w:sz="4" w:space="0"/>
              <w:left w:val="single" w:color="auto" w:sz="4" w:space="0"/>
              <w:bottom w:val="single" w:color="auto" w:sz="4" w:space="0"/>
              <w:right w:val="single" w:color="auto" w:sz="4" w:space="0"/>
            </w:tcBorders>
            <w:noWrap w:val="0"/>
            <w:vAlign w:val="center"/>
          </w:tcPr>
          <w:p w14:paraId="0B432E19">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生产商、产地</w:t>
            </w:r>
          </w:p>
        </w:tc>
        <w:tc>
          <w:tcPr>
            <w:tcW w:w="910" w:type="dxa"/>
            <w:tcBorders>
              <w:top w:val="single" w:color="auto" w:sz="4" w:space="0"/>
              <w:left w:val="single" w:color="auto" w:sz="4" w:space="0"/>
              <w:bottom w:val="single" w:color="auto" w:sz="4" w:space="0"/>
              <w:right w:val="single" w:color="auto" w:sz="4" w:space="0"/>
            </w:tcBorders>
            <w:noWrap w:val="0"/>
            <w:vAlign w:val="center"/>
          </w:tcPr>
          <w:p w14:paraId="7196FE55">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数量</w:t>
            </w:r>
          </w:p>
        </w:tc>
        <w:tc>
          <w:tcPr>
            <w:tcW w:w="786" w:type="dxa"/>
            <w:tcBorders>
              <w:top w:val="single" w:color="auto" w:sz="4" w:space="0"/>
              <w:left w:val="single" w:color="auto" w:sz="4" w:space="0"/>
              <w:bottom w:val="single" w:color="auto" w:sz="4" w:space="0"/>
              <w:right w:val="single" w:color="auto" w:sz="4" w:space="0"/>
            </w:tcBorders>
            <w:noWrap w:val="0"/>
            <w:vAlign w:val="center"/>
          </w:tcPr>
          <w:p w14:paraId="0DCBD845">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单位</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2497235C">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单价</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lang w:eastAsia="zh-CN"/>
              </w:rPr>
              <w:t>）</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6E8502DC">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总价</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lang w:eastAsia="zh-CN"/>
              </w:rPr>
              <w:t>）</w:t>
            </w:r>
          </w:p>
        </w:tc>
      </w:tr>
      <w:tr w14:paraId="4473DFE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1706" w:type="dxa"/>
            <w:tcBorders>
              <w:top w:val="single" w:color="auto" w:sz="4" w:space="0"/>
              <w:left w:val="single" w:color="auto" w:sz="4" w:space="0"/>
              <w:bottom w:val="single" w:color="auto" w:sz="4" w:space="0"/>
              <w:right w:val="single" w:color="auto" w:sz="4" w:space="0"/>
            </w:tcBorders>
            <w:noWrap w:val="0"/>
            <w:vAlign w:val="top"/>
          </w:tcPr>
          <w:p w14:paraId="67082202">
            <w:pPr>
              <w:spacing w:line="360" w:lineRule="auto"/>
              <w:rPr>
                <w:rFonts w:hint="eastAsia" w:ascii="宋体" w:hAnsi="宋体" w:eastAsia="宋体" w:cs="宋体"/>
                <w:color w:val="auto"/>
                <w:sz w:val="24"/>
                <w:szCs w:val="24"/>
              </w:rPr>
            </w:pPr>
          </w:p>
        </w:tc>
        <w:tc>
          <w:tcPr>
            <w:tcW w:w="1715" w:type="dxa"/>
            <w:tcBorders>
              <w:top w:val="single" w:color="auto" w:sz="4" w:space="0"/>
              <w:left w:val="single" w:color="auto" w:sz="4" w:space="0"/>
              <w:bottom w:val="single" w:color="auto" w:sz="4" w:space="0"/>
              <w:right w:val="single" w:color="auto" w:sz="4" w:space="0"/>
            </w:tcBorders>
            <w:noWrap w:val="0"/>
            <w:vAlign w:val="top"/>
          </w:tcPr>
          <w:p w14:paraId="0EC20637">
            <w:pPr>
              <w:spacing w:line="360" w:lineRule="auto"/>
              <w:rPr>
                <w:rFonts w:hint="eastAsia" w:ascii="宋体" w:hAnsi="宋体" w:eastAsia="宋体" w:cs="宋体"/>
                <w:color w:val="auto"/>
                <w:sz w:val="24"/>
                <w:szCs w:val="24"/>
              </w:rPr>
            </w:pPr>
          </w:p>
        </w:tc>
        <w:tc>
          <w:tcPr>
            <w:tcW w:w="1847" w:type="dxa"/>
            <w:tcBorders>
              <w:top w:val="single" w:color="auto" w:sz="4" w:space="0"/>
              <w:left w:val="single" w:color="auto" w:sz="4" w:space="0"/>
              <w:bottom w:val="single" w:color="auto" w:sz="4" w:space="0"/>
              <w:right w:val="single" w:color="auto" w:sz="4" w:space="0"/>
            </w:tcBorders>
            <w:noWrap w:val="0"/>
            <w:vAlign w:val="top"/>
          </w:tcPr>
          <w:p w14:paraId="24EE6893">
            <w:pPr>
              <w:spacing w:line="360" w:lineRule="auto"/>
              <w:rPr>
                <w:rFonts w:hint="eastAsia" w:ascii="宋体" w:hAnsi="宋体" w:eastAsia="宋体" w:cs="宋体"/>
                <w:color w:val="auto"/>
                <w:sz w:val="24"/>
                <w:szCs w:val="24"/>
              </w:rPr>
            </w:pPr>
          </w:p>
        </w:tc>
        <w:tc>
          <w:tcPr>
            <w:tcW w:w="910" w:type="dxa"/>
            <w:tcBorders>
              <w:top w:val="single" w:color="auto" w:sz="4" w:space="0"/>
              <w:left w:val="single" w:color="auto" w:sz="4" w:space="0"/>
              <w:bottom w:val="single" w:color="auto" w:sz="4" w:space="0"/>
              <w:right w:val="single" w:color="auto" w:sz="4" w:space="0"/>
            </w:tcBorders>
            <w:noWrap w:val="0"/>
            <w:vAlign w:val="top"/>
          </w:tcPr>
          <w:p w14:paraId="6EACE98A">
            <w:pPr>
              <w:spacing w:line="360" w:lineRule="auto"/>
              <w:rPr>
                <w:rFonts w:hint="eastAsia" w:ascii="宋体" w:hAnsi="宋体" w:eastAsia="宋体" w:cs="宋体"/>
                <w:color w:val="auto"/>
                <w:sz w:val="24"/>
                <w:szCs w:val="24"/>
              </w:rPr>
            </w:pPr>
          </w:p>
        </w:tc>
        <w:tc>
          <w:tcPr>
            <w:tcW w:w="786" w:type="dxa"/>
            <w:tcBorders>
              <w:top w:val="single" w:color="auto" w:sz="4" w:space="0"/>
              <w:left w:val="single" w:color="auto" w:sz="4" w:space="0"/>
              <w:bottom w:val="single" w:color="auto" w:sz="4" w:space="0"/>
              <w:right w:val="single" w:color="auto" w:sz="4" w:space="0"/>
            </w:tcBorders>
            <w:noWrap w:val="0"/>
            <w:vAlign w:val="top"/>
          </w:tcPr>
          <w:p w14:paraId="3EA6D4FC">
            <w:pPr>
              <w:spacing w:line="360" w:lineRule="auto"/>
              <w:rPr>
                <w:rFonts w:hint="eastAsia" w:ascii="宋体" w:hAnsi="宋体" w:eastAsia="宋体" w:cs="宋体"/>
                <w:color w:val="auto"/>
                <w:sz w:val="24"/>
                <w:szCs w:val="24"/>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51F95128">
            <w:pPr>
              <w:spacing w:line="360" w:lineRule="auto"/>
              <w:rPr>
                <w:rFonts w:hint="eastAsia" w:ascii="宋体" w:hAnsi="宋体" w:eastAsia="宋体" w:cs="宋体"/>
                <w:color w:val="auto"/>
                <w:sz w:val="24"/>
                <w:szCs w:val="24"/>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187E51F7">
            <w:pPr>
              <w:spacing w:line="360" w:lineRule="auto"/>
              <w:rPr>
                <w:rFonts w:hint="eastAsia" w:ascii="宋体" w:hAnsi="宋体" w:eastAsia="宋体" w:cs="宋体"/>
                <w:color w:val="auto"/>
                <w:sz w:val="24"/>
                <w:szCs w:val="24"/>
              </w:rPr>
            </w:pPr>
          </w:p>
        </w:tc>
      </w:tr>
      <w:tr w14:paraId="4B6ACD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1706" w:type="dxa"/>
            <w:tcBorders>
              <w:top w:val="single" w:color="auto" w:sz="4" w:space="0"/>
              <w:left w:val="single" w:color="auto" w:sz="4" w:space="0"/>
              <w:bottom w:val="single" w:color="auto" w:sz="4" w:space="0"/>
              <w:right w:val="single" w:color="auto" w:sz="4" w:space="0"/>
            </w:tcBorders>
            <w:noWrap w:val="0"/>
            <w:vAlign w:val="center"/>
          </w:tcPr>
          <w:p w14:paraId="16628391">
            <w:pPr>
              <w:spacing w:line="360" w:lineRule="auto"/>
              <w:rPr>
                <w:rFonts w:hint="eastAsia" w:ascii="宋体" w:hAnsi="宋体" w:eastAsia="宋体" w:cs="宋体"/>
                <w:color w:val="auto"/>
                <w:sz w:val="24"/>
                <w:szCs w:val="24"/>
              </w:rPr>
            </w:pPr>
          </w:p>
        </w:tc>
        <w:tc>
          <w:tcPr>
            <w:tcW w:w="1715" w:type="dxa"/>
            <w:tcBorders>
              <w:top w:val="single" w:color="auto" w:sz="4" w:space="0"/>
              <w:left w:val="single" w:color="auto" w:sz="4" w:space="0"/>
              <w:bottom w:val="single" w:color="auto" w:sz="4" w:space="0"/>
              <w:right w:val="single" w:color="auto" w:sz="4" w:space="0"/>
            </w:tcBorders>
            <w:noWrap w:val="0"/>
            <w:vAlign w:val="center"/>
          </w:tcPr>
          <w:p w14:paraId="12E1C171">
            <w:pPr>
              <w:spacing w:line="360" w:lineRule="auto"/>
              <w:rPr>
                <w:rFonts w:hint="eastAsia" w:ascii="宋体" w:hAnsi="宋体" w:eastAsia="宋体" w:cs="宋体"/>
                <w:color w:val="auto"/>
                <w:sz w:val="24"/>
                <w:szCs w:val="24"/>
              </w:rPr>
            </w:pPr>
          </w:p>
        </w:tc>
        <w:tc>
          <w:tcPr>
            <w:tcW w:w="1847" w:type="dxa"/>
            <w:tcBorders>
              <w:top w:val="single" w:color="auto" w:sz="4" w:space="0"/>
              <w:left w:val="single" w:color="auto" w:sz="4" w:space="0"/>
              <w:bottom w:val="single" w:color="auto" w:sz="4" w:space="0"/>
              <w:right w:val="single" w:color="auto" w:sz="4" w:space="0"/>
            </w:tcBorders>
            <w:noWrap w:val="0"/>
            <w:vAlign w:val="center"/>
          </w:tcPr>
          <w:p w14:paraId="687303C5">
            <w:pPr>
              <w:spacing w:line="360" w:lineRule="auto"/>
              <w:rPr>
                <w:rFonts w:hint="eastAsia" w:ascii="宋体" w:hAnsi="宋体" w:eastAsia="宋体" w:cs="宋体"/>
                <w:color w:val="auto"/>
                <w:sz w:val="24"/>
                <w:szCs w:val="24"/>
              </w:rPr>
            </w:pPr>
          </w:p>
        </w:tc>
        <w:tc>
          <w:tcPr>
            <w:tcW w:w="910" w:type="dxa"/>
            <w:tcBorders>
              <w:top w:val="single" w:color="auto" w:sz="4" w:space="0"/>
              <w:left w:val="single" w:color="auto" w:sz="4" w:space="0"/>
              <w:bottom w:val="single" w:color="auto" w:sz="4" w:space="0"/>
              <w:right w:val="single" w:color="auto" w:sz="4" w:space="0"/>
            </w:tcBorders>
            <w:noWrap w:val="0"/>
            <w:vAlign w:val="center"/>
          </w:tcPr>
          <w:p w14:paraId="4BC885D3">
            <w:pPr>
              <w:spacing w:line="360" w:lineRule="auto"/>
              <w:rPr>
                <w:rFonts w:hint="eastAsia" w:ascii="宋体" w:hAnsi="宋体" w:eastAsia="宋体" w:cs="宋体"/>
                <w:color w:val="auto"/>
                <w:sz w:val="24"/>
                <w:szCs w:val="24"/>
              </w:rPr>
            </w:pPr>
          </w:p>
        </w:tc>
        <w:tc>
          <w:tcPr>
            <w:tcW w:w="786" w:type="dxa"/>
            <w:tcBorders>
              <w:top w:val="single" w:color="auto" w:sz="4" w:space="0"/>
              <w:left w:val="single" w:color="auto" w:sz="4" w:space="0"/>
              <w:bottom w:val="single" w:color="auto" w:sz="4" w:space="0"/>
              <w:right w:val="single" w:color="auto" w:sz="4" w:space="0"/>
            </w:tcBorders>
            <w:noWrap w:val="0"/>
            <w:vAlign w:val="center"/>
          </w:tcPr>
          <w:p w14:paraId="598DFFF4">
            <w:pPr>
              <w:spacing w:line="360" w:lineRule="auto"/>
              <w:rPr>
                <w:rFonts w:hint="eastAsia" w:ascii="宋体" w:hAnsi="宋体" w:eastAsia="宋体" w:cs="宋体"/>
                <w:color w:val="auto"/>
                <w:sz w:val="24"/>
                <w:szCs w:val="24"/>
              </w:rPr>
            </w:pPr>
          </w:p>
        </w:tc>
        <w:tc>
          <w:tcPr>
            <w:tcW w:w="1236" w:type="dxa"/>
            <w:tcBorders>
              <w:top w:val="single" w:color="auto" w:sz="4" w:space="0"/>
              <w:left w:val="single" w:color="auto" w:sz="4" w:space="0"/>
              <w:bottom w:val="single" w:color="auto" w:sz="4" w:space="0"/>
              <w:right w:val="single" w:color="auto" w:sz="4" w:space="0"/>
            </w:tcBorders>
            <w:noWrap w:val="0"/>
            <w:vAlign w:val="center"/>
          </w:tcPr>
          <w:p w14:paraId="78163CF8">
            <w:pPr>
              <w:spacing w:line="360" w:lineRule="auto"/>
              <w:rPr>
                <w:rFonts w:hint="eastAsia" w:ascii="宋体" w:hAnsi="宋体" w:eastAsia="宋体" w:cs="宋体"/>
                <w:color w:val="auto"/>
                <w:sz w:val="24"/>
                <w:szCs w:val="24"/>
              </w:rPr>
            </w:pPr>
          </w:p>
        </w:tc>
        <w:tc>
          <w:tcPr>
            <w:tcW w:w="1236" w:type="dxa"/>
            <w:tcBorders>
              <w:top w:val="single" w:color="auto" w:sz="4" w:space="0"/>
              <w:left w:val="single" w:color="auto" w:sz="4" w:space="0"/>
              <w:bottom w:val="single" w:color="auto" w:sz="4" w:space="0"/>
              <w:right w:val="single" w:color="auto" w:sz="4" w:space="0"/>
            </w:tcBorders>
            <w:noWrap w:val="0"/>
            <w:vAlign w:val="center"/>
          </w:tcPr>
          <w:p w14:paraId="6D2834A9">
            <w:pPr>
              <w:spacing w:line="360" w:lineRule="auto"/>
              <w:rPr>
                <w:rFonts w:hint="eastAsia" w:ascii="宋体" w:hAnsi="宋体" w:eastAsia="宋体" w:cs="宋体"/>
                <w:color w:val="auto"/>
                <w:sz w:val="24"/>
                <w:szCs w:val="24"/>
              </w:rPr>
            </w:pPr>
          </w:p>
        </w:tc>
      </w:tr>
      <w:tr w14:paraId="298F652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6" w:hRule="atLeast"/>
          <w:jc w:val="center"/>
        </w:trPr>
        <w:tc>
          <w:tcPr>
            <w:tcW w:w="6964" w:type="dxa"/>
            <w:gridSpan w:val="5"/>
            <w:tcBorders>
              <w:top w:val="single" w:color="auto" w:sz="4" w:space="0"/>
              <w:left w:val="single" w:color="auto" w:sz="4" w:space="0"/>
              <w:bottom w:val="single" w:color="auto" w:sz="4" w:space="0"/>
              <w:right w:val="single" w:color="auto" w:sz="4" w:space="0"/>
            </w:tcBorders>
            <w:noWrap w:val="0"/>
            <w:vAlign w:val="center"/>
          </w:tcPr>
          <w:p w14:paraId="4CCCC8D1">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合计金额（大写）：</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41DDDBD4">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合计</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lang w:eastAsia="zh-CN"/>
              </w:rPr>
              <w:t>）</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4DA8AC03">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小写</w:t>
            </w:r>
          </w:p>
        </w:tc>
      </w:tr>
    </w:tbl>
    <w:p w14:paraId="55557793">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2、合同总额：</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元，是指</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到达</w:t>
      </w:r>
      <w:r>
        <w:rPr>
          <w:rFonts w:hint="eastAsia" w:ascii="宋体" w:hAnsi="宋体" w:eastAsia="宋体" w:cs="宋体"/>
          <w:color w:val="auto"/>
          <w:sz w:val="24"/>
          <w:szCs w:val="24"/>
          <w:lang w:eastAsia="zh-CN"/>
        </w:rPr>
        <w:t>西北大学指定地点</w:t>
      </w:r>
      <w:r>
        <w:rPr>
          <w:rFonts w:hint="eastAsia" w:ascii="宋体" w:hAnsi="宋体" w:eastAsia="宋体" w:cs="宋体"/>
          <w:color w:val="auto"/>
          <w:sz w:val="24"/>
          <w:szCs w:val="24"/>
        </w:rPr>
        <w:t>、完成验收后的价格，其中已包含</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价格、包装运杂费（含保险）、工程费、安装调试费及相关费用等。</w:t>
      </w:r>
    </w:p>
    <w:p w14:paraId="4D716EB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3、合同总额为一次性包死价格，不受市场价格的变化和影响，在合同不发生变更时作为付款结算的依据。</w:t>
      </w:r>
    </w:p>
    <w:p w14:paraId="5051A005">
      <w:pPr>
        <w:spacing w:line="360" w:lineRule="auto"/>
        <w:rPr>
          <w:rFonts w:hint="eastAsia" w:ascii="宋体" w:hAnsi="宋体" w:eastAsia="宋体" w:cs="宋体"/>
          <w:b/>
          <w:color w:val="auto"/>
          <w:sz w:val="24"/>
          <w:szCs w:val="24"/>
        </w:rPr>
      </w:pPr>
      <w:r>
        <w:rPr>
          <w:rFonts w:hint="eastAsia" w:ascii="宋体" w:hAnsi="宋体" w:eastAsia="宋体" w:cs="宋体"/>
          <w:color w:val="auto"/>
          <w:sz w:val="24"/>
          <w:szCs w:val="24"/>
        </w:rPr>
        <w:t>二、</w:t>
      </w:r>
      <w:r>
        <w:rPr>
          <w:rFonts w:hint="eastAsia" w:ascii="宋体" w:hAnsi="宋体" w:eastAsia="宋体" w:cs="宋体"/>
          <w:b/>
          <w:color w:val="auto"/>
          <w:sz w:val="24"/>
          <w:szCs w:val="24"/>
        </w:rPr>
        <w:t>包装运输要求</w:t>
      </w:r>
    </w:p>
    <w:p w14:paraId="14A988C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货物的运输方式由乙方自行选择，但包装必须符合国家标准或行业标准，满足航空、铁路或公路运输以及货物装卸要求，保证使用人收到的是无任何损伤的货物。否则，因此造成的损失由乙方自行承担</w:t>
      </w:r>
      <w:r>
        <w:rPr>
          <w:rFonts w:hint="eastAsia" w:ascii="宋体" w:hAnsi="宋体" w:eastAsia="宋体" w:cs="宋体"/>
          <w:color w:val="auto"/>
          <w:sz w:val="24"/>
          <w:szCs w:val="24"/>
        </w:rPr>
        <w:t>。</w:t>
      </w:r>
    </w:p>
    <w:p w14:paraId="2CB9923E">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三、交货时间及交货地点</w:t>
      </w:r>
    </w:p>
    <w:p w14:paraId="1BD8BEE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交货时间为本合同生效后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天内到货，货到后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日内安装调试交付使用。交货地点为西北大学××××学院（系）指定地点。</w:t>
      </w:r>
    </w:p>
    <w:p w14:paraId="3B91F730">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四、产品质量保证</w:t>
      </w:r>
    </w:p>
    <w:p w14:paraId="51C3D54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1、乙方提供的</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及配套产品，必须是合同规定厂家制造的、合格、全新、未曾使用的、且经过国家质检部门检验，并颁发了产品准销证的产品。</w:t>
      </w:r>
    </w:p>
    <w:p w14:paraId="63708C6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2、乙方提供的</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及配套产品必须等同于或优于合同技术指标要求，并能按国家标准或行业标准供应、检测、调试，确保产品技术指标满足使用要求。</w:t>
      </w:r>
    </w:p>
    <w:p w14:paraId="421653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3、产品质量保证期为</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验收合格后</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年。质保期内，乙方对所供</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免费进行质保和服务。</w:t>
      </w:r>
    </w:p>
    <w:p w14:paraId="652A59C1">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五、技术服务承诺</w:t>
      </w:r>
    </w:p>
    <w:p w14:paraId="6A32C4B9">
      <w:pPr>
        <w:pStyle w:val="4"/>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1、乙方负责提供</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相应的技术资料，包括产品合格证、产品保修单、安装使用及维护说明书以及运输装箱清单等。</w:t>
      </w:r>
    </w:p>
    <w:p w14:paraId="5B019E37">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2、人员培训：乙方免费为甲方培训</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使用人员，培训内容包括：</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操作、维护、简单维修等。</w:t>
      </w:r>
    </w:p>
    <w:p w14:paraId="103C544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3、售后服务：质保期内乙方对甲方提出的服务响应不得超出24小时。</w:t>
      </w:r>
    </w:p>
    <w:p w14:paraId="5EF11519">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六、验收方法及标准</w:t>
      </w:r>
    </w:p>
    <w:p w14:paraId="25650164">
      <w:pPr>
        <w:pStyle w:val="4"/>
        <w:spacing w:line="360" w:lineRule="auto"/>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1、验收分初次开箱验收和学校最终验收两个阶段，以最终验收为准。</w:t>
      </w:r>
    </w:p>
    <w:p w14:paraId="4CAF7B63">
      <w:pPr>
        <w:pStyle w:val="4"/>
        <w:spacing w:line="360" w:lineRule="auto"/>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货物到货后，甲、乙双方共同开箱验收。在检查货物原产地、型号、规格、配置符合合同要求后，由乙方负责安装调试、甲方负责技术验收（乙方协助），验收以国内行业标准或合同文本货物供货配置清单中描述的有关技术要求为准。</w:t>
      </w:r>
    </w:p>
    <w:p w14:paraId="550954B3">
      <w:pPr>
        <w:pStyle w:val="4"/>
        <w:spacing w:line="360" w:lineRule="auto"/>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3、学校根据最终使用单位技术验收结果，组织有关专家进行货物的最终验收。</w:t>
      </w:r>
    </w:p>
    <w:p w14:paraId="756BEE90">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七、合同款项支付方式</w:t>
      </w:r>
    </w:p>
    <w:p w14:paraId="3C6C2B6E">
      <w:pPr>
        <w:pStyle w:val="4"/>
        <w:spacing w:line="360" w:lineRule="auto"/>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合同生效后，中标供应商开具合同金额等额银行保函，采购人收到银行保函正本后预付合同货款，待货物到达指定地点、安装调试验收合格后，采购人退还银行保函正本。</w:t>
      </w:r>
    </w:p>
    <w:p w14:paraId="6724B111">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八、违约责任</w:t>
      </w:r>
    </w:p>
    <w:p w14:paraId="5A2BBEEE">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1、合同生效后，甲乙双方应按合同规定认真履约。合同履约责任只涉及合同甲乙双方，不考虑第三方因素。</w:t>
      </w:r>
    </w:p>
    <w:p w14:paraId="3F9DA6F4">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2、除不可抗力原因外，如遇下列情况之一者，乙方所缴纳的合同履约保证金甲方有权不予退还，作为对甲方的赔偿：（1）合同签订后不能按合同时限要求供货或安装调试；（2）所供</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不合格、与合同不符；（3）不能按合同履约；（4）</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验收不合格。如乙方的合同履约保证金不足以弥补甲方损失时，甲方有权要求乙方继续承担赔偿责任</w:t>
      </w:r>
      <w:r>
        <w:rPr>
          <w:rFonts w:hint="eastAsia" w:ascii="宋体" w:hAnsi="宋体" w:eastAsia="宋体" w:cs="宋体"/>
          <w:color w:val="auto"/>
          <w:sz w:val="24"/>
          <w:szCs w:val="24"/>
          <w:lang w:eastAsia="zh-CN"/>
        </w:rPr>
        <w:t>。</w:t>
      </w:r>
    </w:p>
    <w:p w14:paraId="5C9F70D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3、乙方对所供产品出现的问题推委、拖延，24小时未作出服务响应，应接受甲方的合理处罚。并且，甲方有权拒绝乙方以后参加学校竞标。</w:t>
      </w:r>
    </w:p>
    <w:p w14:paraId="7487D31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4、合同履约过程中，甲方应积极配合乙方进行</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验收以及验收前的外围配套等工作。否则，因此导致</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不能按期验收时，不能追究乙方责任；正常情况下应在</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验收合格后15天内按规定向乙方付款，最长时间不能超过30天。否则，每超过一周应向乙方支付合同应付款3‰的滞纳金。</w:t>
      </w:r>
    </w:p>
    <w:p w14:paraId="332D21E0">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九</w:t>
      </w:r>
      <w:r>
        <w:rPr>
          <w:rFonts w:hint="eastAsia" w:ascii="宋体" w:hAnsi="宋体" w:eastAsia="宋体" w:cs="宋体"/>
          <w:b/>
          <w:color w:val="auto"/>
          <w:sz w:val="24"/>
          <w:szCs w:val="24"/>
        </w:rPr>
        <w:t>、其它事项</w:t>
      </w:r>
    </w:p>
    <w:p w14:paraId="453734B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1、合同经双方签字盖章后生效。本合同一式柒份，甲方执伍份（</w:t>
      </w:r>
      <w:r>
        <w:rPr>
          <w:rFonts w:hint="eastAsia" w:ascii="宋体" w:hAnsi="宋体" w:eastAsia="宋体" w:cs="宋体"/>
          <w:color w:val="auto"/>
          <w:sz w:val="24"/>
          <w:szCs w:val="24"/>
          <w:lang w:val="en-US" w:eastAsia="zh-CN"/>
        </w:rPr>
        <w:t>采招</w:t>
      </w:r>
      <w:r>
        <w:rPr>
          <w:rFonts w:hint="eastAsia" w:ascii="宋体" w:hAnsi="宋体" w:eastAsia="宋体" w:cs="宋体"/>
          <w:color w:val="auto"/>
          <w:sz w:val="24"/>
          <w:szCs w:val="24"/>
        </w:rPr>
        <w:t>办1份，财</w:t>
      </w:r>
      <w:r>
        <w:rPr>
          <w:rFonts w:hint="eastAsia" w:ascii="宋体" w:hAnsi="宋体" w:eastAsia="宋体" w:cs="宋体"/>
          <w:color w:val="auto"/>
          <w:sz w:val="24"/>
          <w:szCs w:val="24"/>
          <w:lang w:val="en-US" w:eastAsia="zh-CN"/>
        </w:rPr>
        <w:t>资部</w:t>
      </w:r>
      <w:r>
        <w:rPr>
          <w:rFonts w:hint="eastAsia" w:ascii="宋体" w:hAnsi="宋体" w:eastAsia="宋体" w:cs="宋体"/>
          <w:color w:val="auto"/>
          <w:sz w:val="24"/>
          <w:szCs w:val="24"/>
        </w:rPr>
        <w:t>2份，使用单位2份），乙方执壹份，招标公司执壹份，执行完毕后自行失效。</w:t>
      </w:r>
    </w:p>
    <w:p w14:paraId="76BA127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2、下述文件为本合同的一部分，并与本合同一起阅读和解释，且具有同等法律效力：</w:t>
      </w:r>
    </w:p>
    <w:p w14:paraId="6ABEC8F1">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①合同附件1：产品功能要求、技术规格及配置详单；</w:t>
      </w:r>
    </w:p>
    <w:p w14:paraId="031C925A">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②合同附件2：补充条款（如果有）；</w:t>
      </w:r>
    </w:p>
    <w:p w14:paraId="57B8D70F">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③合同附件3：澄清函及最终报价和承诺</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如果有）</w:t>
      </w:r>
      <w:r>
        <w:rPr>
          <w:rFonts w:hint="eastAsia" w:ascii="宋体" w:hAnsi="宋体" w:eastAsia="宋体" w:cs="宋体"/>
          <w:color w:val="auto"/>
          <w:sz w:val="24"/>
          <w:szCs w:val="24"/>
        </w:rPr>
        <w:t>；</w:t>
      </w:r>
    </w:p>
    <w:p w14:paraId="30BBB764">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④招标文件；</w:t>
      </w:r>
    </w:p>
    <w:p w14:paraId="6B39A58E">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⑤投标文件；</w:t>
      </w:r>
    </w:p>
    <w:p w14:paraId="0795184F">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⑥中标通知书。</w:t>
      </w:r>
    </w:p>
    <w:p w14:paraId="372A86D3">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3、在本合同执行过程中，甲、乙双方协商签订的补充合同与原合同具有同等法律效力。</w:t>
      </w:r>
    </w:p>
    <w:p w14:paraId="156186EE">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4、未尽事宜，双方协商解决。</w:t>
      </w:r>
    </w:p>
    <w:p w14:paraId="35059AE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5、合同签订地点：西安.西北大学</w:t>
      </w:r>
    </w:p>
    <w:p w14:paraId="42E38EF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6、合同签订时间：</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3129A57B">
      <w:pPr>
        <w:spacing w:line="360" w:lineRule="auto"/>
        <w:ind w:firstLine="555"/>
        <w:rPr>
          <w:rFonts w:hint="eastAsia" w:ascii="宋体" w:hAnsi="宋体" w:eastAsia="宋体" w:cs="宋体"/>
          <w:b/>
          <w:color w:val="auto"/>
          <w:sz w:val="24"/>
          <w:szCs w:val="24"/>
        </w:rPr>
      </w:pPr>
    </w:p>
    <w:p w14:paraId="680A452E">
      <w:pPr>
        <w:spacing w:line="360" w:lineRule="auto"/>
        <w:ind w:firstLine="555"/>
        <w:rPr>
          <w:rFonts w:hint="eastAsia" w:ascii="宋体" w:hAnsi="宋体" w:eastAsia="宋体" w:cs="宋体"/>
          <w:b/>
          <w:color w:val="auto"/>
          <w:sz w:val="24"/>
          <w:szCs w:val="24"/>
        </w:rPr>
      </w:pPr>
      <w:r>
        <w:rPr>
          <w:rFonts w:hint="eastAsia" w:ascii="宋体" w:hAnsi="宋体" w:eastAsia="宋体" w:cs="宋体"/>
          <w:b/>
          <w:color w:val="auto"/>
          <w:sz w:val="24"/>
          <w:szCs w:val="24"/>
        </w:rPr>
        <w:t>甲    方                                      乙    方（全填）</w:t>
      </w:r>
    </w:p>
    <w:p w14:paraId="45B8EE31">
      <w:pPr>
        <w:spacing w:line="360" w:lineRule="auto"/>
        <w:ind w:firstLine="560"/>
        <w:rPr>
          <w:rFonts w:hint="eastAsia" w:ascii="宋体" w:hAnsi="宋体" w:eastAsia="宋体" w:cs="宋体"/>
          <w:b/>
          <w:color w:val="auto"/>
          <w:sz w:val="24"/>
          <w:szCs w:val="24"/>
        </w:rPr>
      </w:pPr>
      <w:r>
        <w:rPr>
          <w:rFonts w:hint="eastAsia" w:ascii="宋体" w:hAnsi="宋体" w:eastAsia="宋体" w:cs="宋体"/>
          <w:color w:val="auto"/>
          <w:sz w:val="24"/>
          <w:szCs w:val="24"/>
        </w:rPr>
        <w:t>单位名称（盖章）：                            单位名称（盖章）：</w:t>
      </w:r>
    </w:p>
    <w:p w14:paraId="1764A48C">
      <w:pPr>
        <w:spacing w:line="360" w:lineRule="auto"/>
        <w:ind w:firstLine="540"/>
        <w:rPr>
          <w:rFonts w:hint="eastAsia" w:ascii="宋体" w:hAnsi="宋体" w:eastAsia="宋体" w:cs="宋体"/>
          <w:color w:val="auto"/>
          <w:sz w:val="24"/>
          <w:szCs w:val="24"/>
        </w:rPr>
      </w:pPr>
      <w:r>
        <w:rPr>
          <w:rFonts w:hint="eastAsia" w:ascii="宋体" w:hAnsi="宋体" w:eastAsia="宋体" w:cs="宋体"/>
          <w:color w:val="auto"/>
          <w:sz w:val="24"/>
          <w:szCs w:val="24"/>
        </w:rPr>
        <w:t>地    址：                                    地    址：</w:t>
      </w:r>
    </w:p>
    <w:p w14:paraId="4669C9E6">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法定代表人：                                  法定代表人：（盖章/签字）</w:t>
      </w:r>
    </w:p>
    <w:p w14:paraId="753052B3">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委托代理人：（签字）                          委托代理人：（签字）</w:t>
      </w:r>
    </w:p>
    <w:p w14:paraId="16624C65">
      <w:pPr>
        <w:spacing w:line="360" w:lineRule="auto"/>
        <w:ind w:firstLine="540"/>
        <w:rPr>
          <w:rFonts w:hint="eastAsia" w:ascii="宋体" w:hAnsi="宋体" w:eastAsia="宋体" w:cs="宋体"/>
          <w:color w:val="auto"/>
          <w:sz w:val="24"/>
          <w:szCs w:val="24"/>
        </w:rPr>
      </w:pPr>
      <w:r>
        <w:rPr>
          <w:rFonts w:hint="eastAsia" w:ascii="宋体" w:hAnsi="宋体" w:eastAsia="宋体" w:cs="宋体"/>
          <w:color w:val="auto"/>
          <w:sz w:val="24"/>
          <w:szCs w:val="24"/>
        </w:rPr>
        <w:t>电话：　　　　　　　　　　　　　　　　　　　　电话：</w:t>
      </w:r>
    </w:p>
    <w:p w14:paraId="7F8F6FE3">
      <w:pPr>
        <w:spacing w:line="360" w:lineRule="auto"/>
        <w:ind w:firstLine="540"/>
        <w:rPr>
          <w:rFonts w:hint="eastAsia" w:ascii="宋体" w:hAnsi="宋体" w:eastAsia="宋体" w:cs="宋体"/>
          <w:color w:val="auto"/>
          <w:sz w:val="24"/>
          <w:szCs w:val="24"/>
        </w:rPr>
      </w:pPr>
      <w:r>
        <w:rPr>
          <w:rFonts w:hint="eastAsia" w:ascii="宋体" w:hAnsi="宋体" w:eastAsia="宋体" w:cs="宋体"/>
          <w:color w:val="auto"/>
          <w:sz w:val="24"/>
          <w:szCs w:val="24"/>
        </w:rPr>
        <w:t>传真：                                    　　传真：</w:t>
      </w:r>
    </w:p>
    <w:p w14:paraId="6F014474">
      <w:pPr>
        <w:spacing w:line="360"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邮编：　　　　　　　　　　　　　　　　　　　　邮编：</w:t>
      </w:r>
    </w:p>
    <w:p w14:paraId="27750DE3">
      <w:pPr>
        <w:spacing w:line="360"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　　　　　　　　　　　　　　　　　　　　　　　开户银行及账号：</w:t>
      </w:r>
    </w:p>
    <w:p w14:paraId="32006142">
      <w:pPr>
        <w:spacing w:line="360" w:lineRule="auto"/>
        <w:ind w:firstLine="570"/>
        <w:rPr>
          <w:rFonts w:hint="eastAsia" w:ascii="宋体" w:hAnsi="宋体" w:eastAsia="宋体" w:cs="宋体"/>
          <w:color w:val="auto"/>
          <w:sz w:val="24"/>
          <w:szCs w:val="24"/>
        </w:rPr>
      </w:pPr>
    </w:p>
    <w:p w14:paraId="39E266C7">
      <w:pPr>
        <w:spacing w:line="360" w:lineRule="auto"/>
        <w:ind w:firstLine="570"/>
        <w:rPr>
          <w:rFonts w:hint="eastAsia" w:ascii="宋体" w:hAnsi="宋体" w:eastAsia="宋体" w:cs="宋体"/>
          <w:color w:val="auto"/>
          <w:sz w:val="24"/>
          <w:szCs w:val="24"/>
        </w:rPr>
      </w:pPr>
    </w:p>
    <w:p w14:paraId="56BE17BB">
      <w:pPr>
        <w:spacing w:line="360" w:lineRule="auto"/>
        <w:ind w:firstLine="560"/>
        <w:rPr>
          <w:rFonts w:hint="eastAsia" w:ascii="宋体" w:hAnsi="宋体" w:eastAsia="宋体" w:cs="宋体"/>
          <w:b/>
          <w:bCs/>
          <w:color w:val="auto"/>
          <w:sz w:val="24"/>
          <w:szCs w:val="24"/>
        </w:rPr>
      </w:pPr>
      <w:r>
        <w:rPr>
          <w:rFonts w:hint="eastAsia" w:ascii="宋体" w:hAnsi="宋体" w:eastAsia="宋体" w:cs="宋体"/>
          <w:b/>
          <w:bCs/>
          <w:color w:val="auto"/>
          <w:sz w:val="24"/>
          <w:szCs w:val="24"/>
        </w:rPr>
        <w:t>招标代理机构</w:t>
      </w:r>
      <w:r>
        <w:rPr>
          <w:rFonts w:hint="eastAsia" w:ascii="宋体" w:hAnsi="宋体" w:eastAsia="宋体" w:cs="宋体"/>
          <w:b/>
          <w:bCs/>
          <w:color w:val="auto"/>
          <w:sz w:val="24"/>
          <w:szCs w:val="24"/>
          <w:lang w:val="en-US" w:eastAsia="zh-CN"/>
        </w:rPr>
        <w:t>名称</w:t>
      </w:r>
      <w:r>
        <w:rPr>
          <w:rFonts w:hint="eastAsia" w:ascii="宋体" w:hAnsi="宋体" w:eastAsia="宋体" w:cs="宋体"/>
          <w:b/>
          <w:bCs/>
          <w:color w:val="auto"/>
          <w:sz w:val="24"/>
          <w:szCs w:val="24"/>
        </w:rPr>
        <w:t>：</w:t>
      </w:r>
    </w:p>
    <w:p w14:paraId="514795AB">
      <w:pPr>
        <w:spacing w:line="360" w:lineRule="auto"/>
        <w:ind w:firstLine="56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联系人</w:t>
      </w:r>
      <w:r>
        <w:rPr>
          <w:rFonts w:hint="eastAsia" w:ascii="宋体" w:hAnsi="宋体" w:eastAsia="宋体" w:cs="宋体"/>
          <w:color w:val="auto"/>
          <w:sz w:val="24"/>
          <w:szCs w:val="24"/>
          <w:lang w:eastAsia="zh-CN"/>
        </w:rPr>
        <w:t>：</w:t>
      </w:r>
    </w:p>
    <w:p w14:paraId="7E1D07CB">
      <w:pPr>
        <w:spacing w:line="360" w:lineRule="auto"/>
        <w:ind w:firstLine="56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联系电话：</w:t>
      </w:r>
    </w:p>
    <w:p w14:paraId="05A59DE8">
      <w:pPr>
        <w:rPr>
          <w:rFonts w:hint="eastAsia" w:ascii="宋体" w:hAnsi="宋体" w:eastAsia="宋体" w:cs="宋体"/>
          <w:b/>
          <w:bCs/>
          <w:color w:val="auto"/>
          <w:sz w:val="28"/>
          <w:szCs w:val="28"/>
          <w:highlight w:val="none"/>
        </w:rPr>
      </w:pPr>
    </w:p>
    <w:p w14:paraId="3CC6BA8C">
      <w:pPr>
        <w:pStyle w:val="7"/>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5ZTczZjMzMTY2ODA5MjVmMDdhMTQ5MjhkYmM3NGUifQ=="/>
  </w:docVars>
  <w:rsids>
    <w:rsidRoot w:val="53B52B8D"/>
    <w:rsid w:val="01927079"/>
    <w:rsid w:val="06473D8B"/>
    <w:rsid w:val="177F50ED"/>
    <w:rsid w:val="228026A7"/>
    <w:rsid w:val="2FA76329"/>
    <w:rsid w:val="30843362"/>
    <w:rsid w:val="3569521C"/>
    <w:rsid w:val="433B01F8"/>
    <w:rsid w:val="4FEB4D54"/>
    <w:rsid w:val="516A04AA"/>
    <w:rsid w:val="537B4F14"/>
    <w:rsid w:val="53B52B8D"/>
    <w:rsid w:val="579A0088"/>
    <w:rsid w:val="58EA406D"/>
    <w:rsid w:val="591D738A"/>
    <w:rsid w:val="5A4B3115"/>
    <w:rsid w:val="5AB3646E"/>
    <w:rsid w:val="5DD11BB3"/>
    <w:rsid w:val="66F4173D"/>
    <w:rsid w:val="707A385E"/>
    <w:rsid w:val="77F79321"/>
    <w:rsid w:val="7FBD2B0C"/>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
    <w:pPr>
      <w:keepNext/>
      <w:keepLines/>
      <w:spacing w:before="50" w:beforeLines="50" w:after="50" w:afterLines="50" w:line="360" w:lineRule="auto"/>
      <w:jc w:val="left"/>
      <w:outlineLvl w:val="3"/>
    </w:pPr>
    <w:rPr>
      <w:rFonts w:ascii="Cambria" w:hAnsi="Cambria"/>
      <w:b/>
      <w:bCs/>
      <w:kern w:val="0"/>
      <w:sz w:val="24"/>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Indent 2"/>
    <w:basedOn w:val="1"/>
    <w:qFormat/>
    <w:uiPriority w:val="0"/>
    <w:pPr>
      <w:tabs>
        <w:tab w:val="left" w:pos="5625"/>
      </w:tabs>
      <w:ind w:left="1138" w:leftChars="542"/>
    </w:pPr>
    <w:rPr>
      <w:rFonts w:hAnsi="Calibri"/>
      <w:sz w:val="20"/>
      <w:szCs w:val="20"/>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2424</Words>
  <Characters>2428</Characters>
  <Lines>0</Lines>
  <Paragraphs>0</Paragraphs>
  <TotalTime>0</TotalTime>
  <ScaleCrop>false</ScaleCrop>
  <LinksUpToDate>false</LinksUpToDate>
  <CharactersWithSpaces>2743</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hh</cp:lastModifiedBy>
  <dcterms:modified xsi:type="dcterms:W3CDTF">2024-12-04T11:03:08Z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8C92C5B9FAF84D4F9BD3EB8A4761E53A_13</vt:lpwstr>
  </property>
</Properties>
</file>