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太赫兹三维层析成像系统采购项目</w:t>
      </w:r>
    </w:p>
    <w:p>
      <w:pPr>
        <w:pStyle w:val="null3"/>
        <w:jc w:val="center"/>
        <w:outlineLvl w:val="2"/>
      </w:pPr>
      <w:r>
        <w:rPr>
          <w:sz w:val="28"/>
          <w:b/>
        </w:rPr>
        <w:t>采购项目编号：</w:t>
      </w:r>
      <w:r>
        <w:rPr>
          <w:sz w:val="28"/>
          <w:b/>
        </w:rPr>
        <w:t>RTZB-2024-2104</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陕西瑞通工程造价咨询有限公司</w:t>
      </w:r>
      <w:r>
        <w:rPr/>
        <w:t>（以下简称“代理机构”）受</w:t>
      </w:r>
      <w:r>
        <w:rPr/>
        <w:t>西北大学</w:t>
      </w:r>
      <w:r>
        <w:rPr/>
        <w:t>委托，拟对</w:t>
      </w:r>
      <w:r>
        <w:rPr/>
        <w:t>太赫兹三维层析成像系统采购项目</w:t>
      </w:r>
      <w:r>
        <w:rPr/>
        <w:t>采用竞争性磋商采购方式进行采购，兹邀请供应商参加本项目的竞争性磋商。</w:t>
      </w:r>
    </w:p>
    <w:p>
      <w:pPr>
        <w:pStyle w:val="null3"/>
        <w:outlineLvl w:val="2"/>
      </w:pPr>
      <w:r>
        <w:rPr>
          <w:sz w:val="28"/>
          <w:b/>
        </w:rPr>
        <w:t>一、项目编号：</w:t>
      </w:r>
      <w:r>
        <w:rPr>
          <w:sz w:val="28"/>
          <w:b/>
        </w:rPr>
        <w:t>RTZB-2024-2104</w:t>
      </w:r>
    </w:p>
    <w:p>
      <w:pPr>
        <w:pStyle w:val="null3"/>
        <w:outlineLvl w:val="2"/>
      </w:pPr>
      <w:r>
        <w:rPr>
          <w:sz w:val="28"/>
          <w:b/>
        </w:rPr>
        <w:t>二、项目名称：</w:t>
      </w:r>
      <w:r>
        <w:rPr>
          <w:sz w:val="28"/>
          <w:b/>
        </w:rPr>
        <w:t>太赫兹三维层析成像系统采购项目</w:t>
      </w:r>
    </w:p>
    <w:p>
      <w:pPr>
        <w:pStyle w:val="null3"/>
        <w:outlineLvl w:val="2"/>
      </w:pPr>
      <w:r>
        <w:rPr>
          <w:sz w:val="28"/>
          <w:b/>
        </w:rPr>
        <w:t>三、磋商项目简介</w:t>
      </w:r>
    </w:p>
    <w:p>
      <w:pPr>
        <w:pStyle w:val="null3"/>
        <w:ind w:firstLine="480"/>
      </w:pPr>
      <w:r>
        <w:rPr/>
        <w:t>采购太赫兹三维层析成像系统1套，用于对光电功能材料、文物及其他非金属材料进行原位太赫兹三维层析成像。</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采购包1（太赫兹三维层析成像系统）：属于专门面向中小企业采购。</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 xml:space="preserve"> 薛老师</w:t>
      </w:r>
    </w:p>
    <w:p>
      <w:pPr>
        <w:pStyle w:val="null3"/>
      </w:pPr>
      <w:r>
        <w:rPr/>
        <w:t xml:space="preserve"> 联系电话： </w:t>
      </w:r>
      <w:r>
        <w:rPr/>
        <w:t>029-88302974</w:t>
      </w:r>
    </w:p>
    <w:p>
      <w:pPr>
        <w:pStyle w:val="null3"/>
        <w:outlineLvl w:val="3"/>
      </w:pPr>
      <w:r>
        <w:rPr>
          <w:sz w:val="24"/>
          <w:b/>
        </w:rPr>
        <w:t>代理机构：</w:t>
      </w:r>
      <w:r>
        <w:rPr>
          <w:sz w:val="24"/>
          <w:b/>
        </w:rPr>
        <w:t>陕西瑞通工程造价咨询有限公司</w:t>
      </w:r>
    </w:p>
    <w:p>
      <w:pPr>
        <w:pStyle w:val="null3"/>
      </w:pPr>
      <w:r>
        <w:rPr/>
        <w:t xml:space="preserve"> 地址： </w:t>
      </w:r>
      <w:r>
        <w:rPr/>
        <w:t>西安市高新区科技路30号合力紫郡A座2204室</w:t>
      </w:r>
    </w:p>
    <w:p>
      <w:pPr>
        <w:pStyle w:val="null3"/>
      </w:pPr>
      <w:r>
        <w:rPr/>
        <w:t xml:space="preserve"> 邮编： </w:t>
      </w:r>
      <w:r>
        <w:rPr/>
        <w:t>710075</w:t>
      </w:r>
    </w:p>
    <w:p>
      <w:pPr>
        <w:pStyle w:val="null3"/>
      </w:pPr>
      <w:r>
        <w:rPr/>
        <w:t xml:space="preserve"> 联系人： </w:t>
      </w:r>
      <w:r>
        <w:rPr/>
        <w:t>贾堃 水思楠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采购包1保证金金额：16,000.00元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陕西瑞通工程造价咨询有限公司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陕西瑞通工程造价咨询有限公司</w:t>
      </w:r>
      <w:r>
        <w:rPr/>
        <w:t xml:space="preserve"> 负责答复；供应商对采购过程的询问、质疑由</w:t>
      </w:r>
      <w:r>
        <w:rPr/>
        <w:t>陕西瑞通工程造价咨询有限公司</w:t>
      </w:r>
      <w:r>
        <w:rPr/>
        <w:t xml:space="preserve"> 负责答复；供应商对采购结果的询问、质疑由 </w:t>
      </w:r>
      <w:r>
        <w:rPr/>
        <w:t>陕西瑞通工程造价咨询有限公司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联系人：贾堃 喻涛</w:t>
      </w:r>
    </w:p>
    <w:p>
      <w:pPr>
        <w:pStyle w:val="null3"/>
      </w:pPr>
      <w:r>
        <w:rPr/>
        <w:t>联系电话：029-88224132-8007</w:t>
      </w:r>
    </w:p>
    <w:p>
      <w:pPr>
        <w:pStyle w:val="null3"/>
      </w:pPr>
      <w:r>
        <w:rPr/>
        <w:t>地址：西安市高新区科技路30号合力紫郡A座2204室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采购太赫兹三维层析成像系统1套，用于对光电功能材料、文物及其他非金属材料进行原位太赫兹三维层析成像。</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太赫兹三维层析成像系统</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标的名称：太赫兹三维层析成像系统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1.系统整体技术要求</w:t>
            </w:r>
          </w:p>
          <w:p>
            <w:pPr>
              <w:pStyle w:val="null3"/>
              <w:jc w:val="both"/>
            </w:pPr>
            <w:r>
              <w:rPr>
                <w:rFonts w:ascii="宋体" w:hAnsi="宋体" w:cs="宋体" w:eastAsia="宋体"/>
                <w:sz w:val="24"/>
                <w:color w:val="000000"/>
              </w:rPr>
              <w:t>★1.1 频带宽度：0.1-4.5THz；</w:t>
            </w:r>
          </w:p>
          <w:p>
            <w:pPr>
              <w:pStyle w:val="null3"/>
              <w:jc w:val="both"/>
            </w:pPr>
            <w:r>
              <w:rPr>
                <w:rFonts w:ascii="宋体" w:hAnsi="宋体" w:cs="宋体" w:eastAsia="宋体"/>
                <w:sz w:val="24"/>
                <w:color w:val="000000"/>
              </w:rPr>
              <w:t>1.2 光谱分辨率：≤3.4GHz；</w:t>
            </w:r>
          </w:p>
          <w:p>
            <w:pPr>
              <w:pStyle w:val="null3"/>
              <w:jc w:val="both"/>
            </w:pPr>
            <w:r>
              <w:rPr>
                <w:rFonts w:ascii="宋体" w:hAnsi="宋体" w:cs="宋体" w:eastAsia="宋体"/>
                <w:sz w:val="24"/>
                <w:color w:val="000000"/>
              </w:rPr>
              <w:t>1.3 光谱动态范围：≥75dB；</w:t>
            </w:r>
          </w:p>
          <w:p>
            <w:pPr>
              <w:pStyle w:val="null3"/>
              <w:jc w:val="both"/>
            </w:pPr>
            <w:r>
              <w:rPr>
                <w:rFonts w:ascii="宋体" w:hAnsi="宋体" w:cs="宋体" w:eastAsia="宋体"/>
                <w:sz w:val="24"/>
                <w:color w:val="000000"/>
              </w:rPr>
              <w:t>★1.4 时域扫描长度：20-300ps，软件可调；</w:t>
            </w:r>
          </w:p>
          <w:p>
            <w:pPr>
              <w:pStyle w:val="null3"/>
              <w:jc w:val="both"/>
            </w:pPr>
            <w:r>
              <w:rPr>
                <w:rFonts w:ascii="宋体" w:hAnsi="宋体" w:cs="宋体" w:eastAsia="宋体"/>
                <w:sz w:val="24"/>
                <w:color w:val="000000"/>
              </w:rPr>
              <w:t>1.5 扫描频率：10-30Hz，软件可调；</w:t>
            </w:r>
          </w:p>
          <w:p>
            <w:pPr>
              <w:pStyle w:val="null3"/>
              <w:jc w:val="both"/>
            </w:pPr>
            <w:r>
              <w:rPr>
                <w:rFonts w:ascii="宋体" w:hAnsi="宋体" w:cs="宋体" w:eastAsia="宋体"/>
                <w:sz w:val="24"/>
                <w:color w:val="000000"/>
              </w:rPr>
              <w:t>1.6 成像视场：≥150mm×150mm；</w:t>
            </w:r>
          </w:p>
          <w:p>
            <w:pPr>
              <w:pStyle w:val="null3"/>
              <w:jc w:val="both"/>
            </w:pPr>
            <w:r>
              <w:rPr>
                <w:rFonts w:ascii="宋体" w:hAnsi="宋体" w:cs="宋体" w:eastAsia="宋体"/>
                <w:sz w:val="24"/>
                <w:color w:val="000000"/>
              </w:rPr>
              <w:t>1.7 工作模式：反射、透射、透射成像、反射成像；</w:t>
            </w:r>
          </w:p>
          <w:p>
            <w:pPr>
              <w:pStyle w:val="null3"/>
              <w:jc w:val="both"/>
            </w:pPr>
            <w:r>
              <w:rPr>
                <w:rFonts w:ascii="宋体" w:hAnsi="宋体" w:cs="宋体" w:eastAsia="宋体"/>
                <w:sz w:val="24"/>
                <w:color w:val="000000"/>
              </w:rPr>
              <w:t>1.8 光纤传输 ：全光纤传输；</w:t>
            </w:r>
          </w:p>
          <w:p>
            <w:pPr>
              <w:pStyle w:val="null3"/>
              <w:jc w:val="both"/>
            </w:pPr>
            <w:r>
              <w:rPr>
                <w:rFonts w:ascii="宋体" w:hAnsi="宋体" w:cs="宋体" w:eastAsia="宋体"/>
                <w:sz w:val="24"/>
                <w:color w:val="000000"/>
              </w:rPr>
              <w:t>1.9最小检测厚度：≤30 μm</w:t>
            </w:r>
          </w:p>
          <w:p>
            <w:pPr>
              <w:pStyle w:val="null3"/>
              <w:jc w:val="both"/>
            </w:pPr>
            <w:r>
              <w:rPr>
                <w:rFonts w:ascii="宋体" w:hAnsi="宋体" w:cs="宋体" w:eastAsia="宋体"/>
                <w:sz w:val="24"/>
                <w:color w:val="000000"/>
              </w:rPr>
              <w:t>1.10最大检测厚度：≥18 mm</w:t>
            </w:r>
          </w:p>
          <w:p>
            <w:pPr>
              <w:pStyle w:val="null3"/>
              <w:jc w:val="both"/>
            </w:pPr>
            <w:r>
              <w:rPr>
                <w:rFonts w:ascii="宋体" w:hAnsi="宋体" w:cs="宋体" w:eastAsia="宋体"/>
                <w:sz w:val="24"/>
                <w:color w:val="000000"/>
              </w:rPr>
              <w:t>1.11厚度检测误差：≤3μm</w:t>
            </w:r>
          </w:p>
          <w:p>
            <w:pPr>
              <w:pStyle w:val="null3"/>
              <w:jc w:val="both"/>
            </w:pPr>
            <w:r>
              <w:rPr>
                <w:rFonts w:ascii="宋体" w:hAnsi="宋体" w:cs="宋体" w:eastAsia="宋体"/>
                <w:sz w:val="24"/>
                <w:color w:val="000000"/>
              </w:rPr>
              <w:t>1.12横向分辨率：≤0.3 mm</w:t>
            </w:r>
          </w:p>
          <w:p>
            <w:pPr>
              <w:pStyle w:val="null3"/>
              <w:jc w:val="both"/>
            </w:pPr>
            <w:r>
              <w:rPr>
                <w:rFonts w:ascii="宋体" w:hAnsi="宋体" w:cs="宋体" w:eastAsia="宋体"/>
                <w:sz w:val="24"/>
                <w:b/>
                <w:color w:val="000000"/>
              </w:rPr>
              <w:t>2.系统硬件配置要求</w:t>
            </w:r>
            <w:r>
              <w:rPr>
                <w:rFonts w:ascii="calibri" w:hAnsi="calibri" w:cs="calibri" w:eastAsia="calibri"/>
                <w:sz w:val="24"/>
              </w:rPr>
              <w:t xml:space="preserve"> </w:t>
            </w:r>
          </w:p>
          <w:p>
            <w:pPr>
              <w:pStyle w:val="null3"/>
              <w:jc w:val="both"/>
            </w:pPr>
            <w:r>
              <w:rPr>
                <w:rFonts w:ascii="宋体" w:hAnsi="宋体" w:cs="宋体" w:eastAsia="宋体"/>
                <w:sz w:val="24"/>
                <w:color w:val="000000"/>
              </w:rPr>
              <w:t>2.1 飞秒激光器</w:t>
            </w:r>
          </w:p>
          <w:p>
            <w:pPr>
              <w:pStyle w:val="null3"/>
              <w:jc w:val="both"/>
            </w:pPr>
            <w:r>
              <w:rPr>
                <w:rFonts w:ascii="宋体" w:hAnsi="宋体" w:cs="宋体" w:eastAsia="宋体"/>
                <w:sz w:val="24"/>
                <w:color w:val="000000"/>
              </w:rPr>
              <w:t>★2.1.1 中心波长：1560±20nm；</w:t>
            </w:r>
          </w:p>
          <w:p>
            <w:pPr>
              <w:pStyle w:val="null3"/>
              <w:jc w:val="both"/>
            </w:pPr>
            <w:r>
              <w:rPr>
                <w:rFonts w:ascii="宋体" w:hAnsi="宋体" w:cs="宋体" w:eastAsia="宋体"/>
                <w:sz w:val="24"/>
                <w:color w:val="000000"/>
              </w:rPr>
              <w:t>★2.1.2 脉宽：≤100fs；</w:t>
            </w:r>
          </w:p>
          <w:p>
            <w:pPr>
              <w:pStyle w:val="null3"/>
              <w:jc w:val="both"/>
            </w:pPr>
            <w:r>
              <w:rPr>
                <w:rFonts w:ascii="宋体" w:hAnsi="宋体" w:cs="宋体" w:eastAsia="宋体"/>
                <w:sz w:val="24"/>
                <w:color w:val="000000"/>
              </w:rPr>
              <w:t>2.1.3重复频率：80±10MHz；</w:t>
            </w:r>
          </w:p>
          <w:p>
            <w:pPr>
              <w:pStyle w:val="null3"/>
              <w:jc w:val="both"/>
            </w:pPr>
            <w:r>
              <w:rPr>
                <w:rFonts w:ascii="宋体" w:hAnsi="宋体" w:cs="宋体" w:eastAsia="宋体"/>
                <w:sz w:val="24"/>
                <w:color w:val="000000"/>
              </w:rPr>
              <w:t>2.1.4光谱宽度：≥35nm；</w:t>
            </w:r>
          </w:p>
          <w:p>
            <w:pPr>
              <w:pStyle w:val="null3"/>
              <w:jc w:val="both"/>
            </w:pPr>
            <w:r>
              <w:rPr>
                <w:rFonts w:ascii="宋体" w:hAnsi="宋体" w:cs="宋体" w:eastAsia="宋体"/>
                <w:sz w:val="24"/>
                <w:color w:val="000000"/>
              </w:rPr>
              <w:t>2.1.5偏振消光比：≥20dB；</w:t>
            </w:r>
          </w:p>
          <w:p>
            <w:pPr>
              <w:pStyle w:val="null3"/>
              <w:jc w:val="both"/>
            </w:pPr>
            <w:r>
              <w:rPr>
                <w:rFonts w:ascii="宋体" w:hAnsi="宋体" w:cs="宋体" w:eastAsia="宋体"/>
                <w:sz w:val="24"/>
                <w:color w:val="000000"/>
              </w:rPr>
              <w:t>2.1.6输出功率波动：≤1%；</w:t>
            </w:r>
          </w:p>
          <w:p>
            <w:pPr>
              <w:pStyle w:val="null3"/>
              <w:jc w:val="both"/>
            </w:pPr>
            <w:r>
              <w:rPr>
                <w:rFonts w:ascii="宋体" w:hAnsi="宋体" w:cs="宋体" w:eastAsia="宋体"/>
                <w:sz w:val="24"/>
                <w:color w:val="000000"/>
              </w:rPr>
              <w:t>2.1.7供电：12V/3A；</w:t>
            </w:r>
          </w:p>
          <w:p>
            <w:pPr>
              <w:pStyle w:val="null3"/>
              <w:jc w:val="both"/>
            </w:pPr>
            <w:r>
              <w:rPr>
                <w:rFonts w:ascii="宋体" w:hAnsi="宋体" w:cs="宋体" w:eastAsia="宋体"/>
                <w:sz w:val="24"/>
                <w:color w:val="000000"/>
              </w:rPr>
              <w:t>2.1.8接口：RS232（3.3V TTL电平）；</w:t>
            </w:r>
          </w:p>
          <w:p>
            <w:pPr>
              <w:pStyle w:val="null3"/>
              <w:jc w:val="both"/>
            </w:pPr>
            <w:r>
              <w:rPr>
                <w:rFonts w:ascii="宋体" w:hAnsi="宋体" w:cs="宋体" w:eastAsia="宋体"/>
                <w:sz w:val="24"/>
                <w:color w:val="000000"/>
              </w:rPr>
              <w:t>2.2 光纤延迟线</w:t>
            </w:r>
          </w:p>
          <w:p>
            <w:pPr>
              <w:pStyle w:val="null3"/>
              <w:jc w:val="both"/>
            </w:pPr>
            <w:r>
              <w:rPr>
                <w:rFonts w:ascii="宋体" w:hAnsi="宋体" w:cs="宋体" w:eastAsia="宋体"/>
                <w:sz w:val="24"/>
                <w:color w:val="000000"/>
              </w:rPr>
              <w:t>2.2.1时域延迟长度：20-300ps</w:t>
            </w:r>
          </w:p>
          <w:p>
            <w:pPr>
              <w:pStyle w:val="null3"/>
              <w:jc w:val="both"/>
            </w:pPr>
            <w:r>
              <w:rPr>
                <w:rFonts w:ascii="宋体" w:hAnsi="宋体" w:cs="宋体" w:eastAsia="宋体"/>
                <w:sz w:val="24"/>
                <w:color w:val="000000"/>
              </w:rPr>
              <w:t>2.2.2扫描频率：10-30Hz</w:t>
            </w:r>
          </w:p>
          <w:p>
            <w:pPr>
              <w:pStyle w:val="null3"/>
              <w:jc w:val="both"/>
            </w:pPr>
            <w:r>
              <w:rPr>
                <w:rFonts w:ascii="宋体" w:hAnsi="宋体" w:cs="宋体" w:eastAsia="宋体"/>
                <w:sz w:val="24"/>
                <w:color w:val="000000"/>
              </w:rPr>
              <w:t>2.2.3工作温度：0-40℃</w:t>
            </w:r>
          </w:p>
          <w:p>
            <w:pPr>
              <w:pStyle w:val="null3"/>
              <w:jc w:val="both"/>
            </w:pPr>
            <w:r>
              <w:rPr>
                <w:rFonts w:ascii="宋体" w:hAnsi="宋体" w:cs="宋体" w:eastAsia="宋体"/>
                <w:sz w:val="24"/>
                <w:color w:val="000000"/>
              </w:rPr>
              <w:t>2.3 太赫兹发射天线</w:t>
            </w:r>
          </w:p>
          <w:p>
            <w:pPr>
              <w:pStyle w:val="null3"/>
              <w:jc w:val="both"/>
            </w:pPr>
            <w:r>
              <w:rPr>
                <w:rFonts w:ascii="宋体" w:hAnsi="宋体" w:cs="宋体" w:eastAsia="宋体"/>
                <w:sz w:val="24"/>
                <w:color w:val="000000"/>
              </w:rPr>
              <w:t>★2.3.1 光导材料：InGaAs；</w:t>
            </w:r>
          </w:p>
          <w:p>
            <w:pPr>
              <w:pStyle w:val="null3"/>
              <w:jc w:val="both"/>
            </w:pPr>
            <w:r>
              <w:rPr>
                <w:rFonts w:ascii="宋体" w:hAnsi="宋体" w:cs="宋体" w:eastAsia="宋体"/>
                <w:sz w:val="24"/>
                <w:color w:val="000000"/>
              </w:rPr>
              <w:t>2.3.2 太赫兹功率：≥50μW；</w:t>
            </w:r>
          </w:p>
          <w:p>
            <w:pPr>
              <w:pStyle w:val="null3"/>
              <w:jc w:val="both"/>
            </w:pPr>
            <w:r>
              <w:rPr>
                <w:rFonts w:ascii="宋体" w:hAnsi="宋体" w:cs="宋体" w:eastAsia="宋体"/>
                <w:sz w:val="24"/>
                <w:color w:val="000000"/>
              </w:rPr>
              <w:t>2.3.3 光纤连接线：1m，FC/APC,PM-PANDA光纤；</w:t>
            </w:r>
          </w:p>
          <w:p>
            <w:pPr>
              <w:pStyle w:val="null3"/>
              <w:jc w:val="both"/>
            </w:pPr>
            <w:r>
              <w:rPr>
                <w:rFonts w:ascii="宋体" w:hAnsi="宋体" w:cs="宋体" w:eastAsia="宋体"/>
                <w:sz w:val="24"/>
                <w:color w:val="000000"/>
              </w:rPr>
              <w:t>2.3.4 太赫兹带宽：≥6THz；</w:t>
            </w:r>
          </w:p>
          <w:p>
            <w:pPr>
              <w:pStyle w:val="null3"/>
              <w:jc w:val="both"/>
            </w:pPr>
            <w:r>
              <w:rPr>
                <w:rFonts w:ascii="宋体" w:hAnsi="宋体" w:cs="宋体" w:eastAsia="宋体"/>
                <w:sz w:val="24"/>
                <w:color w:val="000000"/>
              </w:rPr>
              <w:t>2.3.5 动态范围：≥80dB；</w:t>
            </w:r>
          </w:p>
          <w:p>
            <w:pPr>
              <w:pStyle w:val="null3"/>
              <w:jc w:val="both"/>
            </w:pPr>
            <w:r>
              <w:rPr>
                <w:rFonts w:ascii="宋体" w:hAnsi="宋体" w:cs="宋体" w:eastAsia="宋体"/>
                <w:sz w:val="24"/>
                <w:color w:val="000000"/>
              </w:rPr>
              <w:t>2.3.6 输入光功率：≤30mW；</w:t>
            </w:r>
          </w:p>
          <w:p>
            <w:pPr>
              <w:pStyle w:val="null3"/>
              <w:jc w:val="both"/>
            </w:pPr>
            <w:r>
              <w:rPr>
                <w:rFonts w:ascii="宋体" w:hAnsi="宋体" w:cs="宋体" w:eastAsia="宋体"/>
                <w:sz w:val="24"/>
                <w:color w:val="000000"/>
              </w:rPr>
              <w:t>2.4 太赫兹接收天线</w:t>
            </w:r>
          </w:p>
          <w:p>
            <w:pPr>
              <w:pStyle w:val="null3"/>
              <w:jc w:val="both"/>
            </w:pPr>
            <w:r>
              <w:rPr>
                <w:rFonts w:ascii="宋体" w:hAnsi="宋体" w:cs="宋体" w:eastAsia="宋体"/>
                <w:sz w:val="24"/>
                <w:color w:val="000000"/>
              </w:rPr>
              <w:t>2.4.1 光导材料：InGaAs；</w:t>
            </w:r>
          </w:p>
          <w:p>
            <w:pPr>
              <w:pStyle w:val="null3"/>
              <w:jc w:val="both"/>
            </w:pPr>
            <w:r>
              <w:rPr>
                <w:rFonts w:ascii="宋体" w:hAnsi="宋体" w:cs="宋体" w:eastAsia="宋体"/>
                <w:sz w:val="24"/>
                <w:color w:val="000000"/>
              </w:rPr>
              <w:t>2.4.2 光纤连接线：1m，FC/APC,PM-PANDA光纤；</w:t>
            </w:r>
          </w:p>
          <w:p>
            <w:pPr>
              <w:pStyle w:val="null3"/>
              <w:jc w:val="both"/>
            </w:pPr>
            <w:r>
              <w:rPr>
                <w:rFonts w:ascii="宋体" w:hAnsi="宋体" w:cs="宋体" w:eastAsia="宋体"/>
                <w:sz w:val="24"/>
                <w:color w:val="000000"/>
              </w:rPr>
              <w:t>2.4.3 输入光功率：≤30mW；</w:t>
            </w:r>
          </w:p>
          <w:p>
            <w:pPr>
              <w:pStyle w:val="null3"/>
              <w:jc w:val="both"/>
            </w:pPr>
            <w:r>
              <w:rPr>
                <w:rFonts w:ascii="宋体" w:hAnsi="宋体" w:cs="宋体" w:eastAsia="宋体"/>
                <w:sz w:val="24"/>
                <w:color w:val="000000"/>
              </w:rPr>
              <w:t>2.5 数据采集卡</w:t>
            </w:r>
          </w:p>
          <w:p>
            <w:pPr>
              <w:pStyle w:val="null3"/>
              <w:jc w:val="both"/>
            </w:pPr>
            <w:r>
              <w:rPr>
                <w:rFonts w:ascii="宋体" w:hAnsi="宋体" w:cs="宋体" w:eastAsia="宋体"/>
                <w:sz w:val="24"/>
                <w:color w:val="000000"/>
              </w:rPr>
              <w:t>2.5.1 工作电压：24V；</w:t>
            </w:r>
          </w:p>
          <w:p>
            <w:pPr>
              <w:pStyle w:val="null3"/>
              <w:jc w:val="both"/>
            </w:pPr>
            <w:r>
              <w:rPr>
                <w:rFonts w:ascii="宋体" w:hAnsi="宋体" w:cs="宋体" w:eastAsia="宋体"/>
                <w:sz w:val="24"/>
                <w:color w:val="000000"/>
              </w:rPr>
              <w:t>2.5.2 最大通讯速率：≥470Mbps；</w:t>
            </w:r>
          </w:p>
          <w:p>
            <w:pPr>
              <w:pStyle w:val="null3"/>
              <w:jc w:val="both"/>
            </w:pPr>
            <w:r>
              <w:rPr>
                <w:rFonts w:ascii="宋体" w:hAnsi="宋体" w:cs="宋体" w:eastAsia="宋体"/>
                <w:sz w:val="24"/>
                <w:color w:val="000000"/>
              </w:rPr>
              <w:t>2.5.3 最大采样速率：≥145MSPS；</w:t>
            </w:r>
          </w:p>
          <w:p>
            <w:pPr>
              <w:pStyle w:val="null3"/>
              <w:jc w:val="both"/>
            </w:pPr>
            <w:r>
              <w:rPr>
                <w:rFonts w:ascii="宋体" w:hAnsi="宋体" w:cs="宋体" w:eastAsia="宋体"/>
                <w:sz w:val="24"/>
                <w:color w:val="000000"/>
              </w:rPr>
              <w:t>2.5.4 增益：106-107；</w:t>
            </w:r>
          </w:p>
          <w:p>
            <w:pPr>
              <w:pStyle w:val="null3"/>
              <w:jc w:val="both"/>
            </w:pPr>
            <w:r>
              <w:rPr>
                <w:rFonts w:ascii="宋体" w:hAnsi="宋体" w:cs="宋体" w:eastAsia="宋体"/>
                <w:sz w:val="24"/>
                <w:color w:val="000000"/>
              </w:rPr>
              <w:t>2.5.5 功耗：≤5W；</w:t>
            </w:r>
          </w:p>
          <w:p>
            <w:pPr>
              <w:pStyle w:val="null3"/>
              <w:jc w:val="both"/>
            </w:pPr>
            <w:r>
              <w:rPr>
                <w:rFonts w:ascii="宋体" w:hAnsi="宋体" w:cs="宋体" w:eastAsia="宋体"/>
                <w:sz w:val="24"/>
                <w:color w:val="000000"/>
              </w:rPr>
              <w:t>2.5.6 通道数：单通道；</w:t>
            </w:r>
          </w:p>
          <w:p>
            <w:pPr>
              <w:pStyle w:val="null3"/>
              <w:jc w:val="both"/>
            </w:pPr>
            <w:r>
              <w:rPr>
                <w:rFonts w:ascii="宋体" w:hAnsi="宋体" w:cs="宋体" w:eastAsia="宋体"/>
                <w:sz w:val="24"/>
                <w:color w:val="000000"/>
              </w:rPr>
              <w:t>2.6角度旋转测量模块</w:t>
            </w:r>
            <w:r>
              <w:rPr>
                <w:rFonts w:ascii="宋体" w:hAnsi="宋体" w:cs="宋体" w:eastAsia="宋体"/>
                <w:sz w:val="24"/>
                <w:b/>
                <w:color w:val="000000"/>
              </w:rPr>
              <w:t>（一套，投标人需提供设计图稿或实物图片，否则</w:t>
            </w:r>
            <w:r>
              <w:rPr>
                <w:rFonts w:ascii="宋体" w:hAnsi="宋体" w:cs="宋体" w:eastAsia="宋体"/>
                <w:sz w:val="24"/>
                <w:b/>
                <w:color w:val="000000"/>
              </w:rPr>
              <w:t>2.6.1-2.6.2</w:t>
            </w:r>
            <w:r>
              <w:rPr>
                <w:rFonts w:ascii="宋体" w:hAnsi="宋体" w:cs="宋体" w:eastAsia="宋体"/>
                <w:sz w:val="24"/>
                <w:b/>
                <w:color w:val="000000"/>
              </w:rPr>
              <w:t>视为负偏离）</w:t>
            </w:r>
          </w:p>
          <w:p>
            <w:pPr>
              <w:pStyle w:val="null3"/>
              <w:jc w:val="both"/>
            </w:pPr>
            <w:r>
              <w:rPr>
                <w:rFonts w:ascii="宋体" w:hAnsi="宋体" w:cs="宋体" w:eastAsia="宋体"/>
                <w:sz w:val="24"/>
                <w:color w:val="000000"/>
              </w:rPr>
              <w:t>2.6.1 入射/反射角角度：30°-180°（角度为180°时进行透射测量）；</w:t>
            </w:r>
          </w:p>
          <w:p>
            <w:pPr>
              <w:pStyle w:val="null3"/>
              <w:jc w:val="both"/>
            </w:pPr>
            <w:r>
              <w:rPr>
                <w:rFonts w:ascii="宋体" w:hAnsi="宋体" w:cs="宋体" w:eastAsia="宋体"/>
                <w:sz w:val="24"/>
                <w:color w:val="000000"/>
              </w:rPr>
              <w:t>▲2.6.2 聚焦光束直径：1.3mm@1THz；提供聚焦模式下100、200、300、650 GHz的光斑分布和测试光路图；</w:t>
            </w:r>
          </w:p>
          <w:p>
            <w:pPr>
              <w:pStyle w:val="null3"/>
              <w:jc w:val="both"/>
            </w:pPr>
            <w:r>
              <w:rPr>
                <w:rFonts w:ascii="宋体" w:hAnsi="宋体" w:cs="宋体" w:eastAsia="宋体"/>
                <w:sz w:val="24"/>
                <w:color w:val="000000"/>
              </w:rPr>
              <w:t>2.7 二维扫描模块</w:t>
            </w:r>
            <w:r>
              <w:rPr>
                <w:rFonts w:ascii="宋体" w:hAnsi="宋体" w:cs="宋体" w:eastAsia="宋体"/>
                <w:sz w:val="24"/>
                <w:b/>
                <w:color w:val="000000"/>
              </w:rPr>
              <w:t>（数量：一套，投标人需提供设计图稿或实物图片，否则</w:t>
            </w:r>
            <w:r>
              <w:rPr>
                <w:rFonts w:ascii="宋体" w:hAnsi="宋体" w:cs="宋体" w:eastAsia="宋体"/>
                <w:sz w:val="24"/>
                <w:b/>
                <w:color w:val="000000"/>
              </w:rPr>
              <w:t>2.7.1-2.7.5</w:t>
            </w:r>
            <w:r>
              <w:rPr>
                <w:rFonts w:ascii="宋体" w:hAnsi="宋体" w:cs="宋体" w:eastAsia="宋体"/>
                <w:sz w:val="24"/>
                <w:b/>
                <w:color w:val="000000"/>
              </w:rPr>
              <w:t>视为负偏离）</w:t>
            </w:r>
          </w:p>
          <w:p>
            <w:pPr>
              <w:pStyle w:val="null3"/>
              <w:jc w:val="both"/>
            </w:pPr>
            <w:r>
              <w:rPr>
                <w:rFonts w:ascii="宋体" w:hAnsi="宋体" w:cs="宋体" w:eastAsia="宋体"/>
                <w:sz w:val="24"/>
                <w:color w:val="000000"/>
              </w:rPr>
              <w:t>▲2.7.1 XY行程：≥150mm*150mm；</w:t>
            </w:r>
          </w:p>
          <w:p>
            <w:pPr>
              <w:pStyle w:val="null3"/>
              <w:jc w:val="both"/>
            </w:pPr>
            <w:r>
              <w:rPr>
                <w:rFonts w:ascii="宋体" w:hAnsi="宋体" w:cs="宋体" w:eastAsia="宋体"/>
                <w:sz w:val="24"/>
                <w:color w:val="000000"/>
              </w:rPr>
              <w:t>▲2.7.2 位移台定位精度：≤10 μm（提供激光干涉仪或千分表测量数据）</w:t>
            </w:r>
          </w:p>
          <w:p>
            <w:pPr>
              <w:pStyle w:val="null3"/>
              <w:jc w:val="both"/>
            </w:pPr>
            <w:r>
              <w:rPr>
                <w:rFonts w:ascii="宋体" w:hAnsi="宋体" w:cs="宋体" w:eastAsia="宋体"/>
                <w:sz w:val="24"/>
                <w:color w:val="000000"/>
              </w:rPr>
              <w:t>▲2.7.3 位移台重复定位精度：≤10 μm</w:t>
            </w:r>
          </w:p>
          <w:p>
            <w:pPr>
              <w:pStyle w:val="null3"/>
              <w:jc w:val="both"/>
            </w:pPr>
            <w:r>
              <w:rPr>
                <w:rFonts w:ascii="宋体" w:hAnsi="宋体" w:cs="宋体" w:eastAsia="宋体"/>
                <w:sz w:val="24"/>
                <w:color w:val="000000"/>
              </w:rPr>
              <w:t>2.7.4 最小步长：≤10μm；</w:t>
            </w:r>
          </w:p>
          <w:p>
            <w:pPr>
              <w:pStyle w:val="null3"/>
              <w:jc w:val="both"/>
            </w:pPr>
            <w:r>
              <w:rPr>
                <w:rFonts w:ascii="宋体" w:hAnsi="宋体" w:cs="宋体" w:eastAsia="宋体"/>
                <w:sz w:val="24"/>
                <w:color w:val="000000"/>
              </w:rPr>
              <w:t>2.7.5 工作模式：连续运动，点动</w:t>
            </w:r>
          </w:p>
          <w:p>
            <w:pPr>
              <w:pStyle w:val="null3"/>
              <w:jc w:val="both"/>
            </w:pPr>
            <w:r>
              <w:rPr>
                <w:rFonts w:ascii="宋体" w:hAnsi="宋体" w:cs="宋体" w:eastAsia="宋体"/>
                <w:sz w:val="24"/>
                <w:color w:val="000000"/>
              </w:rPr>
              <w:t>2.8激光器模组</w:t>
            </w:r>
            <w:r>
              <w:rPr>
                <w:rFonts w:ascii="宋体" w:hAnsi="宋体" w:cs="宋体" w:eastAsia="宋体"/>
                <w:sz w:val="24"/>
                <w:b/>
                <w:color w:val="000000"/>
              </w:rPr>
              <w:t>（</w:t>
            </w:r>
            <w:r>
              <w:rPr>
                <w:rFonts w:ascii="宋体" w:hAnsi="宋体" w:cs="宋体" w:eastAsia="宋体"/>
                <w:sz w:val="24"/>
                <w:b/>
                <w:color w:val="000000"/>
              </w:rPr>
              <w:t>2套，投标人需提供实物图片及性能参数证明材料，否则</w:t>
            </w:r>
            <w:r>
              <w:rPr>
                <w:rFonts w:ascii="宋体" w:hAnsi="宋体" w:cs="宋体" w:eastAsia="宋体"/>
                <w:sz w:val="24"/>
                <w:b/>
                <w:color w:val="000000"/>
              </w:rPr>
              <w:t>2.8.1-2.8.5</w:t>
            </w:r>
            <w:r>
              <w:rPr>
                <w:rFonts w:ascii="宋体" w:hAnsi="宋体" w:cs="宋体" w:eastAsia="宋体"/>
                <w:sz w:val="24"/>
                <w:b/>
                <w:color w:val="000000"/>
              </w:rPr>
              <w:t>视为负偏离）</w:t>
            </w:r>
          </w:p>
          <w:p>
            <w:pPr>
              <w:pStyle w:val="null3"/>
              <w:jc w:val="both"/>
            </w:pPr>
            <w:r>
              <w:rPr>
                <w:rFonts w:ascii="宋体" w:hAnsi="宋体" w:cs="宋体" w:eastAsia="宋体"/>
                <w:sz w:val="24"/>
                <w:color w:val="000000"/>
              </w:rPr>
              <w:t>▲2.8.1 输出波长545nm±2nm；</w:t>
            </w:r>
          </w:p>
          <w:p>
            <w:pPr>
              <w:pStyle w:val="null3"/>
              <w:jc w:val="both"/>
            </w:pPr>
            <w:r>
              <w:rPr>
                <w:rFonts w:ascii="宋体" w:hAnsi="宋体" w:cs="宋体" w:eastAsia="宋体"/>
                <w:sz w:val="24"/>
                <w:color w:val="000000"/>
              </w:rPr>
              <w:t>▲2.8.2 输出功率：≥1000mW@25℃、5.4A</w:t>
            </w:r>
          </w:p>
          <w:p>
            <w:pPr>
              <w:pStyle w:val="null3"/>
              <w:jc w:val="both"/>
            </w:pPr>
            <w:r>
              <w:rPr>
                <w:rFonts w:ascii="宋体" w:hAnsi="宋体" w:cs="宋体" w:eastAsia="宋体"/>
                <w:sz w:val="24"/>
                <w:color w:val="000000"/>
              </w:rPr>
              <w:t>2.8.3 使用温度范围及输出功率：-30℃-50℃（≥500mW）；</w:t>
            </w:r>
          </w:p>
          <w:p>
            <w:pPr>
              <w:pStyle w:val="null3"/>
              <w:jc w:val="both"/>
            </w:pPr>
            <w:r>
              <w:rPr>
                <w:rFonts w:ascii="宋体" w:hAnsi="宋体" w:cs="宋体" w:eastAsia="宋体"/>
                <w:sz w:val="24"/>
                <w:color w:val="000000"/>
              </w:rPr>
              <w:t>2.8.4 输出光束窗口：≤0.6mm；</w:t>
            </w:r>
          </w:p>
          <w:p>
            <w:pPr>
              <w:pStyle w:val="null3"/>
              <w:jc w:val="both"/>
            </w:pPr>
            <w:r>
              <w:rPr>
                <w:rFonts w:ascii="宋体" w:hAnsi="宋体" w:cs="宋体" w:eastAsia="宋体"/>
                <w:sz w:val="24"/>
                <w:color w:val="000000"/>
              </w:rPr>
              <w:t>2.8.5 温度输出特性：提供-30℃-50℃间的输出特性（温度间隔≤10℃）</w:t>
            </w:r>
          </w:p>
          <w:p>
            <w:pPr>
              <w:pStyle w:val="null3"/>
              <w:jc w:val="both"/>
            </w:pPr>
            <w:r>
              <w:rPr>
                <w:rFonts w:ascii="宋体" w:hAnsi="宋体" w:cs="宋体" w:eastAsia="宋体"/>
                <w:sz w:val="24"/>
                <w:color w:val="000000"/>
              </w:rPr>
              <w:t>2.9 计算机硬件</w:t>
            </w:r>
          </w:p>
          <w:p>
            <w:pPr>
              <w:pStyle w:val="null3"/>
              <w:jc w:val="both"/>
            </w:pPr>
            <w:r>
              <w:rPr>
                <w:rFonts w:ascii="宋体" w:hAnsi="宋体" w:cs="宋体" w:eastAsia="宋体"/>
                <w:sz w:val="24"/>
                <w:color w:val="000000"/>
              </w:rPr>
              <w:t>2.9.1 配置要求：CPU型号i7，内存容量16G，固态硬盘512G；</w:t>
            </w:r>
          </w:p>
          <w:p>
            <w:pPr>
              <w:pStyle w:val="null3"/>
              <w:jc w:val="both"/>
            </w:pPr>
            <w:r>
              <w:rPr>
                <w:rFonts w:ascii="宋体" w:hAnsi="宋体" w:cs="宋体" w:eastAsia="宋体"/>
                <w:sz w:val="24"/>
                <w:color w:val="000000"/>
              </w:rPr>
              <w:t>2.9.2 数据处理计算机系统：随主机配置，含仪器操作软件，符合环保节能要求；</w:t>
            </w:r>
          </w:p>
          <w:p>
            <w:pPr>
              <w:pStyle w:val="null3"/>
              <w:jc w:val="both"/>
            </w:pPr>
            <w:r>
              <w:rPr>
                <w:rFonts w:ascii="宋体" w:hAnsi="宋体" w:cs="宋体" w:eastAsia="宋体"/>
                <w:sz w:val="24"/>
                <w:color w:val="000000"/>
              </w:rPr>
              <w:t>2.9.3 安装全套控制、数据采集、处理和分析软件包，可进行仪器功能控制、数据采集及处理分析；</w:t>
            </w:r>
          </w:p>
          <w:p>
            <w:pPr>
              <w:pStyle w:val="null3"/>
              <w:jc w:val="both"/>
            </w:pPr>
            <w:r>
              <w:rPr>
                <w:rFonts w:ascii="宋体" w:hAnsi="宋体" w:cs="宋体" w:eastAsia="宋体"/>
                <w:sz w:val="24"/>
                <w:color w:val="000000"/>
              </w:rPr>
              <w:t>2.9.4 可以与其它常见商业应用软件如Microsoft office、Microsoft word、Excel等相兼容，实现数据格式的方便转化；</w:t>
            </w:r>
          </w:p>
          <w:p>
            <w:pPr>
              <w:pStyle w:val="null3"/>
              <w:jc w:val="both"/>
            </w:pPr>
            <w:r>
              <w:rPr>
                <w:rFonts w:ascii="宋体" w:hAnsi="宋体" w:cs="宋体" w:eastAsia="宋体"/>
                <w:sz w:val="24"/>
                <w:b/>
                <w:color w:val="000000"/>
              </w:rPr>
              <w:t>3.系统软件配置要求</w:t>
            </w:r>
            <w:r>
              <w:rPr>
                <w:rFonts w:ascii="calibri" w:hAnsi="calibri" w:cs="calibri" w:eastAsia="calibri"/>
                <w:sz w:val="24"/>
              </w:rPr>
              <w:t xml:space="preserve">  </w:t>
            </w:r>
          </w:p>
          <w:p>
            <w:pPr>
              <w:pStyle w:val="null3"/>
              <w:jc w:val="both"/>
            </w:pPr>
            <w:r>
              <w:rPr>
                <w:rFonts w:ascii="宋体" w:hAnsi="宋体" w:cs="宋体" w:eastAsia="宋体"/>
                <w:sz w:val="24"/>
                <w:color w:val="000000"/>
              </w:rPr>
              <w:t>3.1 软件系统可以提供原始数据、测试数据；</w:t>
            </w:r>
          </w:p>
          <w:p>
            <w:pPr>
              <w:pStyle w:val="null3"/>
              <w:jc w:val="both"/>
            </w:pPr>
            <w:r>
              <w:rPr>
                <w:rFonts w:ascii="宋体" w:hAnsi="宋体" w:cs="宋体" w:eastAsia="宋体"/>
                <w:sz w:val="24"/>
                <w:color w:val="000000"/>
              </w:rPr>
              <w:t>3.2 原始数据支持二次处理、原始数据通信接口开放；</w:t>
            </w:r>
          </w:p>
          <w:p>
            <w:pPr>
              <w:pStyle w:val="null3"/>
              <w:jc w:val="both"/>
            </w:pPr>
            <w:r>
              <w:rPr>
                <w:rFonts w:ascii="宋体" w:hAnsi="宋体" w:cs="宋体" w:eastAsia="宋体"/>
                <w:sz w:val="24"/>
                <w:color w:val="000000"/>
              </w:rPr>
              <w:t>3.3 软件能够实现自动控制延迟线运动、实现采集卡单点采集控制、软件集成激光器控制。</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合同签订后2个月内到货安装调试交付使用</w:t>
      </w:r>
    </w:p>
    <w:p>
      <w:pPr>
        <w:pStyle w:val="null3"/>
        <w:outlineLvl w:val="3"/>
      </w:pPr>
      <w:r>
        <w:rPr>
          <w:sz w:val="24"/>
          <w:b/>
        </w:rPr>
        <w:t>3.4.2交货地点和方式</w:t>
      </w:r>
    </w:p>
    <w:p>
      <w:pPr>
        <w:pStyle w:val="null3"/>
      </w:pPr>
      <w:r>
        <w:rPr/>
        <w:t>采购包1：</w:t>
      </w:r>
    </w:p>
    <w:p>
      <w:pPr>
        <w:pStyle w:val="null3"/>
      </w:pPr>
      <w:r>
        <w:rPr/>
        <w:t>西北大学物理学院大楼</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采购包1：质保期：自学校验收合格之日起2年 1.售后服务标准要求：主机系统满足2年质保服务，提供相关的全套技术文件，质保期内免费提供包括设备主机、附件、配件的维修及更换服务。技术培训:设备安装调试合格后，卖方工程师在买方现场对买方人员进行不少于3日免费操作及日常维护的培训，直到买方人员能独立操作为止。 2.售后服务效率要求：即时响应（包括电话响应）；电话响应无法解决时，72小时内到达现场。修复时间24小时内；如24小时内无法修复，应提供相应解决方案。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根据磋商文件及合同约定执行</w:t>
      </w:r>
    </w:p>
    <w:p>
      <w:pPr>
        <w:pStyle w:val="null3"/>
        <w:jc w:val="left"/>
        <w:outlineLvl w:val="2"/>
      </w:pPr>
      <w:r>
        <w:rPr>
          <w:sz w:val="28"/>
          <w:b/>
        </w:rPr>
        <w:t>3.5其他要求</w:t>
      </w:r>
    </w:p>
    <w:p>
      <w:pPr>
        <w:pStyle w:val="null3"/>
      </w:pPr>
      <w:r>
        <w:rPr/>
        <w:t>1.供应商需在线提交所有通过电子化交易平台实施的政府采购项目的响应文件，另外，在磋商截止时间前向代理机构递交密封、系统生成的纸质版响应文件贰份（胶装，封袋标注供应商名称及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4.本项目采用两轮报价，响应文件中的报价为首次报价，磋商后的报价为最终报价。 5.付款说明：合同生效后，中标供应商开具合同金额等额银行保函，采购人收到银行保函正本后预付合同货款，待货物到指定地点、安装调试验收合格后，采购人退还银行保函正本。付款方式第三章支付约定不一致，以此处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不少于90日历天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合同签订后2个月内到货安装调试交付使用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西北大学物理学院大楼</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自学校验收合格之日起2年</w:t>
            </w:r>
          </w:p>
        </w:tc>
        <w:tc>
          <w:tcPr>
            <w:tcW w:type="dxa" w:w="1661"/>
          </w:tcPr>
          <w:p>
            <w:pPr>
              <w:pStyle w:val="null3"/>
            </w:pPr>
            <w:r>
              <w:rPr/>
              <w:t>质保期</w:t>
            </w:r>
          </w:p>
        </w:tc>
      </w:tr>
      <w:tr>
        <w:tc>
          <w:tcPr>
            <w:tcW w:type="dxa" w:w="831"/>
          </w:tcPr>
          <w:p>
            <w:pPr>
              <w:pStyle w:val="null3"/>
            </w:pPr>
            <w:r>
              <w:rPr/>
              <w:t>8</w:t>
            </w:r>
          </w:p>
        </w:tc>
        <w:tc>
          <w:tcPr>
            <w:tcW w:type="dxa" w:w="2492"/>
          </w:tcPr>
          <w:p>
            <w:pPr>
              <w:pStyle w:val="null3"/>
            </w:pPr>
            <w:r>
              <w:rPr/>
              <w:t>主要商务条款</w:t>
            </w:r>
          </w:p>
        </w:tc>
        <w:tc>
          <w:tcPr>
            <w:tcW w:type="dxa" w:w="3322"/>
          </w:tcPr>
          <w:p>
            <w:pPr>
              <w:pStyle w:val="null3"/>
            </w:pPr>
            <w:r>
              <w:rPr/>
              <w:t>1.售后服务标准要求：主机系统满足2年质保服务，提供相关的全套技术文件，质保期内免费提供包括设备主机、附件、配件的维修及更换服务。技术培训:设备安装调试合格后，卖方工程师在买方现场对买方人员进行不少于3日免费操作及日常维护的培训，直到买方人员能独立操作为止。 2.售后服务效率要求：即时响应（包括电话响应）；电话响应无法解决时， 72 小时内到达现场。修复时间 24 小时内；如 24 小时内无法修复，应提供相应解决方案。 3.支付方式：合同生效后，中标供应商开具合同金额等额银行保函，采购人收到银行保函正本后预付合同货款，待货物到达指定地点、安装调试验收合格后，采购人退还银行保函正本。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t>主要商务条款响应偏离表</w:t>
            </w:r>
          </w:p>
        </w:tc>
      </w:tr>
      <w:tr>
        <w:tc>
          <w:tcPr>
            <w:tcW w:type="dxa" w:w="831"/>
          </w:tcPr>
          <w:p>
            <w:pPr>
              <w:pStyle w:val="null3"/>
            </w:pPr>
            <w:r>
              <w:rPr/>
              <w:t>9</w:t>
            </w:r>
          </w:p>
        </w:tc>
        <w:tc>
          <w:tcPr>
            <w:tcW w:type="dxa" w:w="2492"/>
          </w:tcPr>
          <w:p>
            <w:pPr>
              <w:pStyle w:val="null3"/>
            </w:pPr>
            <w:r>
              <w:rPr/>
              <w:t>投标内容</w:t>
            </w:r>
          </w:p>
        </w:tc>
        <w:tc>
          <w:tcPr>
            <w:tcW w:type="dxa" w:w="3322"/>
          </w:tcPr>
          <w:p>
            <w:pPr>
              <w:pStyle w:val="null3"/>
            </w:pPr>
            <w:r>
              <w:rPr/>
              <w:t>投标产品品目、数量符合磋商文件要求。</w:t>
            </w:r>
          </w:p>
        </w:tc>
        <w:tc>
          <w:tcPr>
            <w:tcW w:type="dxa" w:w="1661"/>
          </w:tcPr>
          <w:p>
            <w:pPr>
              <w:pStyle w:val="null3"/>
            </w:pPr>
            <w:r>
              <w:rPr/>
              <w:t>标的清单</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技术参数及性能</w:t>
            </w:r>
          </w:p>
        </w:tc>
        <w:tc>
          <w:tcPr>
            <w:tcW w:type="dxa" w:w="2492"/>
          </w:tcPr>
          <w:p>
            <w:pPr>
              <w:pStyle w:val="null3"/>
            </w:pPr>
            <w:r>
              <w:rPr/>
              <w:t>基本分：所投产品的技术参数完全符合招标文件要求没有负偏离的计29分。 1.技术参数中标“★”项（共5项）为实质性要求，不满足废标； 2.技术参数中标“▲”项（共6项）为重要参数，满分6分，每负偏离一项扣1分，扣完为止。 3.技术参数中非“★▲”项（共46项）满分23分，每一序号项负偏离一项扣0.5分，扣完为止。每一序号项中有一条不满足视为该序号项不满足。 加分项：技术参数性能优于招标文件要求，具有实际使用价值的提升，经评标委员会一致认定可加分，满分17分。 ①“★”项参数优于一项的加2分，最高10分； ②“▲”项参数优于一项的加1分，最高6分； ③非“★▲”项参数优于一项的加0.2分，最高1分； 注： ①所有“★”项须提供佐证材料（佐证材料不限于样本、技术手册、公开发行的产品宣传资料、带有CMA标志的检测报告、制造商出具的完整的说明书或产品技术白皮书、制造商官网功能截图等）。 ②其他技术参数按采购需求的要求佐证材料；未要求的以《投标产品技术指标偏离表》为准，优于项须提供佐证材料（材料类型同前款，无材料的不予认同）。供应商应如实填写投标产品的参数，如简单拷贝采购需求，评委会可以根据响应情况扣分，扣分标准见前款。</w:t>
            </w:r>
          </w:p>
        </w:tc>
        <w:tc>
          <w:tcPr>
            <w:tcW w:type="dxa" w:w="831"/>
          </w:tcPr>
          <w:p>
            <w:pPr>
              <w:pStyle w:val="null3"/>
              <w:jc w:val="right"/>
            </w:pPr>
            <w:r>
              <w:rPr/>
              <w:t>46.0000</w:t>
            </w:r>
          </w:p>
        </w:tc>
        <w:tc>
          <w:tcPr>
            <w:tcW w:type="dxa" w:w="831"/>
          </w:tcPr>
          <w:p>
            <w:pPr>
              <w:pStyle w:val="null3"/>
            </w:pPr>
            <w:r>
              <w:rPr/>
              <w:t>客观</w:t>
            </w:r>
          </w:p>
        </w:tc>
        <w:tc>
          <w:tcPr>
            <w:tcW w:type="dxa" w:w="1661"/>
          </w:tcPr>
          <w:p>
            <w:pPr>
              <w:pStyle w:val="null3"/>
            </w:pPr>
            <w:r>
              <w:rPr/>
              <w:t>投标产品技术参数明细表</w:t>
            </w:r>
          </w:p>
          <w:p>
            <w:pPr>
              <w:pStyle w:val="null3"/>
            </w:pPr>
            <w:r>
              <w:rPr/>
              <w:t>投标产品技术指标偏离表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 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 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质保期</w:t>
            </w:r>
          </w:p>
        </w:tc>
        <w:tc>
          <w:tcPr>
            <w:tcW w:type="dxa" w:w="2492"/>
          </w:tcPr>
          <w:p>
            <w:pPr>
              <w:pStyle w:val="null3"/>
            </w:pPr>
            <w:r>
              <w:rPr/>
              <w:t>在满足磋商文件要求质保期的基础上，供应商可根据自身情况延长质保年限，磋商小组根据各供应商响应的延长质保年限进行综合评定，以延长质保年限最长者为基准，计2分，其他供应商的延长质保年限分统一按照下列公式计算：响应得分=延长质保期／基准)×2。仅满足磋商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质保期</w:t>
            </w:r>
          </w:p>
        </w:tc>
      </w:tr>
      <w:tr>
        <w:tc>
          <w:tcPr>
            <w:tcW w:type="dxa" w:w="831"/>
            <w:vMerge/>
          </w:tcPr>
          <w:p/>
        </w:tc>
        <w:tc>
          <w:tcPr>
            <w:tcW w:type="dxa" w:w="1661"/>
          </w:tcPr>
          <w:p>
            <w:pPr>
              <w:pStyle w:val="null3"/>
            </w:pPr>
            <w:r>
              <w:rPr/>
              <w:t>培训</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投标人每提供一份2021年12月1日至今同类项目业绩计1分，最高得5分。注：①业绩以合同为准，时间以合同签订时间为准。②需提供完整合同扫描件。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投标报价为评标基准价，其价格分为满分。其他供应商的价格分统一按照下列公式计算：价格分=(评标基准价／投标报价)×35分。注：计算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详见附件：业绩情况表</w:t>
      </w:r>
    </w:p>
    <w:p>
      <w:pPr>
        <w:pStyle w:val="null3"/>
        <w:ind w:firstLine="960"/>
      </w:pPr>
      <w:r>
        <w:rPr/>
        <w:t>详见附件：质保期</w:t>
      </w:r>
    </w:p>
    <w:p>
      <w:pPr>
        <w:pStyle w:val="null3"/>
        <w:ind w:firstLine="960"/>
      </w:pPr>
      <w:r>
        <w:rPr/>
        <w:t>详见附件：质量保证</w:t>
      </w:r>
    </w:p>
    <w:p>
      <w:pPr>
        <w:pStyle w:val="null3"/>
        <w:ind w:firstLine="960"/>
      </w:pPr>
      <w:r>
        <w:rPr/>
        <w:t>详见附件：主要商务条款响应偏离表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