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版本号：250109002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万能材料试验机采购项目</w:t>
      </w:r>
    </w:p>
    <w:p>
      <w:pPr>
        <w:pStyle w:val="null3"/>
        <w:jc w:val="center"/>
        <w:outlineLvl w:val="2"/>
      </w:pPr>
      <w:r>
        <w:rPr>
          <w:sz w:val="28"/>
          <w:b/>
        </w:rPr>
        <w:t>采购项目编号：</w:t>
      </w:r>
      <w:r>
        <w:rPr>
          <w:sz w:val="28"/>
          <w:b/>
        </w:rPr>
        <w:t>RTZB-2024-2112</w:t>
      </w:r>
      <w:r>
        <w:br/>
      </w:r>
      <w:r>
        <w:br/>
      </w:r>
      <w:r>
        <w:br/>
      </w:r>
    </w:p>
    <w:p>
      <w:pPr>
        <w:pStyle w:val="null3"/>
        <w:jc w:val="center"/>
        <w:outlineLvl w:val="2"/>
      </w:pPr>
      <w:r>
        <w:rPr>
          <w:sz w:val="28"/>
          <w:b/>
        </w:rPr>
        <w:t>西北大学</w:t>
      </w:r>
    </w:p>
    <w:p>
      <w:pPr>
        <w:pStyle w:val="null3"/>
        <w:jc w:val="center"/>
        <w:outlineLvl w:val="2"/>
      </w:pPr>
      <w:r>
        <w:rPr>
          <w:sz w:val="28"/>
          <w:b/>
        </w:rPr>
        <w:t>陕西瑞通工程造价咨询有限公司</w:t>
      </w:r>
      <w:r>
        <w:rPr>
          <w:sz w:val="28"/>
          <w:b/>
        </w:rPr>
        <w:t>共同编制</w:t>
      </w:r>
    </w:p>
    <w:p>
      <w:pPr>
        <w:pStyle w:val="null3"/>
        <w:jc w:val="center"/>
        <w:outlineLvl w:val="2"/>
      </w:pPr>
      <w:r>
        <w:rPr>
          <w:sz w:val="28"/>
          <w:b/>
        </w:rPr>
        <w:t>2025年01月09日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陕西瑞通工程造价咨询有限公司</w:t>
      </w:r>
      <w:r>
        <w:rPr/>
        <w:t>（以下简称“代理机构”）受</w:t>
      </w:r>
      <w:r>
        <w:rPr/>
        <w:t>西北大学</w:t>
      </w:r>
      <w:r>
        <w:rPr/>
        <w:t>委托，拟对</w:t>
      </w:r>
      <w:r>
        <w:rPr/>
        <w:t>万能材料试验机采购项目</w:t>
      </w:r>
      <w:r>
        <w:rPr/>
        <w:t>采用竞争性磋商采购方式进行采购，兹邀请供应商参加本项目的竞争性磋商。</w:t>
      </w:r>
    </w:p>
    <w:p>
      <w:pPr>
        <w:pStyle w:val="null3"/>
        <w:outlineLvl w:val="2"/>
      </w:pPr>
      <w:r>
        <w:rPr>
          <w:sz w:val="28"/>
          <w:b/>
        </w:rPr>
        <w:t>一、项目编号：</w:t>
      </w:r>
      <w:r>
        <w:rPr>
          <w:sz w:val="28"/>
          <w:b/>
        </w:rPr>
        <w:t>RTZB-2024-2112</w:t>
      </w:r>
    </w:p>
    <w:p>
      <w:pPr>
        <w:pStyle w:val="null3"/>
        <w:outlineLvl w:val="2"/>
      </w:pPr>
      <w:r>
        <w:rPr>
          <w:sz w:val="28"/>
          <w:b/>
        </w:rPr>
        <w:t>二、项目名称：</w:t>
      </w:r>
      <w:r>
        <w:rPr>
          <w:sz w:val="28"/>
          <w:b/>
        </w:rPr>
        <w:t>万能材料试验机采购项目</w:t>
      </w:r>
    </w:p>
    <w:p>
      <w:pPr>
        <w:pStyle w:val="null3"/>
        <w:outlineLvl w:val="2"/>
      </w:pPr>
      <w:r>
        <w:rPr>
          <w:sz w:val="28"/>
          <w:b/>
        </w:rPr>
        <w:t>三、磋商项目简介</w:t>
      </w:r>
    </w:p>
    <w:p>
      <w:pPr>
        <w:pStyle w:val="null3"/>
        <w:ind w:firstLine="480"/>
      </w:pPr>
      <w:r>
        <w:rPr/>
        <w:t>西北大学拟采购万能材料试验机1套，采购预算1606000元。详见第三章采购需求。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t>3、供应商代表授权：提供法定代表人证明书和代表人授权委托书</w:t>
      </w:r>
    </w:p>
    <w:p>
      <w:pPr>
        <w:pStyle w:val="null3"/>
      </w:pPr>
      <w:r>
        <w:rPr/>
        <w:t>4、财务状况证明：提供2023年度经第三方会计事务所审计过的财务报告，或磋商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t>5、纳税证明：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p>
      <w:pPr>
        <w:pStyle w:val="null3"/>
      </w:pPr>
      <w:r>
        <w:rPr/>
        <w:t>6、社保缴纳证明：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t>7、履约能力证明：提供具有履行本合同所必需的专业技术能力的声明</w:t>
      </w:r>
    </w:p>
    <w:p>
      <w:pPr>
        <w:pStyle w:val="null3"/>
      </w:pPr>
      <w:r>
        <w:rPr/>
        <w:t>8、产品授权：提供进口产品的，须提供自产品制造商起链条完整的针对本项目或所投产品的授权书，授权函为外文的须提供逐一对应的中文译文（外籍人士的签字除外）并加盖投标人公章。国产产品无此要求</w:t>
      </w:r>
    </w:p>
    <w:p>
      <w:pPr>
        <w:pStyle w:val="null3"/>
      </w:pPr>
      <w:r>
        <w:rPr/>
        <w:t>9、联合体投标：不接受联合体，提供非联合体声明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西安市长安区郭杜教育科技产业区学府大街1号</w:t>
      </w:r>
    </w:p>
    <w:p>
      <w:pPr>
        <w:pStyle w:val="null3"/>
      </w:pPr>
      <w:r>
        <w:rPr/>
        <w:t xml:space="preserve"> 邮编： </w:t>
      </w:r>
      <w:r>
        <w:rPr/>
        <w:t>710199</w:t>
      </w:r>
    </w:p>
    <w:p>
      <w:pPr>
        <w:pStyle w:val="null3"/>
      </w:pPr>
      <w:r>
        <w:rPr/>
        <w:t xml:space="preserve"> 联系人： </w:t>
      </w:r>
      <w:r>
        <w:rPr/>
        <w:t>张老师</w:t>
      </w:r>
    </w:p>
    <w:p>
      <w:pPr>
        <w:pStyle w:val="null3"/>
      </w:pPr>
      <w:r>
        <w:rPr/>
        <w:t xml:space="preserve"> 联系电话： </w:t>
      </w:r>
      <w:r>
        <w:rPr/>
        <w:t>029-88302565</w:t>
      </w:r>
    </w:p>
    <w:p>
      <w:pPr>
        <w:pStyle w:val="null3"/>
        <w:outlineLvl w:val="3"/>
      </w:pPr>
      <w:r>
        <w:rPr>
          <w:sz w:val="24"/>
          <w:b/>
        </w:rPr>
        <w:t>代理机构：</w:t>
      </w:r>
      <w:r>
        <w:rPr>
          <w:sz w:val="24"/>
          <w:b/>
        </w:rPr>
        <w:t>陕西瑞通工程造价咨询有限公司</w:t>
      </w:r>
    </w:p>
    <w:p>
      <w:pPr>
        <w:pStyle w:val="null3"/>
      </w:pPr>
      <w:r>
        <w:rPr/>
        <w:t xml:space="preserve"> 地址： </w:t>
      </w:r>
      <w:r>
        <w:rPr/>
        <w:t>西安市高新区科技路30号合力紫郡A座2204室</w:t>
      </w:r>
    </w:p>
    <w:p>
      <w:pPr>
        <w:pStyle w:val="null3"/>
      </w:pPr>
      <w:r>
        <w:rPr/>
        <w:t xml:space="preserve"> 邮编： </w:t>
      </w:r>
      <w:r>
        <w:rPr/>
        <w:t>710075</w:t>
      </w:r>
    </w:p>
    <w:p>
      <w:pPr>
        <w:pStyle w:val="null3"/>
      </w:pPr>
      <w:r>
        <w:rPr/>
        <w:t xml:space="preserve"> 联系人： </w:t>
      </w:r>
      <w:r>
        <w:rPr/>
        <w:t>贾堃 水思楠 张晨 张岩</w:t>
      </w:r>
    </w:p>
    <w:p>
      <w:pPr>
        <w:pStyle w:val="null3"/>
      </w:pPr>
      <w:r>
        <w:rPr/>
        <w:t xml:space="preserve"> 联系电话： </w:t>
      </w:r>
      <w:r>
        <w:rPr/>
        <w:t>029-88224132-8007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采购包1：1,606,000.00元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采购包1保证金金额：32,000.00元</w:t>
            </w:r>
          </w:p>
          <w:p>
            <w:pPr>
              <w:pStyle w:val="null3"/>
            </w:pPr>
            <w:r>
              <w:rPr/>
              <w:t>缴交渠道：转账、支票、汇票等（需通过实体账户、户名及开户行信息）</w:t>
            </w:r>
          </w:p>
          <w:p>
            <w:pPr>
              <w:pStyle w:val="null3"/>
            </w:pPr>
            <w:r>
              <w:rPr/>
              <w:t>开户名称：陕西瑞通工程造价咨询有限公司</w:t>
            </w:r>
          </w:p>
          <w:p>
            <w:pPr>
              <w:pStyle w:val="null3"/>
            </w:pPr>
            <w:r>
              <w:rPr/>
              <w:t>开户银行：中国民生银行西安分行营业部</w:t>
            </w:r>
          </w:p>
          <w:p>
            <w:pPr>
              <w:pStyle w:val="null3"/>
            </w:pPr>
            <w:r>
              <w:rPr/>
              <w:t>银行账号：698207824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120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西北大学</w:t>
      </w:r>
      <w:r>
        <w:rPr/>
        <w:t>和</w:t>
      </w:r>
      <w:r>
        <w:rPr/>
        <w:t>陕西瑞通工程造价咨询有限公司</w:t>
      </w:r>
      <w:r>
        <w:rPr/>
        <w:t>享有。对磋商文件中供应商参加本次政府采购活动应当具备的条件，磋商项目技术、服务、商务及其他要求，评审细则及标准由</w:t>
      </w:r>
      <w:r>
        <w:rPr/>
        <w:t>西北大学</w:t>
      </w:r>
      <w:r>
        <w:rPr/>
        <w:t>负责解释。除上述磋商文件内容，其他内容由</w:t>
      </w:r>
      <w:r>
        <w:rPr/>
        <w:t>陕西瑞通工程造价咨询有限公司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陕西瑞通工程造价咨询有限公司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根据磋商文件、响应文件及合同约定执行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陕西瑞通工程造价咨询有限公司</w:t>
      </w:r>
      <w:r>
        <w:rPr/>
        <w:t xml:space="preserve"> 负责答复；供应商对采购过程的询问、质疑由</w:t>
      </w:r>
      <w:r>
        <w:rPr/>
        <w:t>陕西瑞通工程造价咨询有限公司</w:t>
      </w:r>
      <w:r>
        <w:rPr/>
        <w:t xml:space="preserve"> 负责答复；供应商对采购结果的询问、质疑由 </w:t>
      </w:r>
      <w:r>
        <w:rPr/>
        <w:t>陕西瑞通工程造价咨询有限公司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联系人：贾堃 喻涛</w:t>
      </w:r>
    </w:p>
    <w:p>
      <w:pPr>
        <w:pStyle w:val="null3"/>
      </w:pPr>
      <w:r>
        <w:rPr/>
        <w:t>联系电话：029-88224132</w:t>
      </w:r>
    </w:p>
    <w:p>
      <w:pPr>
        <w:pStyle w:val="null3"/>
      </w:pPr>
      <w:r>
        <w:rPr/>
        <w:t>地址：西安市高新区科技路30号合力紫郡A座2204室</w:t>
      </w:r>
    </w:p>
    <w:p>
      <w:pPr>
        <w:pStyle w:val="null3"/>
      </w:pPr>
      <w:r>
        <w:rPr/>
        <w:t>邮编：710075</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西北大学拟采购万能材料试验机1套，采购预算1606000元。</w:t>
      </w:r>
    </w:p>
    <w:p>
      <w:pPr>
        <w:pStyle w:val="null3"/>
        <w:outlineLvl w:val="2"/>
      </w:pPr>
      <w:r>
        <w:rPr>
          <w:sz w:val="28"/>
          <w:b/>
        </w:rPr>
        <w:t>3.2采购内容</w:t>
      </w:r>
    </w:p>
    <w:p>
      <w:pPr>
        <w:pStyle w:val="null3"/>
      </w:pPr>
      <w:r>
        <w:rPr/>
        <w:t>采购包1：</w:t>
      </w:r>
    </w:p>
    <w:p>
      <w:pPr>
        <w:pStyle w:val="null3"/>
      </w:pPr>
      <w:r>
        <w:rPr/>
        <w:t>采购包预算金额（元）: 1,606,000.00</w:t>
      </w:r>
    </w:p>
    <w:p>
      <w:pPr>
        <w:pStyle w:val="null3"/>
      </w:pPr>
      <w:r>
        <w:rPr/>
        <w:t>采购包最高限价（元）: 1,606,000.00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万能材料试验</w:t>
            </w:r>
          </w:p>
        </w:tc>
        <w:tc>
          <w:tcPr>
            <w:tcW w:type="dxa" w:w="831"/>
          </w:tcPr>
          <w:p>
            <w:pPr>
              <w:pStyle w:val="null3"/>
              <w:jc w:val="right"/>
            </w:pPr>
            <w:r>
              <w:rPr/>
              <w:t>1.00</w:t>
            </w:r>
          </w:p>
        </w:tc>
        <w:tc>
          <w:tcPr>
            <w:tcW w:type="dxa" w:w="831"/>
          </w:tcPr>
          <w:p>
            <w:pPr>
              <w:pStyle w:val="null3"/>
              <w:jc w:val="right"/>
            </w:pPr>
            <w:r>
              <w:rPr/>
              <w:t>1,606,000.00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标的名称：万能材料试验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83"/>
              <w:gridCol w:w="1600"/>
              <w:gridCol w:w="235"/>
              <w:gridCol w:w="235"/>
            </w:tblGrid>
            <w:tr>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货物名称</w:t>
                  </w:r>
                </w:p>
              </w:tc>
              <w:tc>
                <w:tcPr>
                  <w:tcW w:type="dxa" w:w="1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技术参数</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单位</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万能材料试验机</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一、主机框架要求</w:t>
                  </w:r>
                </w:p>
                <w:p>
                  <w:pPr>
                    <w:pStyle w:val="null3"/>
                    <w:jc w:val="both"/>
                  </w:pPr>
                  <w:r>
                    <w:rPr>
                      <w:rFonts w:ascii="宋体" w:hAnsi="宋体" w:cs="宋体" w:eastAsia="宋体"/>
                      <w:sz w:val="24"/>
                    </w:rPr>
                    <w:t>1.1</w:t>
                  </w:r>
                  <w:r>
                    <w:rPr>
                      <w:rFonts w:ascii="宋体" w:hAnsi="宋体" w:cs="宋体" w:eastAsia="宋体"/>
                      <w:sz w:val="24"/>
                    </w:rPr>
                    <w:t>主机结构：双立柱落地式主机</w:t>
                  </w:r>
                </w:p>
                <w:p>
                  <w:pPr>
                    <w:pStyle w:val="null3"/>
                    <w:jc w:val="both"/>
                  </w:pPr>
                  <w:r>
                    <w:rPr>
                      <w:rFonts w:ascii="宋体" w:hAnsi="宋体" w:cs="宋体" w:eastAsia="宋体"/>
                      <w:sz w:val="24"/>
                    </w:rPr>
                    <w:t>1.</w:t>
                  </w:r>
                  <w:r>
                    <w:rPr>
                      <w:rFonts w:ascii="宋体" w:hAnsi="宋体" w:cs="宋体" w:eastAsia="宋体"/>
                      <w:sz w:val="24"/>
                    </w:rPr>
                    <w:t>2最大载荷：≥100 kN</w:t>
                  </w:r>
                </w:p>
                <w:p>
                  <w:pPr>
                    <w:pStyle w:val="null3"/>
                    <w:jc w:val="both"/>
                  </w:pPr>
                  <w:r>
                    <w:rPr>
                      <w:rFonts w:ascii="宋体" w:hAnsi="宋体" w:cs="宋体" w:eastAsia="宋体"/>
                      <w:sz w:val="24"/>
                    </w:rPr>
                    <w:t>1.</w:t>
                  </w:r>
                  <w:r>
                    <w:rPr>
                      <w:rFonts w:ascii="宋体" w:hAnsi="宋体" w:cs="宋体" w:eastAsia="宋体"/>
                      <w:sz w:val="24"/>
                    </w:rPr>
                    <w:t>3试验空间：</w:t>
                  </w:r>
                  <w:r>
                    <w:rPr>
                      <w:rFonts w:ascii="宋体" w:hAnsi="宋体" w:cs="宋体" w:eastAsia="宋体"/>
                      <w:sz w:val="24"/>
                    </w:rPr>
                    <w:t>横梁底部至工作台距离</w:t>
                  </w:r>
                  <w:r>
                    <w:rPr>
                      <w:rFonts w:ascii="宋体" w:hAnsi="宋体" w:cs="宋体" w:eastAsia="宋体"/>
                      <w:sz w:val="24"/>
                    </w:rPr>
                    <w:t>≥1250mm，试验空间宽度≥600mm</w:t>
                  </w:r>
                </w:p>
                <w:p>
                  <w:pPr>
                    <w:pStyle w:val="null3"/>
                    <w:jc w:val="both"/>
                  </w:pPr>
                  <w:r>
                    <w:rPr>
                      <w:rFonts w:ascii="宋体" w:hAnsi="宋体" w:cs="宋体" w:eastAsia="宋体"/>
                      <w:sz w:val="24"/>
                    </w:rPr>
                    <w:t>1.</w:t>
                  </w:r>
                  <w:r>
                    <w:rPr>
                      <w:rFonts w:ascii="宋体" w:hAnsi="宋体" w:cs="宋体" w:eastAsia="宋体"/>
                      <w:sz w:val="24"/>
                    </w:rPr>
                    <w:t>4主机刚度：≥300 kN/mm</w:t>
                  </w:r>
                  <w:r>
                    <w:rPr>
                      <w:rFonts w:ascii="宋体" w:hAnsi="宋体" w:cs="宋体" w:eastAsia="宋体"/>
                      <w:sz w:val="24"/>
                    </w:rPr>
                    <w:t>（</w:t>
                  </w:r>
                  <w:r>
                    <w:rPr>
                      <w:rFonts w:ascii="宋体" w:hAnsi="宋体" w:cs="宋体" w:eastAsia="宋体"/>
                      <w:sz w:val="24"/>
                    </w:rPr>
                    <w:t>提供</w:t>
                  </w:r>
                  <w:r>
                    <w:rPr>
                      <w:rFonts w:ascii="宋体" w:hAnsi="宋体" w:cs="宋体" w:eastAsia="宋体"/>
                      <w:sz w:val="24"/>
                    </w:rPr>
                    <w:t>官网截图</w:t>
                  </w:r>
                  <w:r>
                    <w:rPr>
                      <w:rFonts w:ascii="宋体" w:hAnsi="宋体" w:cs="宋体" w:eastAsia="宋体"/>
                      <w:sz w:val="24"/>
                    </w:rPr>
                    <w:t>同时提供查询链接</w:t>
                  </w:r>
                  <w:r>
                    <w:rPr>
                      <w:rFonts w:ascii="宋体" w:hAnsi="宋体" w:cs="宋体" w:eastAsia="宋体"/>
                      <w:sz w:val="24"/>
                    </w:rPr>
                    <w:t>或公开发行的产品样本或宣传页）</w:t>
                  </w:r>
                </w:p>
                <w:p>
                  <w:pPr>
                    <w:pStyle w:val="null3"/>
                    <w:jc w:val="both"/>
                  </w:pPr>
                  <w:r>
                    <w:rPr>
                      <w:rFonts w:ascii="宋体" w:hAnsi="宋体" w:cs="宋体" w:eastAsia="宋体"/>
                      <w:sz w:val="24"/>
                    </w:rPr>
                    <w:t>1.</w:t>
                  </w:r>
                  <w:r>
                    <w:rPr>
                      <w:rFonts w:ascii="宋体" w:hAnsi="宋体" w:cs="宋体" w:eastAsia="宋体"/>
                      <w:sz w:val="24"/>
                    </w:rPr>
                    <w:t>5横梁位移精度：±0.03mm</w:t>
                  </w:r>
                </w:p>
                <w:p>
                  <w:pPr>
                    <w:pStyle w:val="null3"/>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6横梁加载速度：满载荷下达到0~1450 mm/min</w:t>
                  </w:r>
                  <w:r>
                    <w:rPr>
                      <w:rFonts w:ascii="&quot;times new roman&quot;" w:hAnsi="&quot;times new roman&quot;" w:cs="&quot;times new roman&quot;" w:eastAsia="&quot;times new roman&quot;"/>
                      <w:sz w:val="24"/>
                    </w:rPr>
                    <w:t>（提供官网截图同时提供查询链接或公开发行的产品样本或宣传页）</w:t>
                  </w:r>
                </w:p>
                <w:p>
                  <w:pPr>
                    <w:pStyle w:val="null3"/>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7横梁返回速度：≥1750 mm/min</w:t>
                  </w:r>
                  <w:r>
                    <w:rPr>
                      <w:rFonts w:ascii="&quot;times new roman&quot;" w:hAnsi="&quot;times new roman&quot;" w:cs="&quot;times new roman&quot;" w:eastAsia="&quot;times new roman&quot;"/>
                      <w:sz w:val="24"/>
                    </w:rPr>
                    <w:t>（提供官网截图同时提供查询链接或公开发行的产品样本或宣传页）</w:t>
                  </w:r>
                </w:p>
                <w:p>
                  <w:pPr>
                    <w:pStyle w:val="null3"/>
                  </w:pPr>
                  <w:r>
                    <w:rPr>
                      <w:rFonts w:ascii="宋体" w:hAnsi="宋体" w:cs="宋体" w:eastAsia="宋体"/>
                      <w:sz w:val="24"/>
                    </w:rPr>
                    <w:t>1.</w:t>
                  </w:r>
                  <w:r>
                    <w:rPr>
                      <w:rFonts w:ascii="宋体" w:hAnsi="宋体" w:cs="宋体" w:eastAsia="宋体"/>
                      <w:sz w:val="24"/>
                    </w:rPr>
                    <w:t>8横梁速度精度：±0.1%</w:t>
                  </w:r>
                </w:p>
                <w:p>
                  <w:pPr>
                    <w:pStyle w:val="null3"/>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9横梁分辨率：≥8.30nm</w:t>
                  </w:r>
                </w:p>
                <w:p>
                  <w:pPr>
                    <w:pStyle w:val="null3"/>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10数据采样速率：≥9000Hz</w:t>
                  </w:r>
                  <w:r>
                    <w:rPr>
                      <w:rFonts w:ascii="&quot;times new roman&quot;" w:hAnsi="&quot;times new roman&quot;" w:cs="&quot;times new roman&quot;" w:eastAsia="&quot;times new roman&quot;"/>
                      <w:sz w:val="24"/>
                    </w:rPr>
                    <w:t>（提供官网截图同时提供查询链接或公开发行的产品样本或宣传页）</w:t>
                  </w:r>
                </w:p>
                <w:p>
                  <w:pPr>
                    <w:pStyle w:val="null3"/>
                    <w:jc w:val="both"/>
                  </w:pPr>
                  <w:r>
                    <w:rPr>
                      <w:rFonts w:ascii="宋体" w:hAnsi="宋体" w:cs="宋体" w:eastAsia="宋体"/>
                      <w:sz w:val="24"/>
                    </w:rPr>
                    <w:t>1.11</w:t>
                  </w:r>
                  <w:r>
                    <w:rPr>
                      <w:rFonts w:ascii="宋体" w:hAnsi="宋体" w:cs="宋体" w:eastAsia="宋体"/>
                      <w:sz w:val="24"/>
                    </w:rPr>
                    <w:t>独立控制器：控制器和电气部分与主机分离。</w:t>
                  </w:r>
                </w:p>
                <w:p>
                  <w:pPr>
                    <w:pStyle w:val="null3"/>
                    <w:jc w:val="both"/>
                  </w:pPr>
                  <w:r>
                    <w:rPr>
                      <w:rFonts w:ascii="宋体" w:hAnsi="宋体" w:cs="宋体" w:eastAsia="宋体"/>
                      <w:sz w:val="24"/>
                    </w:rPr>
                    <w:t>1.12</w:t>
                  </w:r>
                  <w:r>
                    <w:rPr>
                      <w:rFonts w:ascii="宋体" w:hAnsi="宋体" w:cs="宋体" w:eastAsia="宋体"/>
                      <w:sz w:val="24"/>
                    </w:rPr>
                    <w:t>语音向导</w:t>
                  </w:r>
                  <w:r>
                    <w:rPr>
                      <w:rFonts w:ascii="宋体" w:hAnsi="宋体" w:cs="宋体" w:eastAsia="宋体"/>
                      <w:sz w:val="24"/>
                    </w:rPr>
                    <w:t>/语音操作：在横梁移动前提供语音引导，</w:t>
                  </w:r>
                </w:p>
                <w:p>
                  <w:pPr>
                    <w:pStyle w:val="null3"/>
                    <w:jc w:val="both"/>
                  </w:pPr>
                  <w:r>
                    <w:rPr>
                      <w:rFonts w:ascii="宋体" w:hAnsi="宋体" w:cs="宋体" w:eastAsia="宋体"/>
                      <w:sz w:val="24"/>
                    </w:rPr>
                    <w:t>二、载荷传感器要求</w:t>
                  </w:r>
                </w:p>
                <w:p>
                  <w:pPr>
                    <w:pStyle w:val="null3"/>
                    <w:jc w:val="both"/>
                  </w:pPr>
                  <w:r>
                    <w:rPr>
                      <w:rFonts w:ascii="宋体" w:hAnsi="宋体" w:cs="宋体" w:eastAsia="宋体"/>
                      <w:sz w:val="24"/>
                    </w:rPr>
                    <w:t>2.</w:t>
                  </w:r>
                  <w:r>
                    <w:rPr>
                      <w:rFonts w:ascii="宋体" w:hAnsi="宋体" w:cs="宋体" w:eastAsia="宋体"/>
                      <w:sz w:val="24"/>
                    </w:rPr>
                    <w:t>1配备100 kN拉压双向载荷传感器。</w:t>
                  </w:r>
                </w:p>
                <w:p>
                  <w:pPr>
                    <w:pStyle w:val="null3"/>
                    <w:jc w:val="both"/>
                  </w:pPr>
                  <w:r>
                    <w:rPr>
                      <w:rFonts w:ascii="宋体" w:hAnsi="宋体" w:cs="宋体" w:eastAsia="宋体"/>
                      <w:sz w:val="24"/>
                    </w:rPr>
                    <w:t>2.</w:t>
                  </w:r>
                  <w:r>
                    <w:rPr>
                      <w:rFonts w:ascii="宋体" w:hAnsi="宋体" w:cs="宋体" w:eastAsia="宋体"/>
                      <w:sz w:val="24"/>
                    </w:rPr>
                    <w:t>2传感器：在1/1000~1/100的量程范围内，误差</w:t>
                  </w:r>
                  <w:r>
                    <w:rPr>
                      <w:rFonts w:ascii="宋体" w:hAnsi="宋体" w:cs="宋体" w:eastAsia="宋体"/>
                      <w:sz w:val="24"/>
                      <w:shd w:fill="FFFFFF" w:val="clear"/>
                    </w:rPr>
                    <w:t>≤</w:t>
                  </w:r>
                  <w:r>
                    <w:rPr>
                      <w:rFonts w:ascii="宋体" w:hAnsi="宋体" w:cs="宋体" w:eastAsia="宋体"/>
                      <w:sz w:val="24"/>
                    </w:rPr>
                    <w:t>±0.5%</w:t>
                  </w:r>
                </w:p>
                <w:p>
                  <w:pPr>
                    <w:pStyle w:val="null3"/>
                    <w:jc w:val="both"/>
                  </w:pPr>
                  <w:r>
                    <w:rPr>
                      <w:rFonts w:ascii="宋体" w:hAnsi="宋体" w:cs="宋体" w:eastAsia="宋体"/>
                      <w:sz w:val="24"/>
                    </w:rPr>
                    <w:t>2.</w:t>
                  </w:r>
                  <w:r>
                    <w:rPr>
                      <w:rFonts w:ascii="宋体" w:hAnsi="宋体" w:cs="宋体" w:eastAsia="宋体"/>
                      <w:sz w:val="24"/>
                    </w:rPr>
                    <w:t>3传感器连接：安装小载荷传感器时无需拆卸100 kN传感器。</w:t>
                  </w:r>
                </w:p>
                <w:p>
                  <w:pPr>
                    <w:pStyle w:val="null3"/>
                    <w:jc w:val="both"/>
                  </w:pPr>
                  <w:r>
                    <w:rPr>
                      <w:rFonts w:ascii="宋体" w:hAnsi="宋体" w:cs="宋体" w:eastAsia="宋体"/>
                      <w:sz w:val="24"/>
                    </w:rPr>
                    <w:t>三、引伸计要求</w:t>
                  </w:r>
                </w:p>
                <w:p>
                  <w:pPr>
                    <w:pStyle w:val="null3"/>
                  </w:pPr>
                  <w:r>
                    <w:rPr>
                      <w:rFonts w:ascii="宋体" w:hAnsi="宋体" w:cs="宋体" w:eastAsia="宋体"/>
                      <w:sz w:val="24"/>
                    </w:rPr>
                    <w:t>▲</w:t>
                  </w:r>
                  <w:r>
                    <w:rPr>
                      <w:rFonts w:ascii="宋体" w:hAnsi="宋体" w:cs="宋体" w:eastAsia="宋体"/>
                      <w:sz w:val="24"/>
                    </w:rPr>
                    <w:t>3.</w:t>
                  </w:r>
                  <w:r>
                    <w:rPr>
                      <w:rFonts w:ascii="宋体" w:hAnsi="宋体" w:cs="宋体" w:eastAsia="宋体"/>
                      <w:sz w:val="24"/>
                    </w:rPr>
                    <w:t>1配备非接触式引伸计，测量方式CCD非接触式，视野范围：30～500mm</w:t>
                  </w:r>
                  <w:r>
                    <w:rPr>
                      <w:rFonts w:ascii="&quot;times new roman&quot;" w:hAnsi="&quot;times new roman&quot;" w:cs="&quot;times new roman&quot;" w:eastAsia="&quot;times new roman&quot;"/>
                      <w:sz w:val="24"/>
                    </w:rPr>
                    <w:t>（提供官网截图同时提供查询链接或公开发行的产品样本或宣传页）</w:t>
                  </w:r>
                </w:p>
                <w:p>
                  <w:pPr>
                    <w:pStyle w:val="null3"/>
                    <w:jc w:val="both"/>
                  </w:pPr>
                  <w:r>
                    <w:rPr>
                      <w:rFonts w:ascii="宋体" w:hAnsi="宋体" w:cs="宋体" w:eastAsia="宋体"/>
                      <w:sz w:val="24"/>
                    </w:rPr>
                    <w:t>3.2测量精度：纵向120 mm以下时，精度≤±1.5 μm；横向90 mm以下时，精度≤±2 μm</w:t>
                  </w:r>
                </w:p>
                <w:p>
                  <w:pPr>
                    <w:pStyle w:val="null3"/>
                    <w:jc w:val="both"/>
                  </w:pPr>
                  <w:r>
                    <w:rPr>
                      <w:rFonts w:ascii="宋体" w:hAnsi="宋体" w:cs="宋体" w:eastAsia="宋体"/>
                      <w:sz w:val="24"/>
                    </w:rPr>
                    <w:t>3.3 夹具要求：楔形夹具：最大试验力:≥95kN ；单推夹具：最大试验力:≥450N；</w:t>
                  </w:r>
                  <w:r>
                    <w:rPr>
                      <w:rFonts w:ascii="宋体" w:hAnsi="宋体" w:cs="宋体" w:eastAsia="宋体"/>
                      <w:sz w:val="24"/>
                    </w:rPr>
                    <w:t>压缩夹具：最大试验力</w:t>
                  </w:r>
                  <w:r>
                    <w:rPr>
                      <w:rFonts w:ascii="宋体" w:hAnsi="宋体" w:cs="宋体" w:eastAsia="宋体"/>
                      <w:sz w:val="24"/>
                    </w:rPr>
                    <w:t xml:space="preserve">:≥90kN。  </w:t>
                  </w:r>
                </w:p>
                <w:p>
                  <w:pPr>
                    <w:pStyle w:val="null3"/>
                    <w:jc w:val="both"/>
                  </w:pPr>
                  <w:r>
                    <w:rPr>
                      <w:rFonts w:ascii="宋体" w:hAnsi="宋体" w:cs="宋体" w:eastAsia="宋体"/>
                      <w:sz w:val="24"/>
                    </w:rPr>
                    <w:t>四、配置要求</w:t>
                  </w:r>
                </w:p>
                <w:p>
                  <w:pPr>
                    <w:pStyle w:val="null3"/>
                    <w:jc w:val="both"/>
                  </w:pPr>
                  <w:r>
                    <w:rPr>
                      <w:rFonts w:ascii="宋体" w:hAnsi="宋体" w:cs="宋体" w:eastAsia="宋体"/>
                      <w:sz w:val="24"/>
                    </w:rPr>
                    <w:t>4.1工作站（不低于I7处理器16G内存1000G硬盘）1套</w:t>
                  </w:r>
                </w:p>
                <w:p>
                  <w:pPr>
                    <w:pStyle w:val="null3"/>
                    <w:jc w:val="both"/>
                  </w:pPr>
                  <w:r>
                    <w:rPr>
                      <w:rFonts w:ascii="宋体" w:hAnsi="宋体" w:cs="宋体" w:eastAsia="宋体"/>
                      <w:sz w:val="24"/>
                    </w:rPr>
                    <w:t>4.2材料试验机主机1套</w:t>
                  </w:r>
                </w:p>
                <w:p>
                  <w:pPr>
                    <w:pStyle w:val="null3"/>
                    <w:jc w:val="both"/>
                  </w:pPr>
                  <w:r>
                    <w:rPr>
                      <w:rFonts w:ascii="宋体" w:hAnsi="宋体" w:cs="宋体" w:eastAsia="宋体"/>
                      <w:sz w:val="24"/>
                    </w:rPr>
                    <w:t>4.3载荷传感器和连接件1套</w:t>
                  </w:r>
                </w:p>
                <w:p>
                  <w:pPr>
                    <w:pStyle w:val="null3"/>
                    <w:jc w:val="both"/>
                  </w:pPr>
                  <w:r>
                    <w:rPr>
                      <w:rFonts w:ascii="宋体" w:hAnsi="宋体" w:cs="宋体" w:eastAsia="宋体"/>
                      <w:sz w:val="24"/>
                    </w:rPr>
                    <w:t>4.4多用途连接件1套</w:t>
                  </w:r>
                </w:p>
                <w:p>
                  <w:pPr>
                    <w:pStyle w:val="null3"/>
                    <w:jc w:val="both"/>
                  </w:pPr>
                  <w:r>
                    <w:rPr>
                      <w:rFonts w:ascii="宋体" w:hAnsi="宋体" w:cs="宋体" w:eastAsia="宋体"/>
                      <w:sz w:val="24"/>
                    </w:rPr>
                    <w:t>4.5楔形夹具1套</w:t>
                  </w:r>
                </w:p>
                <w:p>
                  <w:pPr>
                    <w:pStyle w:val="null3"/>
                    <w:jc w:val="both"/>
                  </w:pPr>
                  <w:r>
                    <w:rPr>
                      <w:rFonts w:ascii="宋体" w:hAnsi="宋体" w:cs="宋体" w:eastAsia="宋体"/>
                      <w:sz w:val="24"/>
                    </w:rPr>
                    <w:t>4.6单推夹具1套</w:t>
                  </w:r>
                </w:p>
                <w:p>
                  <w:pPr>
                    <w:pStyle w:val="null3"/>
                    <w:jc w:val="both"/>
                  </w:pPr>
                  <w:r>
                    <w:rPr>
                      <w:rFonts w:ascii="宋体" w:hAnsi="宋体" w:cs="宋体" w:eastAsia="宋体"/>
                      <w:sz w:val="24"/>
                    </w:rPr>
                    <w:t>4.7压缩夹具1套</w:t>
                  </w:r>
                </w:p>
                <w:p>
                  <w:pPr>
                    <w:pStyle w:val="null3"/>
                    <w:jc w:val="both"/>
                  </w:pPr>
                  <w:r>
                    <w:rPr>
                      <w:rFonts w:ascii="宋体" w:hAnsi="宋体" w:cs="宋体" w:eastAsia="宋体"/>
                      <w:sz w:val="24"/>
                    </w:rPr>
                    <w:t>4.8视频引伸计1套</w:t>
                  </w:r>
                </w:p>
                <w:p>
                  <w:pPr>
                    <w:pStyle w:val="null3"/>
                    <w:jc w:val="both"/>
                  </w:pPr>
                  <w:r>
                    <w:rPr>
                      <w:rFonts w:ascii="宋体" w:hAnsi="宋体" w:cs="宋体" w:eastAsia="宋体"/>
                      <w:sz w:val="24"/>
                    </w:rPr>
                    <w:t>4.9操作分析软件1套</w:t>
                  </w:r>
                </w:p>
                <w:p>
                  <w:pPr>
                    <w:pStyle w:val="null3"/>
                    <w:jc w:val="both"/>
                  </w:pPr>
                  <w:r>
                    <w:rPr>
                      <w:rFonts w:ascii="宋体" w:hAnsi="宋体" w:cs="宋体" w:eastAsia="宋体"/>
                      <w:sz w:val="24"/>
                    </w:rPr>
                    <w:t>4.10独立控制器1套</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套</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合同签订后90日内安装调试交付使用</w:t>
      </w:r>
    </w:p>
    <w:p>
      <w:pPr>
        <w:pStyle w:val="null3"/>
        <w:outlineLvl w:val="3"/>
      </w:pPr>
      <w:r>
        <w:rPr>
          <w:sz w:val="24"/>
          <w:b/>
        </w:rPr>
        <w:t>3.4.2交货地点和方式</w:t>
      </w:r>
    </w:p>
    <w:p>
      <w:pPr>
        <w:pStyle w:val="null3"/>
      </w:pPr>
      <w:r>
        <w:rPr/>
        <w:t>采购包1：</w:t>
      </w:r>
    </w:p>
    <w:p>
      <w:pPr>
        <w:pStyle w:val="null3"/>
      </w:pPr>
      <w:r>
        <w:rPr/>
        <w:t>西北大学文化遗产学院指定地点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①国产设备：合同生效后，乙方开具合同金额等额银行保函，甲方收到银行保函正本后预付合同货款，待货物到达指定地点、安装调试验收合格后，甲方退还银行保函正本。②进口设备：合同生效后，由甲方通过进出口业务代理公司向乙方开出100%信用证，待货物到货、安装调试、并经学校组织验收合格后，由甲方通知进出口业务代理公司向乙方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质保期：自学校验收合格之日起1年 1.售后服务标准要求：①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②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 2.售后服务效率要求：即时响应（包括电话响应）；电话响应无法解决时，48小时内到达现场。修复时间 72 小时内；如72 小时内无法修复，应提供相应解决方案。</w:t>
      </w:r>
    </w:p>
    <w:p>
      <w:pPr>
        <w:pStyle w:val="null3"/>
        <w:outlineLvl w:val="3"/>
      </w:pPr>
      <w:r>
        <w:rPr>
          <w:sz w:val="24"/>
          <w:b/>
        </w:rPr>
        <w:t>3.4.8违约责任与解决争议的方法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sz w:val="28"/>
          <w:b/>
        </w:rPr>
        <w:t>3.5其他要求</w:t>
      </w:r>
    </w:p>
    <w:p>
      <w:pPr>
        <w:pStyle w:val="null3"/>
      </w:pPr>
      <w:r>
        <w:rPr/>
        <w:t>1.供应商需在线提交所有通过电子化交易平台实施的政府采购项目的响应文件，另外，在磋商截止时间前向代理机构递交密封、系统生成的纸质版响应文件贰份（胶装，封袋标注供应商名称及项目名称）。代理机构对递交的文件签收，由监标人查验密封情况并记录，开标后交磋商小组，作为评审的辅助资料。递交方式：现场递交，或快递邮寄。 2.供应商请仔细阅读采购文件《第一章 竞争性磋商邀请》第六条“电子化采购相关事项”，提前做好线上开标准备。 3.本项目磋商在采购系统线上进行，供应商需自行了解系统磋商的要求和操作流程。未按流程操作或无法联系以及供应商自身原因错过磋商的视为自动放弃磋商，其投标无效。 4.本项目采用两轮报价，响应文件中的报价为首次报价，磋商后的报价为最终报价。 5.付款说明：①国产设备：合同生效后，乙方开具合同金额等额银行保函，甲方收到银行保函正本后预付合同货款，待货物到达指定地点、安装调试验收合格后，甲方退还银行保函正本。②进口设备：合同生效后，由甲方通过进出口业务代理公司向乙方开出100%信用证，待货物到货、安装调试、并经学校组织验收合格后，由甲方通知进出口业务代理公司向乙方解付。付款方式第三章支付约定不一致，以此处为准。 6.本项目标的名称为“万能材料试验机。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信用证明</w:t>
            </w:r>
          </w:p>
        </w:tc>
        <w:tc>
          <w:tcPr>
            <w:tcW w:type="dxa" w:w="3322"/>
          </w:tcPr>
          <w:p>
            <w:pPr>
              <w:pStyle w:val="null3"/>
            </w:pPr>
            <w:r>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t>信用声明</w:t>
            </w:r>
          </w:p>
        </w:tc>
      </w:tr>
      <w:tr>
        <w:tc>
          <w:tcPr>
            <w:tcW w:type="dxa" w:w="831"/>
          </w:tcPr>
          <w:p>
            <w:pPr>
              <w:pStyle w:val="null3"/>
            </w:pPr>
            <w:r>
              <w:rPr/>
              <w:t>2</w:t>
            </w:r>
          </w:p>
        </w:tc>
        <w:tc>
          <w:tcPr>
            <w:tcW w:type="dxa" w:w="2492"/>
          </w:tcPr>
          <w:p>
            <w:pPr>
              <w:pStyle w:val="null3"/>
            </w:pPr>
            <w:r>
              <w:rPr/>
              <w:t>注册证照</w:t>
            </w:r>
          </w:p>
        </w:tc>
        <w:tc>
          <w:tcPr>
            <w:tcW w:type="dxa" w:w="3322"/>
          </w:tcPr>
          <w:p>
            <w:pPr>
              <w:pStyle w:val="null3"/>
            </w:pPr>
            <w:r>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t>注册证照</w:t>
            </w:r>
          </w:p>
        </w:tc>
      </w:tr>
      <w:tr>
        <w:tc>
          <w:tcPr>
            <w:tcW w:type="dxa" w:w="831"/>
          </w:tcPr>
          <w:p>
            <w:pPr>
              <w:pStyle w:val="null3"/>
            </w:pPr>
            <w:r>
              <w:rPr/>
              <w:t>3</w:t>
            </w:r>
          </w:p>
        </w:tc>
        <w:tc>
          <w:tcPr>
            <w:tcW w:type="dxa" w:w="2492"/>
          </w:tcPr>
          <w:p>
            <w:pPr>
              <w:pStyle w:val="null3"/>
            </w:pPr>
            <w:r>
              <w:rPr/>
              <w:t>供应商代表授权</w:t>
            </w:r>
          </w:p>
        </w:tc>
        <w:tc>
          <w:tcPr>
            <w:tcW w:type="dxa" w:w="3322"/>
          </w:tcPr>
          <w:p>
            <w:pPr>
              <w:pStyle w:val="null3"/>
            </w:pPr>
            <w:r>
              <w:rPr/>
              <w:t>提供法定代表人证明书和代表人授权委托书</w:t>
            </w:r>
          </w:p>
        </w:tc>
        <w:tc>
          <w:tcPr>
            <w:tcW w:type="dxa" w:w="1661"/>
          </w:tcPr>
          <w:p>
            <w:pPr>
              <w:pStyle w:val="null3"/>
            </w:pPr>
            <w:r>
              <w:rPr/>
              <w:t>法定代表人授权委托书 法定代表人证明书</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2023年度经第三方会计事务所审计过的财务报告，或磋商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t>财务状况证明</w:t>
            </w:r>
          </w:p>
        </w:tc>
      </w:tr>
      <w:tr>
        <w:tc>
          <w:tcPr>
            <w:tcW w:type="dxa" w:w="831"/>
          </w:tcPr>
          <w:p>
            <w:pPr>
              <w:pStyle w:val="null3"/>
            </w:pPr>
            <w:r>
              <w:rPr/>
              <w:t>5</w:t>
            </w:r>
          </w:p>
        </w:tc>
        <w:tc>
          <w:tcPr>
            <w:tcW w:type="dxa" w:w="2492"/>
          </w:tcPr>
          <w:p>
            <w:pPr>
              <w:pStyle w:val="null3"/>
            </w:pPr>
            <w:r>
              <w:rPr/>
              <w:t>纳税证明</w:t>
            </w:r>
          </w:p>
        </w:tc>
        <w:tc>
          <w:tcPr>
            <w:tcW w:type="dxa" w:w="3322"/>
          </w:tcPr>
          <w:p>
            <w:pPr>
              <w:pStyle w:val="null3"/>
            </w:pPr>
            <w:r>
              <w:rPr/>
              <w:t>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t>纳税证明</w:t>
            </w:r>
          </w:p>
        </w:tc>
      </w:tr>
      <w:tr>
        <w:tc>
          <w:tcPr>
            <w:tcW w:type="dxa" w:w="831"/>
          </w:tcPr>
          <w:p>
            <w:pPr>
              <w:pStyle w:val="null3"/>
            </w:pPr>
            <w:r>
              <w:rPr/>
              <w:t>6</w:t>
            </w:r>
          </w:p>
        </w:tc>
        <w:tc>
          <w:tcPr>
            <w:tcW w:type="dxa" w:w="2492"/>
          </w:tcPr>
          <w:p>
            <w:pPr>
              <w:pStyle w:val="null3"/>
            </w:pPr>
            <w:r>
              <w:rPr/>
              <w:t>社保缴纳证明</w:t>
            </w:r>
          </w:p>
        </w:tc>
        <w:tc>
          <w:tcPr>
            <w:tcW w:type="dxa" w:w="3322"/>
          </w:tcPr>
          <w:p>
            <w:pPr>
              <w:pStyle w:val="null3"/>
            </w:pPr>
            <w:r>
              <w:rPr/>
              <w:t>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t>社会保障资金缴纳证明</w:t>
            </w:r>
          </w:p>
        </w:tc>
      </w:tr>
      <w:tr>
        <w:tc>
          <w:tcPr>
            <w:tcW w:type="dxa" w:w="831"/>
          </w:tcPr>
          <w:p>
            <w:pPr>
              <w:pStyle w:val="null3"/>
            </w:pPr>
            <w:r>
              <w:rPr/>
              <w:t>7</w:t>
            </w:r>
          </w:p>
        </w:tc>
        <w:tc>
          <w:tcPr>
            <w:tcW w:type="dxa" w:w="2492"/>
          </w:tcPr>
          <w:p>
            <w:pPr>
              <w:pStyle w:val="null3"/>
            </w:pPr>
            <w:r>
              <w:rPr/>
              <w:t>履约能力证明</w:t>
            </w:r>
          </w:p>
        </w:tc>
        <w:tc>
          <w:tcPr>
            <w:tcW w:type="dxa" w:w="3322"/>
          </w:tcPr>
          <w:p>
            <w:pPr>
              <w:pStyle w:val="null3"/>
            </w:pPr>
            <w:r>
              <w:rPr/>
              <w:t>提供具有履行本合同所必需的专业技术能力的声明</w:t>
            </w:r>
          </w:p>
        </w:tc>
        <w:tc>
          <w:tcPr>
            <w:tcW w:type="dxa" w:w="1661"/>
          </w:tcPr>
          <w:p>
            <w:pPr>
              <w:pStyle w:val="null3"/>
            </w:pPr>
            <w:r>
              <w:rPr/>
              <w:t>履约能力声明</w:t>
            </w:r>
          </w:p>
        </w:tc>
      </w:tr>
      <w:tr>
        <w:tc>
          <w:tcPr>
            <w:tcW w:type="dxa" w:w="831"/>
          </w:tcPr>
          <w:p>
            <w:pPr>
              <w:pStyle w:val="null3"/>
            </w:pPr>
            <w:r>
              <w:rPr/>
              <w:t>8</w:t>
            </w:r>
          </w:p>
        </w:tc>
        <w:tc>
          <w:tcPr>
            <w:tcW w:type="dxa" w:w="2492"/>
          </w:tcPr>
          <w:p>
            <w:pPr>
              <w:pStyle w:val="null3"/>
            </w:pPr>
            <w:r>
              <w:rPr/>
              <w:t>产品授权</w:t>
            </w:r>
          </w:p>
        </w:tc>
        <w:tc>
          <w:tcPr>
            <w:tcW w:type="dxa" w:w="3322"/>
          </w:tcPr>
          <w:p>
            <w:pPr>
              <w:pStyle w:val="null3"/>
            </w:pPr>
            <w:r>
              <w:rPr/>
              <w:t>提供进口产品的，须提供自产品制造商起链条完整的针对本项目或所投产品的授权书，授权函为外文的须提供逐一对应的中文译文（外籍人士的签字除外）并加盖投标人公章。国产产品无此要求</w:t>
            </w:r>
          </w:p>
        </w:tc>
        <w:tc>
          <w:tcPr>
            <w:tcW w:type="dxa" w:w="1661"/>
          </w:tcPr>
          <w:p>
            <w:pPr>
              <w:pStyle w:val="null3"/>
            </w:pPr>
            <w:r>
              <w:rPr/>
              <w:t>产品授权</w:t>
            </w:r>
          </w:p>
        </w:tc>
      </w:tr>
      <w:tr>
        <w:tc>
          <w:tcPr>
            <w:tcW w:type="dxa" w:w="831"/>
          </w:tcPr>
          <w:p>
            <w:pPr>
              <w:pStyle w:val="null3"/>
            </w:pPr>
            <w:r>
              <w:rPr/>
              <w:t>9</w:t>
            </w:r>
          </w:p>
        </w:tc>
        <w:tc>
          <w:tcPr>
            <w:tcW w:type="dxa" w:w="2492"/>
          </w:tcPr>
          <w:p>
            <w:pPr>
              <w:pStyle w:val="null3"/>
            </w:pPr>
            <w:r>
              <w:rPr/>
              <w:t>联合体投标</w:t>
            </w:r>
          </w:p>
        </w:tc>
        <w:tc>
          <w:tcPr>
            <w:tcW w:type="dxa" w:w="3322"/>
          </w:tcPr>
          <w:p>
            <w:pPr>
              <w:pStyle w:val="null3"/>
            </w:pPr>
            <w:r>
              <w:rPr/>
              <w:t>不接受联合体，提供非联合体声明</w:t>
            </w:r>
          </w:p>
        </w:tc>
        <w:tc>
          <w:tcPr>
            <w:tcW w:type="dxa" w:w="1661"/>
          </w:tcPr>
          <w:p>
            <w:pPr>
              <w:pStyle w:val="null3"/>
            </w:pPr>
            <w:r>
              <w:rPr/>
              <w:t>非联合体声明</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供应商应按格式/模板填写供应商名称，至少以下文件的名称须和营业执照、公章一致。1.响应文件封面。2.响应函。</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磋商有效期</w:t>
            </w:r>
          </w:p>
        </w:tc>
        <w:tc>
          <w:tcPr>
            <w:tcW w:type="dxa" w:w="3322"/>
          </w:tcPr>
          <w:p>
            <w:pPr>
              <w:pStyle w:val="null3"/>
            </w:pPr>
            <w:r>
              <w:rPr/>
              <w:t>不少于120日历天</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首次响应报价</w:t>
            </w:r>
          </w:p>
        </w:tc>
        <w:tc>
          <w:tcPr>
            <w:tcW w:type="dxa" w:w="3322"/>
          </w:tcPr>
          <w:p>
            <w:pPr>
              <w:pStyle w:val="null3"/>
            </w:pPr>
            <w:r>
              <w:rPr/>
              <w:t>首次报价未超过采购预算</w:t>
            </w:r>
          </w:p>
        </w:tc>
        <w:tc>
          <w:tcPr>
            <w:tcW w:type="dxa" w:w="1661"/>
          </w:tcPr>
          <w:p>
            <w:pPr>
              <w:pStyle w:val="null3"/>
            </w:pPr>
            <w:r>
              <w:rPr/>
              <w:t>报价表</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合同签订后90日内安装调试交付使用</w:t>
            </w:r>
          </w:p>
        </w:tc>
        <w:tc>
          <w:tcPr>
            <w:tcW w:type="dxa" w:w="1661"/>
          </w:tcPr>
          <w:p>
            <w:pPr>
              <w:pStyle w:val="null3"/>
            </w:pPr>
            <w:r>
              <w:rPr/>
              <w:t>报价表</w:t>
            </w:r>
          </w:p>
        </w:tc>
      </w:tr>
      <w:tr>
        <w:tc>
          <w:tcPr>
            <w:tcW w:type="dxa" w:w="831"/>
          </w:tcPr>
          <w:p>
            <w:pPr>
              <w:pStyle w:val="null3"/>
            </w:pPr>
            <w:r>
              <w:rPr/>
              <w:t>6</w:t>
            </w:r>
          </w:p>
        </w:tc>
        <w:tc>
          <w:tcPr>
            <w:tcW w:type="dxa" w:w="2492"/>
          </w:tcPr>
          <w:p>
            <w:pPr>
              <w:pStyle w:val="null3"/>
            </w:pPr>
            <w:r>
              <w:rPr/>
              <w:t>交货地点</w:t>
            </w:r>
          </w:p>
        </w:tc>
        <w:tc>
          <w:tcPr>
            <w:tcW w:type="dxa" w:w="3322"/>
          </w:tcPr>
          <w:p>
            <w:pPr>
              <w:pStyle w:val="null3"/>
            </w:pPr>
            <w:r>
              <w:rPr/>
              <w:t>西北大学文化遗产学院指定地点</w:t>
            </w:r>
          </w:p>
        </w:tc>
        <w:tc>
          <w:tcPr>
            <w:tcW w:type="dxa" w:w="1661"/>
          </w:tcPr>
          <w:p>
            <w:pPr>
              <w:pStyle w:val="null3"/>
            </w:pPr>
            <w:r>
              <w:rPr/>
              <w:t>报价表</w:t>
            </w:r>
          </w:p>
        </w:tc>
      </w:tr>
      <w:tr>
        <w:tc>
          <w:tcPr>
            <w:tcW w:type="dxa" w:w="831"/>
          </w:tcPr>
          <w:p>
            <w:pPr>
              <w:pStyle w:val="null3"/>
            </w:pPr>
            <w:r>
              <w:rPr/>
              <w:t>7</w:t>
            </w:r>
          </w:p>
        </w:tc>
        <w:tc>
          <w:tcPr>
            <w:tcW w:type="dxa" w:w="2492"/>
          </w:tcPr>
          <w:p>
            <w:pPr>
              <w:pStyle w:val="null3"/>
            </w:pPr>
            <w:r>
              <w:rPr/>
              <w:t>质保期</w:t>
            </w:r>
          </w:p>
        </w:tc>
        <w:tc>
          <w:tcPr>
            <w:tcW w:type="dxa" w:w="3322"/>
          </w:tcPr>
          <w:p>
            <w:pPr>
              <w:pStyle w:val="null3"/>
            </w:pPr>
            <w:r>
              <w:rPr/>
              <w:t>自学校验收合格之日起1年</w:t>
            </w:r>
          </w:p>
        </w:tc>
        <w:tc>
          <w:tcPr>
            <w:tcW w:type="dxa" w:w="1661"/>
          </w:tcPr>
          <w:p>
            <w:pPr>
              <w:pStyle w:val="null3"/>
            </w:pPr>
            <w:r>
              <w:rPr/>
              <w:t>质保期</w:t>
            </w:r>
          </w:p>
        </w:tc>
      </w:tr>
      <w:tr>
        <w:tc>
          <w:tcPr>
            <w:tcW w:type="dxa" w:w="831"/>
          </w:tcPr>
          <w:p>
            <w:pPr>
              <w:pStyle w:val="null3"/>
            </w:pPr>
            <w:r>
              <w:rPr/>
              <w:t>8</w:t>
            </w:r>
          </w:p>
        </w:tc>
        <w:tc>
          <w:tcPr>
            <w:tcW w:type="dxa" w:w="2492"/>
          </w:tcPr>
          <w:p>
            <w:pPr>
              <w:pStyle w:val="null3"/>
            </w:pPr>
            <w:r>
              <w:rPr/>
              <w:t>主要商务条款</w:t>
            </w:r>
          </w:p>
        </w:tc>
        <w:tc>
          <w:tcPr>
            <w:tcW w:type="dxa" w:w="3322"/>
          </w:tcPr>
          <w:p>
            <w:pPr>
              <w:pStyle w:val="null3"/>
            </w:pPr>
            <w:r>
              <w:rPr/>
              <w:t>1.售后服务标准要求：①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②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 2.售后服务效率要求：即时响应（包括电话响应）；电话响应无法解决时，48小时内到达现场。修复时间 72 小时内；如72 小时内无法修复，应提供相应解决方案。 3.支付方式：①国产设备：合同生效后，乙方开具合同金额等额银行保函，甲方收到银行保函正本后预付合同货款，待货物到达指定地点、安装调试验收合格后，甲方退还银行保函正本。②进口设备：合同生效后，由甲方通过进出口业务代理公司向乙方开出100%信用证，待货物到货、安装调试、并经学校组织验收合格后，由甲方通知进出口业务代理公司向乙方解付。</w:t>
            </w:r>
          </w:p>
        </w:tc>
        <w:tc>
          <w:tcPr>
            <w:tcW w:type="dxa" w:w="1661"/>
          </w:tcPr>
          <w:p>
            <w:pPr>
              <w:pStyle w:val="null3"/>
            </w:pPr>
            <w:r>
              <w:rPr/>
              <w:t>主要商务条款响应偏离表</w:t>
            </w:r>
          </w:p>
        </w:tc>
      </w:tr>
      <w:tr>
        <w:tc>
          <w:tcPr>
            <w:tcW w:type="dxa" w:w="831"/>
          </w:tcPr>
          <w:p>
            <w:pPr>
              <w:pStyle w:val="null3"/>
            </w:pPr>
            <w:r>
              <w:rPr/>
              <w:t>9</w:t>
            </w:r>
          </w:p>
        </w:tc>
        <w:tc>
          <w:tcPr>
            <w:tcW w:type="dxa" w:w="2492"/>
          </w:tcPr>
          <w:p>
            <w:pPr>
              <w:pStyle w:val="null3"/>
            </w:pPr>
            <w:r>
              <w:rPr/>
              <w:t>投标内容</w:t>
            </w:r>
          </w:p>
        </w:tc>
        <w:tc>
          <w:tcPr>
            <w:tcW w:type="dxa" w:w="3322"/>
          </w:tcPr>
          <w:p>
            <w:pPr>
              <w:pStyle w:val="null3"/>
            </w:pPr>
            <w:r>
              <w:rPr/>
              <w:t>1.投标产品品目、数量符合磋商文件要求。注：本项目投标产品按套计算。</w:t>
            </w:r>
          </w:p>
        </w:tc>
        <w:tc>
          <w:tcPr>
            <w:tcW w:type="dxa" w:w="1661"/>
          </w:tcPr>
          <w:p>
            <w:pPr>
              <w:pStyle w:val="null3"/>
            </w:pPr>
            <w:r>
              <w:rPr/>
              <w:t>标的清单</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技术参数及性能</w:t>
            </w:r>
          </w:p>
        </w:tc>
        <w:tc>
          <w:tcPr>
            <w:tcW w:type="dxa" w:w="2492"/>
          </w:tcPr>
          <w:p>
            <w:pPr>
              <w:pStyle w:val="null3"/>
            </w:pPr>
            <w:r>
              <w:rPr/>
              <w:t>基本分：所投产品的技术参数完全满足磋商文件要求没有负偏离的计40.5分。 1.技术参数中标“▲”项（共5项）为重要参数，满分17.5分，每负偏离一项扣3.5分，扣完为止。 2.技术参数中非“▲”项（共23项）满分23分，每负偏离一项扣1分，扣完为止。 加分项：技术参数性能优于磋商文件要求，具有实际使用价值的提升，经磋商小组一致认定可加分，满分10.5分。 1.“▲”项参数优于的，一项可加1.5分，最高可加7.5分； 2.非“▲”项参数优于一项可加0.25分，最高可加3分。 注： ①采购需求中要求提供证明材料的须提供证明材料且以证明材料为准。 ②采购需求中未要求提供证明材料的以《投标产品技术指标偏离表》响应内容为准，优于项还须提供证明材料（提供官网截图同时提供查询链接或公开发行的产品样本或宣传页），无材料的加分不予认定，仅得基本分。供应商应如实填写投标产品的参数及性能，如简单拷贝采购需求，磋商小组可以根据响应情况扣分，扣分标准见前款。</w:t>
            </w:r>
          </w:p>
        </w:tc>
        <w:tc>
          <w:tcPr>
            <w:tcW w:type="dxa" w:w="831"/>
          </w:tcPr>
          <w:p>
            <w:pPr>
              <w:pStyle w:val="null3"/>
              <w:jc w:val="right"/>
            </w:pPr>
            <w:r>
              <w:rPr/>
              <w:t>51.0000</w:t>
            </w:r>
          </w:p>
        </w:tc>
        <w:tc>
          <w:tcPr>
            <w:tcW w:type="dxa" w:w="831"/>
          </w:tcPr>
          <w:p>
            <w:pPr>
              <w:pStyle w:val="null3"/>
            </w:pPr>
            <w:r>
              <w:rPr/>
              <w:t>客观</w:t>
            </w:r>
          </w:p>
        </w:tc>
        <w:tc>
          <w:tcPr>
            <w:tcW w:type="dxa" w:w="1661"/>
          </w:tcPr>
          <w:p>
            <w:pPr>
              <w:pStyle w:val="null3"/>
            </w:pPr>
            <w:r>
              <w:rPr/>
              <w:t>投标产品技术参数明细表</w:t>
            </w:r>
          </w:p>
          <w:p>
            <w:pPr>
              <w:pStyle w:val="null3"/>
            </w:pPr>
            <w:r>
              <w:rPr/>
              <w:t>投标产品技术指标偏离表</w:t>
            </w:r>
          </w:p>
        </w:tc>
      </w:tr>
      <w:tr>
        <w:tc>
          <w:tcPr>
            <w:tcW w:type="dxa" w:w="831"/>
            <w:vMerge/>
          </w:tcPr>
          <w:p/>
        </w:tc>
        <w:tc>
          <w:tcPr>
            <w:tcW w:type="dxa" w:w="1661"/>
          </w:tcPr>
          <w:p>
            <w:pPr>
              <w:pStyle w:val="null3"/>
            </w:pPr>
            <w:r>
              <w:rPr/>
              <w:t>质量保证</w:t>
            </w:r>
          </w:p>
        </w:tc>
        <w:tc>
          <w:tcPr>
            <w:tcW w:type="dxa" w:w="2492"/>
          </w:tcPr>
          <w:p>
            <w:pPr>
              <w:pStyle w:val="null3"/>
            </w:pPr>
            <w:r>
              <w:rPr/>
              <w:t>一、评审内容： 根据项目实际需求，提供质量保证方案。内容包含①产品性能、使用寿命及效果②质量保证措施。 二、评审标准： 1.完整性：方案需全面，对评审内容中的各项要求有详细描述； 2.可实施性：切合本项目实际情况，实施步骤清晰、合理； 3.针对性：方案能够紧扣项目实际情况，内容科学合 理。 三、赋分依据（满分3分） 1.产品性能、使用寿命及效果:：每完全满足一个评审标准得0.5分，满分1.5分；未提供不得分； 2.质量保证措施：每完全满足一个评审标准得0.5分，满分1.5分；未提供不得分。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一、评审内容： 投标人针对本项目提供完整的项目实施方案。内容包含但不限于：①供货组织安排、物力调配及保障措施②安装调试验收。 二、评审标准 1.完整性：方案需全面，对评审内容中的各项要求描述详细。 2.可实施性：切合本项目实际情况，实施步骤清晰、合理。 3.针对性：方案能够紧扣项目实际情况，内容科学合理。 三、赋分依据（满分3分） 1.供货组织安排、物力调配及保障措施：每完全满足一个评审标准得0.5分，满分1.5分；未提供不得分。 2.安装调试验收方案及安排:每完全满足一个评审标准得0.5 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质保期</w:t>
            </w:r>
          </w:p>
        </w:tc>
        <w:tc>
          <w:tcPr>
            <w:tcW w:type="dxa" w:w="2492"/>
          </w:tcPr>
          <w:p>
            <w:pPr>
              <w:pStyle w:val="null3"/>
            </w:pPr>
            <w:r>
              <w:rPr/>
              <w:t>在满足磋商文件要求质保期的基础上，供应商可根据自身情况延长质保年限，磋商小组根据各供应商响应的延长质保年限进行综合评定，以延长质保年限最长者为基准，计2分，其他供应商的延长质保年限分统一按照下列公式计算：响应得分=延长质保期／基准)×2。仅满足磋商文件要求的质保期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质保期</w:t>
            </w:r>
          </w:p>
        </w:tc>
      </w:tr>
      <w:tr>
        <w:tc>
          <w:tcPr>
            <w:tcW w:type="dxa" w:w="831"/>
            <w:vMerge/>
          </w:tcPr>
          <w:p/>
        </w:tc>
        <w:tc>
          <w:tcPr>
            <w:tcW w:type="dxa" w:w="1661"/>
          </w:tcPr>
          <w:p>
            <w:pPr>
              <w:pStyle w:val="null3"/>
            </w:pPr>
            <w:r>
              <w:rPr/>
              <w:t>培训</w:t>
            </w:r>
          </w:p>
        </w:tc>
        <w:tc>
          <w:tcPr>
            <w:tcW w:type="dxa" w:w="2492"/>
          </w:tcPr>
          <w:p>
            <w:pPr>
              <w:pStyle w:val="null3"/>
            </w:pPr>
            <w:r>
              <w:rPr/>
              <w:t>一、评审内容 针对本项目具有可行的技术培训方案。包括①培训计划，含培训计划表、地点、时间及培训对象人数等②培训内容，含所提供产品的原理和技术性能、操作维护方法、安装调试、排除故障等。 二、评审标准 1.完整性：方案需全面，对评审内容中的各项要求表述详细。 2.可实施性：切合本项目实际情况，实施步骤清晰、合理； 3.针对性：方案能够紧扣项目实际情况，内容科学合理。 三、赋分依据（满分3分） 1.培训计划：每完全满足一个评审标准得0.5分，满分1.5分；未提供不得分； 2.培训内容：每完全满足一个评审标准得0.5分，满分1.5分；未提供不得分。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售后服务方案</w:t>
            </w:r>
          </w:p>
        </w:tc>
        <w:tc>
          <w:tcPr>
            <w:tcW w:type="dxa" w:w="2492"/>
          </w:tcPr>
          <w:p>
            <w:pPr>
              <w:pStyle w:val="null3"/>
            </w:pPr>
            <w:r>
              <w:rPr/>
              <w:t>一、评审内容 根据项目实际需求提供售后服务方案。内容包含但不限于：①服务范围及保障措施：②应急处理方案。 二、评审标准 1.完整性：方案需全面，对评审内容中的各项要求详细表述； 2.可实施性：切合本项目实际情况，提出步骤清晰、合理的方案； 3.针对性：方案能够紧扣项目实际情况，内容科学合理。 三、赋分依据（3分） 1.服务范围及保障措施：每完全满足一个评审标准得0.5分，满分1.5分；未提供不得分； 2.应急处理方案:每完全满足一个评审标准得0.5分，满分1.5分；未提供不得分。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业绩</w:t>
            </w:r>
          </w:p>
        </w:tc>
        <w:tc>
          <w:tcPr>
            <w:tcW w:type="dxa" w:w="2492"/>
          </w:tcPr>
          <w:p>
            <w:pPr>
              <w:pStyle w:val="null3"/>
            </w:pPr>
            <w:r>
              <w:rPr/>
              <w:t>投标人每提供一份2022年1月1日至今同类项目业绩计1分，最高得5分。注：①业绩以合同为准，时间以合同签订时间为准。②需提供完整合同扫描件。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业绩情况表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低的投标报价为评标基准价，其价格分为满分。其他供应商的价格分统一按照下列公式计算：价格分=(评标基准价／投标报价)×30分。注：计算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详见附件：财务状况证明</w:t>
      </w:r>
    </w:p>
    <w:p>
      <w:pPr>
        <w:pStyle w:val="null3"/>
        <w:ind w:firstLine="960"/>
      </w:pPr>
      <w:r>
        <w:rPr/>
        <w:t>详见附件：产品授权</w:t>
      </w:r>
    </w:p>
    <w:p>
      <w:pPr>
        <w:pStyle w:val="null3"/>
        <w:ind w:firstLine="960"/>
      </w:pPr>
      <w:r>
        <w:rPr/>
        <w:t>详见附件：法定代表人授权委托书</w:t>
      </w:r>
    </w:p>
    <w:p>
      <w:pPr>
        <w:pStyle w:val="null3"/>
        <w:ind w:firstLine="960"/>
      </w:pPr>
      <w:r>
        <w:rPr/>
        <w:t>详见附件：法定代表人证明书</w:t>
      </w:r>
    </w:p>
    <w:p>
      <w:pPr>
        <w:pStyle w:val="null3"/>
        <w:ind w:firstLine="960"/>
      </w:pPr>
      <w:r>
        <w:rPr/>
        <w:t>详见附件：非联合体声明</w:t>
      </w:r>
    </w:p>
    <w:p>
      <w:pPr>
        <w:pStyle w:val="null3"/>
        <w:ind w:firstLine="960"/>
      </w:pPr>
      <w:r>
        <w:rPr/>
        <w:t>详见附件：履约能力声明</w:t>
      </w:r>
    </w:p>
    <w:p>
      <w:pPr>
        <w:pStyle w:val="null3"/>
        <w:ind w:firstLine="960"/>
      </w:pPr>
      <w:r>
        <w:rPr/>
        <w:t>详见附件：纳税证明</w:t>
      </w:r>
    </w:p>
    <w:p>
      <w:pPr>
        <w:pStyle w:val="null3"/>
        <w:ind w:firstLine="960"/>
      </w:pPr>
      <w:r>
        <w:rPr/>
        <w:t>详见附件：社会保障资金缴纳证明</w:t>
      </w:r>
    </w:p>
    <w:p>
      <w:pPr>
        <w:pStyle w:val="null3"/>
        <w:ind w:firstLine="960"/>
      </w:pPr>
      <w:r>
        <w:rPr/>
        <w:t>详见附件：信用声明</w:t>
      </w:r>
    </w:p>
    <w:p>
      <w:pPr>
        <w:pStyle w:val="null3"/>
        <w:ind w:firstLine="960"/>
      </w:pPr>
      <w:r>
        <w:rPr/>
        <w:t>详见附件：注册证照</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详见附件：投标产品技术参数明细表</w:t>
      </w:r>
    </w:p>
    <w:p>
      <w:pPr>
        <w:pStyle w:val="null3"/>
        <w:ind w:firstLine="960"/>
      </w:pPr>
      <w:r>
        <w:rPr/>
        <w:t>详见附件：投标产品技术指标偏离表</w:t>
      </w:r>
    </w:p>
    <w:p>
      <w:pPr>
        <w:pStyle w:val="null3"/>
        <w:ind w:firstLine="960"/>
      </w:pPr>
      <w:r>
        <w:rPr/>
        <w:t>详见附件：业绩情况表</w:t>
      </w:r>
    </w:p>
    <w:p>
      <w:pPr>
        <w:pStyle w:val="null3"/>
        <w:ind w:firstLine="960"/>
      </w:pPr>
      <w:r>
        <w:rPr/>
        <w:t>详见附件：质量保证</w:t>
      </w:r>
    </w:p>
    <w:p>
      <w:pPr>
        <w:pStyle w:val="null3"/>
        <w:ind w:firstLine="960"/>
      </w:pPr>
      <w:r>
        <w:rPr/>
        <w:t>详见附件：主要商务条款响应偏离表</w:t>
      </w:r>
    </w:p>
    <w:p>
      <w:pPr>
        <w:pStyle w:val="null3"/>
        <w:ind w:firstLine="960"/>
      </w:pPr>
      <w:r>
        <w:rPr/>
        <w:t>详见附件：质保期</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详见附件：合同模版（进口＆国产）.docx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