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电化学工作站、分布式光纤光栅解调仪采购项目(二次)</w:t>
      </w:r>
    </w:p>
    <w:p>
      <w:pPr>
        <w:pStyle w:val="null3"/>
        <w:jc w:val="center"/>
        <w:outlineLvl w:val="2"/>
      </w:pPr>
      <w:r>
        <w:rPr>
          <w:sz w:val="28"/>
          <w:b/>
        </w:rPr>
        <w:t>采购项目编号：</w:t>
      </w:r>
      <w:r>
        <w:rPr>
          <w:sz w:val="28"/>
          <w:b/>
        </w:rPr>
        <w:t>ZMZB2024XJD-410R</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电化学工作站、分布式光纤光栅解调仪采购项目(二次)</w:t>
      </w:r>
      <w:r>
        <w:rPr/>
        <w:t>采用竞争性谈判采购方式进行采购，兹邀请供应商参加本项目的竞争性谈判。</w:t>
      </w:r>
    </w:p>
    <w:p>
      <w:pPr>
        <w:pStyle w:val="null3"/>
        <w:outlineLvl w:val="2"/>
      </w:pPr>
      <w:r>
        <w:rPr>
          <w:sz w:val="28"/>
          <w:b/>
        </w:rPr>
        <w:t>一、项目编号：</w:t>
      </w:r>
      <w:r>
        <w:rPr>
          <w:sz w:val="28"/>
          <w:b/>
        </w:rPr>
        <w:t>ZMZB2024XJD-410R</w:t>
      </w:r>
    </w:p>
    <w:p>
      <w:pPr>
        <w:pStyle w:val="null3"/>
        <w:outlineLvl w:val="2"/>
      </w:pPr>
      <w:r>
        <w:rPr>
          <w:sz w:val="28"/>
          <w:b/>
        </w:rPr>
        <w:t>二、项目名称：</w:t>
      </w:r>
      <w:r>
        <w:rPr>
          <w:sz w:val="28"/>
          <w:b/>
        </w:rPr>
        <w:t>电化学工作站、分布式光纤光栅解调仪采购项目(二次)</w:t>
      </w:r>
    </w:p>
    <w:p>
      <w:pPr>
        <w:pStyle w:val="null3"/>
        <w:outlineLvl w:val="2"/>
      </w:pPr>
      <w:r>
        <w:rPr>
          <w:sz w:val="28"/>
          <w:b/>
        </w:rPr>
        <w:t>三、谈判项目简介：</w:t>
      </w:r>
    </w:p>
    <w:p>
      <w:pPr>
        <w:pStyle w:val="null3"/>
        <w:ind w:firstLine="480"/>
      </w:pPr>
      <w:r>
        <w:rPr/>
        <w:t>电化学工作站、分布式光纤光栅解调仪采购项目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窦元隆</w:t>
      </w:r>
    </w:p>
    <w:p>
      <w:pPr>
        <w:pStyle w:val="null3"/>
      </w:pPr>
      <w:r>
        <w:rPr/>
        <w:t xml:space="preserve"> 联系电话： </w:t>
      </w:r>
      <w:r>
        <w:rPr/>
        <w:t xml:space="preserve"> 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p>
          <w:p>
            <w:pPr>
              <w:pStyle w:val="null3"/>
            </w:pPr>
            <w:r>
              <w:rPr/>
              <w:t>采购包2：1,200,000.00元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采购包2保证金金额：24,000.00元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说明：1.合同签订前，乙方须向甲方提交合同总价的10%作为履约保证金； 2.设备到货并由甲方验收合格后，乙方申请，甲方将履约保证金（无息）退还乙方。</w:t>
            </w:r>
          </w:p>
          <w:p>
            <w:pPr>
              <w:pStyle w:val="null3"/>
            </w:pPr>
            <w:r>
              <w:rPr/>
              <w:t>采购包2：缴纳</w:t>
            </w:r>
          </w:p>
          <w:p>
            <w:pPr>
              <w:pStyle w:val="null3"/>
            </w:pPr>
            <w:r>
              <w:rPr/>
              <w:t>本采购包履约保证金为合同金额的5.0%</w:t>
            </w:r>
          </w:p>
          <w:p>
            <w:pPr>
              <w:pStyle w:val="null3"/>
            </w:pPr>
            <w:r>
              <w:rPr/>
              <w:t>说明：1.合同签订前，乙方须向甲方提交合同总价的10%作为履约保证金；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按招标文件、投标文件及合同执行</w:t>
      </w:r>
    </w:p>
    <w:p>
      <w:pPr>
        <w:pStyle w:val="null3"/>
      </w:pPr>
      <w:r>
        <w:rPr/>
        <w:t>采购包2：</w:t>
      </w:r>
    </w:p>
    <w:p>
      <w:pPr>
        <w:pStyle w:val="null3"/>
      </w:pPr>
      <w:r>
        <w:rPr/>
        <w:t>按招标文件、投标文件及合同执行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地址：西安市雁塔区科技路30号合力紫郡大厦B座21层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电化学工作站、分布式光纤光栅解调仪采购项目</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380,000.00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电化学工作站</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1,200,000.00</w:t>
      </w:r>
    </w:p>
    <w:p>
      <w:pPr>
        <w:pStyle w:val="null3"/>
      </w:pPr>
      <w:r>
        <w:rPr/>
        <w:t>采购包最高限价（元）: 1,140,000.00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分布式光纤光栅解调仪</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标的名称：电化学工作站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1.电极接线：二、三、四电极（加接地接线）</w:t>
            </w:r>
          </w:p>
          <w:p>
            <w:pPr>
              <w:pStyle w:val="null3"/>
            </w:pPr>
            <w:r>
              <w:rPr/>
              <w:t>2. 数据采集</w:t>
            </w:r>
          </w:p>
          <w:p>
            <w:pPr>
              <w:pStyle w:val="null3"/>
            </w:pPr>
            <w:r>
              <w:rPr/>
              <w:t>2.1数据采集    3X18bit 每秒1M样品的采集，标配浮置功能。</w:t>
            </w:r>
          </w:p>
          <w:p>
            <w:pPr>
              <w:pStyle w:val="null3"/>
            </w:pPr>
            <w:r>
              <w:rPr/>
              <w:t>2.2仪器标配缓存功能³4M（提供证明材料，证明材料包括但不限于产品彩页、检测报告、功能截图、盖章的说明书等）</w:t>
            </w:r>
          </w:p>
          <w:p>
            <w:pPr>
              <w:pStyle w:val="null3"/>
            </w:pPr>
            <w:r>
              <w:rPr/>
              <w:t>2.3时间分辨率³1μs</w:t>
            </w:r>
          </w:p>
          <w:p>
            <w:pPr>
              <w:pStyle w:val="null3"/>
            </w:pPr>
            <w:r>
              <w:rPr/>
              <w:t>2.4具有自动噪声滤波功能</w:t>
            </w:r>
          </w:p>
          <w:p>
            <w:pPr>
              <w:pStyle w:val="null3"/>
            </w:pPr>
            <w:r>
              <w:rPr/>
              <w:t>3. 系统功率（CE）</w:t>
            </w:r>
          </w:p>
          <w:p>
            <w:pPr>
              <w:pStyle w:val="null3"/>
            </w:pPr>
            <w:r>
              <w:rPr/>
              <w:t>3.1槽压范围：-48V~48V（提供证明材料，证明材料包括但不限于产品彩页、检测报告、功能截图、盖章的说明书等）</w:t>
            </w:r>
          </w:p>
          <w:p>
            <w:pPr>
              <w:pStyle w:val="null3"/>
            </w:pPr>
            <w:r>
              <w:rPr/>
              <w:t>3.2电流输出：-4A~4A标配</w:t>
            </w:r>
          </w:p>
          <w:p>
            <w:pPr>
              <w:pStyle w:val="null3"/>
            </w:pPr>
            <w:r>
              <w:rPr/>
              <w:t>3.3切换速率³25V/μs（提供证明材料，证明材料包括但不限于产品彩页、检测报告、功能截图、盖章的说明书等）</w:t>
            </w:r>
          </w:p>
          <w:p>
            <w:pPr>
              <w:pStyle w:val="null3"/>
            </w:pPr>
            <w:r>
              <w:br/>
            </w:r>
            <w:r>
              <w:rPr/>
              <w:t xml:space="preserve"> 3.4上升时间≤100ns</w:t>
            </w:r>
          </w:p>
          <w:p>
            <w:pPr>
              <w:pStyle w:val="null3"/>
            </w:pPr>
            <w:r>
              <w:rPr/>
              <w:t>4电位控制（电位模式）</w:t>
            </w:r>
          </w:p>
          <w:p>
            <w:pPr>
              <w:pStyle w:val="null3"/>
            </w:pPr>
            <w:r>
              <w:rPr/>
              <w:t>4.1扫描施加电位:-10V~10V</w:t>
            </w:r>
          </w:p>
          <w:p>
            <w:pPr>
              <w:pStyle w:val="null3"/>
            </w:pPr>
            <w:r>
              <w:rPr/>
              <w:t>4.2最小电位分辨率≤300nV</w:t>
            </w:r>
          </w:p>
          <w:p>
            <w:pPr>
              <w:pStyle w:val="null3"/>
            </w:pPr>
            <w:r>
              <w:rPr/>
              <w:t>4.3电位精度≤0.025%（提供证明材料，证明材料包括但不限于产品彩页、检测报告、功能截图、盖章的说明书等）</w:t>
            </w:r>
          </w:p>
          <w:p>
            <w:pPr>
              <w:pStyle w:val="null3"/>
            </w:pPr>
            <w:r>
              <w:rPr/>
              <w:t>4.4最大扫速³25KV/s（提供证明材料，证明材料包括但不限于产品彩页、检测报告、功能截图、盖章的说明书等）</w:t>
            </w:r>
          </w:p>
          <w:p>
            <w:pPr>
              <w:pStyle w:val="null3"/>
            </w:pPr>
            <w:r>
              <w:rPr/>
              <w:t>4.5最大采样速率³1MS/s,，并具有线性扫描和阶梯波扫描两种扫描方式（提供证明材料，证明材料包括但不限于产品彩页、检测报告、功能截图、盖章的说明书等）</w:t>
            </w:r>
          </w:p>
          <w:p>
            <w:pPr>
              <w:pStyle w:val="null3"/>
            </w:pPr>
            <w:r>
              <w:rPr/>
              <w:t>5.电流控制（电量模式）</w:t>
            </w:r>
          </w:p>
          <w:p>
            <w:pPr>
              <w:pStyle w:val="null3"/>
            </w:pPr>
            <w:r>
              <w:rPr/>
              <w:t>5.1电流具有不同量程的范围： ±（4A~40pA），并具有外置超小电流模块：（±20mA~80fA）。</w:t>
            </w:r>
          </w:p>
          <w:p>
            <w:pPr>
              <w:pStyle w:val="null3"/>
            </w:pPr>
            <w:r>
              <w:rPr/>
              <w:t>5.2电流分辨率≤1/32000全程</w:t>
            </w:r>
          </w:p>
          <w:p>
            <w:pPr>
              <w:pStyle w:val="null3"/>
            </w:pPr>
            <w:r>
              <w:rPr/>
              <w:t>5.3最大电流量程及分辨率分别³±4A和≤123uA</w:t>
            </w:r>
          </w:p>
          <w:p>
            <w:pPr>
              <w:pStyle w:val="null3"/>
            </w:pPr>
            <w:r>
              <w:rPr/>
              <w:t>5.4最小电流量程及分辨率别≤±80fA和2.5aA（提供证明材料，证明材料包括但不限于产品彩页、检测报告、功能截图、盖章的说明书等）</w:t>
            </w:r>
          </w:p>
          <w:p>
            <w:pPr>
              <w:pStyle w:val="null3"/>
            </w:pPr>
            <w:r>
              <w:rPr/>
              <w:t>5.5电流精度≤0.2%</w:t>
            </w:r>
          </w:p>
          <w:p>
            <w:pPr>
              <w:pStyle w:val="null3"/>
            </w:pPr>
            <w:r>
              <w:rPr/>
              <w:t>6.差分静电计</w:t>
            </w:r>
          </w:p>
          <w:p>
            <w:pPr>
              <w:pStyle w:val="null3"/>
            </w:pPr>
            <w:r>
              <w:rPr/>
              <w:t>6.1最大输入范围不小于±10V</w:t>
            </w:r>
          </w:p>
          <w:p>
            <w:pPr>
              <w:pStyle w:val="null3"/>
            </w:pPr>
            <w:r>
              <w:rPr/>
              <w:t>6.2带宽 &gt;10MHz</w:t>
            </w:r>
          </w:p>
          <w:p>
            <w:pPr>
              <w:pStyle w:val="null3"/>
            </w:pPr>
            <w:r>
              <w:rPr/>
              <w:t>6.3输入阻抗&gt;1014Ω（提供证明材料，证明材料包括但不限于产品彩页、检测报告、功能截图、盖章的说明书等）</w:t>
            </w:r>
          </w:p>
          <w:p>
            <w:pPr>
              <w:pStyle w:val="null3"/>
            </w:pPr>
            <w:r>
              <w:rPr/>
              <w:t>7.电位测量</w:t>
            </w:r>
          </w:p>
          <w:p>
            <w:pPr>
              <w:pStyle w:val="null3"/>
            </w:pPr>
            <w:r>
              <w:rPr/>
              <w:t>7.1电压量程不小于±10V</w:t>
            </w:r>
          </w:p>
          <w:p>
            <w:pPr>
              <w:pStyle w:val="null3"/>
            </w:pPr>
            <w:r>
              <w:rPr/>
              <w:t>7.2电位分辨率≤1.5μV</w:t>
            </w:r>
          </w:p>
          <w:p>
            <w:pPr>
              <w:pStyle w:val="null3"/>
            </w:pPr>
            <w:r>
              <w:rPr/>
              <w:t>7.3电位精度≤±0.025%</w:t>
            </w:r>
          </w:p>
          <w:p>
            <w:pPr>
              <w:pStyle w:val="null3"/>
            </w:pPr>
            <w:r>
              <w:rPr/>
              <w:t>8.电流测量</w:t>
            </w:r>
          </w:p>
          <w:p>
            <w:pPr>
              <w:pStyle w:val="null3"/>
            </w:pPr>
            <w:r>
              <w:rPr/>
              <w:t>8.1标配的电流分辨率≤1.2fA（标配），外置超小电流模块≤2.5aA（提供证明材料，证明材料包括但不限于产品彩页、检测报告、功能截图、盖章的说明书等）</w:t>
            </w:r>
          </w:p>
          <w:p>
            <w:pPr>
              <w:pStyle w:val="null3"/>
            </w:pPr>
            <w:r>
              <w:rPr/>
              <w:t>8.2电流精度：当2nA ~20A时≤0.2%；当40pA~200pA时，小于±0.5%或 ±4pA</w:t>
            </w:r>
          </w:p>
          <w:p>
            <w:pPr>
              <w:pStyle w:val="null3"/>
            </w:pPr>
            <w:r>
              <w:rPr/>
              <w:t>8.3带宽  &gt;5MHz</w:t>
            </w:r>
          </w:p>
          <w:p>
            <w:pPr>
              <w:pStyle w:val="null3"/>
            </w:pPr>
            <w:r>
              <w:rPr/>
              <w:t>8.4带宽噪声滤波³7个</w:t>
            </w:r>
          </w:p>
          <w:p>
            <w:pPr>
              <w:pStyle w:val="null3"/>
            </w:pPr>
            <w:r>
              <w:rPr/>
              <w:t>9.IR补偿</w:t>
            </w:r>
          </w:p>
          <w:p>
            <w:pPr>
              <w:pStyle w:val="null3"/>
            </w:pPr>
            <w:r>
              <w:rPr/>
              <w:t>9.1具有正反馈</w:t>
            </w:r>
          </w:p>
          <w:p>
            <w:pPr>
              <w:pStyle w:val="null3"/>
            </w:pPr>
            <w:r>
              <w:rPr/>
              <w:t>9.2具有动态补偿</w:t>
            </w:r>
          </w:p>
          <w:p>
            <w:pPr>
              <w:pStyle w:val="null3"/>
            </w:pPr>
            <w:r>
              <w:rPr/>
              <w:t>10.阻抗模块</w:t>
            </w:r>
          </w:p>
          <w:p>
            <w:pPr>
              <w:pStyle w:val="null3"/>
            </w:pPr>
            <w:r>
              <w:rPr/>
              <w:t xml:space="preserve">10.1具有电位/电流模式                </w:t>
            </w:r>
          </w:p>
          <w:p>
            <w:pPr>
              <w:pStyle w:val="null3"/>
            </w:pPr>
            <w:r>
              <w:rPr/>
              <w:t>10.2 EIS实际测试频率范围³10μHz-10MHz（提供证明材料，证明材料包括但不限于产品彩页、检测报告、功能截图、盖章的说明书等）</w:t>
            </w:r>
          </w:p>
          <w:p>
            <w:pPr>
              <w:pStyle w:val="null3"/>
            </w:pPr>
            <w:r>
              <w:rPr/>
              <w:t>10.3最小交流电压幅值≤0.1mV</w:t>
            </w:r>
          </w:p>
          <w:p>
            <w:pPr>
              <w:pStyle w:val="null3"/>
            </w:pPr>
            <w:r>
              <w:rPr/>
              <w:t xml:space="preserve">10.4具有线性或对数的扫描方式             </w:t>
            </w:r>
          </w:p>
          <w:p>
            <w:pPr>
              <w:pStyle w:val="null3"/>
            </w:pPr>
            <w:r>
              <w:rPr/>
              <w:t>11.接口</w:t>
            </w:r>
          </w:p>
          <w:p>
            <w:pPr>
              <w:pStyle w:val="null3"/>
            </w:pPr>
            <w:r>
              <w:rPr/>
              <w:t>11.1数字采用 5TTL logic输出和2TTL logic输入</w:t>
            </w:r>
          </w:p>
          <w:p>
            <w:pPr>
              <w:pStyle w:val="null3"/>
            </w:pPr>
            <w:r>
              <w:rPr/>
              <w:t>11.2辅助电压输入采用 BNC连接</w:t>
            </w:r>
          </w:p>
          <w:p>
            <w:pPr>
              <w:pStyle w:val="null3"/>
            </w:pPr>
            <w:r>
              <w:rPr/>
              <w:t>11.3数模转换电压输出采用 BNC连接</w:t>
            </w:r>
          </w:p>
          <w:p>
            <w:pPr>
              <w:pStyle w:val="null3"/>
            </w:pPr>
            <w:r>
              <w:rPr/>
              <w:t>配置要求：1.多功能电化学综合测试系统，1套；</w:t>
            </w:r>
          </w:p>
          <w:p>
            <w:pPr>
              <w:pStyle w:val="null3"/>
            </w:pPr>
            <w:r>
              <w:rPr/>
              <w:t>2.超小电流测试模块，1套</w:t>
            </w:r>
          </w:p>
          <w:p>
            <w:pPr>
              <w:pStyle w:val="null3"/>
            </w:pPr>
            <w:r>
              <w:rPr/>
              <w:t>3.配套标准模拟电解池，1个；</w:t>
            </w:r>
          </w:p>
          <w:p>
            <w:pPr>
              <w:pStyle w:val="null3"/>
            </w:pPr>
            <w:r>
              <w:rPr/>
              <w:t>4.USB电脑连接线，1条；</w:t>
            </w:r>
          </w:p>
          <w:p>
            <w:pPr>
              <w:pStyle w:val="null3"/>
            </w:pPr>
            <w:r>
              <w:rPr/>
              <w:t>5.电极连接线缆，1根；</w:t>
            </w:r>
          </w:p>
          <w:p>
            <w:pPr>
              <w:pStyle w:val="null3"/>
            </w:pPr>
            <w:r>
              <w:rPr/>
              <w:t>6.电源线，1条；</w:t>
            </w:r>
          </w:p>
          <w:p>
            <w:pPr>
              <w:pStyle w:val="null3"/>
            </w:pPr>
            <w:r>
              <w:rPr/>
              <w:t>7.五口腐蚀电解池（含电极），1套</w:t>
            </w:r>
          </w:p>
          <w:p>
            <w:pPr>
              <w:pStyle w:val="null3"/>
            </w:pPr>
            <w:r>
              <w:rPr/>
              <w:t>8.平板腐蚀电解池（含电极），1套</w:t>
            </w:r>
          </w:p>
          <w:p>
            <w:pPr>
              <w:pStyle w:val="null3"/>
            </w:pPr>
            <w:r>
              <w:rPr/>
              <w:t>9.常规电解池和电极，2套</w:t>
            </w:r>
          </w:p>
          <w:p>
            <w:pPr>
              <w:pStyle w:val="null3"/>
            </w:pPr>
            <w:r>
              <w:rPr/>
              <w:t>10.采集设备，1台</w:t>
            </w:r>
          </w:p>
          <w:p>
            <w:pPr>
              <w:pStyle w:val="null3"/>
            </w:pPr>
            <w:r>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标的名称：分布式光纤光栅解调仪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1.传感点间距在以下四个区间有设置选项：①0.3～1mm，②1.1～2mm，③2.1～3mm，④3.1～6mm（提供证明材料，证明材料包括但不限于产品彩页、检测报告、功能截图、盖章的说明书等）</w:t>
            </w:r>
          </w:p>
          <w:p>
            <w:pPr>
              <w:pStyle w:val="null3"/>
            </w:pPr>
            <w:r>
              <w:rPr/>
              <w:t>2.光学通道数：≥4（提供证明材料，证明材料包括但不限于产品彩页、检测报告、功能截图、盖章的说明书等）</w:t>
            </w:r>
          </w:p>
          <w:p>
            <w:pPr>
              <w:pStyle w:val="null3"/>
            </w:pPr>
            <w:r>
              <w:rPr/>
              <w:t>3.分析仪主机应变解调误差： ±1με</w:t>
            </w:r>
          </w:p>
          <w:p>
            <w:pPr>
              <w:pStyle w:val="null3"/>
            </w:pPr>
            <w:r>
              <w:rPr/>
              <w:t>4.应变测量范围：±15000 με（提供证明材料，证明材料包括但不限于产品彩页、检测报告、功能截图、盖章的说明书等）</w:t>
            </w:r>
          </w:p>
          <w:p>
            <w:pPr>
              <w:pStyle w:val="null3"/>
            </w:pPr>
            <w:r>
              <w:rPr/>
              <w:t>5.应变分辨率：≤±0.1με（提供证明材料，证明材料包括但不限于产品彩页、检测报告、功能截图、盖章的说明书等）</w:t>
            </w:r>
          </w:p>
          <w:p>
            <w:pPr>
              <w:pStyle w:val="null3"/>
            </w:pPr>
            <w:r>
              <w:rPr/>
              <w:t>6.测试系统应变测试不确定度：≤±5με（提供证明材料，证明材料包括但不限于产品彩页、检测报告、功能截图、盖章的说明书等）</w:t>
            </w:r>
          </w:p>
          <w:p>
            <w:pPr>
              <w:pStyle w:val="null3"/>
            </w:pPr>
            <w:r>
              <w:rPr/>
              <w:t>7.采用光频域反射技术，能够对传感光纤任一点的温度、应变进行检测分析，进行实时传感监测，光纤传感器为单模光纤，不需要刻写光栅（提供证明材料，证明材料包括但不限于产品彩页、检测报告、功能截图、盖章的说明书等）</w:t>
            </w:r>
          </w:p>
          <w:p>
            <w:pPr>
              <w:pStyle w:val="null3"/>
            </w:pPr>
            <w:r>
              <w:rPr/>
              <w:t>8.温度分辨率≤0.1℃</w:t>
            </w:r>
          </w:p>
          <w:p>
            <w:pPr>
              <w:pStyle w:val="null3"/>
            </w:pPr>
            <w:r>
              <w:rPr/>
              <w:t>9. 温度测量范围： -40℃～200℃</w:t>
            </w:r>
          </w:p>
          <w:p>
            <w:pPr>
              <w:pStyle w:val="null3"/>
            </w:pPr>
            <w:r>
              <w:rPr/>
              <w:t>10.温度测量不确定度：≤±2.2℃（0.65mm传感点间距），≤±1.6℃（1.3mm传感点间距），≤±0.6℃（2.6mm和5.2mm传感点间距）（提供证明材料，证明材料包括但不限于产品彩页、检测报告、功能截图、盖章的说明书等）</w:t>
            </w:r>
          </w:p>
          <w:p>
            <w:pPr>
              <w:pStyle w:val="null3"/>
            </w:pPr>
            <w:r>
              <w:rPr/>
              <w:t>11.光纤传感器5m，空间分辨率2.6mm时，采样频率≥160Hz；光纤传感器2.5m，空间分辨率5.2mm时，采样频率≥250Hz；光纤传感器10m，空间分辨率2.6mm时，采样频率≥100Hz；光纤传感器20m，空间分辨率2.6mm时，采样频率≥50Hz；（提供证明材料，证明材料包括但不限于产品彩页、检测报告、功能截图、盖章的说明书等）</w:t>
            </w:r>
          </w:p>
          <w:p>
            <w:pPr>
              <w:pStyle w:val="null3"/>
            </w:pPr>
            <w:r>
              <w:rPr/>
              <w:t>12.满足频率和传感点间距情况下，每通道传感长度：≥10m（提供证明材料，证明材料包括但不限于产品彩页、检测报告、功能截图、盖章的说明书等）</w:t>
            </w:r>
          </w:p>
          <w:p>
            <w:pPr>
              <w:pStyle w:val="null3"/>
            </w:pPr>
            <w:r>
              <w:rPr/>
              <w:t>13. 能够实时输出数据流到其他控制装置（通过以太网或USB等）</w:t>
            </w:r>
          </w:p>
          <w:p>
            <w:pPr>
              <w:pStyle w:val="null3"/>
            </w:pPr>
            <w:r>
              <w:rPr/>
              <w:t>14.仪器应支持PTP或者NTP时间同步协议（提供证明材料，证明材料包括但不限于产品彩页、检测报告、功能截图、盖章的说明书等）</w:t>
            </w:r>
          </w:p>
          <w:p>
            <w:pPr>
              <w:pStyle w:val="null3"/>
            </w:pPr>
            <w:r>
              <w:rPr/>
              <w:t>15.系统工作环境：海拔-15m到3000m范围，工作温度5-40℃</w:t>
            </w:r>
          </w:p>
          <w:p>
            <w:pPr>
              <w:pStyle w:val="null3"/>
            </w:pPr>
            <w:r>
              <w:rPr/>
              <w:t>16软件功能：</w:t>
            </w:r>
          </w:p>
          <w:p>
            <w:pPr>
              <w:pStyle w:val="null3"/>
            </w:pPr>
            <w:r>
              <w:rPr/>
              <w:t>16.1支持外部TTL 电平触发控制采集（提供证明材料，证明材料包括但不限于产品彩页、检测报告、功能截图、盖章的说明书等）</w:t>
            </w:r>
          </w:p>
          <w:p>
            <w:pPr>
              <w:pStyle w:val="null3"/>
            </w:pPr>
            <w:r>
              <w:rPr/>
              <w:t>16.2.若为进口产品，软件语言具有中、英文选项，提供远程控制软件。（提供证明材料，证明材料包括但不限于产品彩页、检测报告、功能截图、盖章的说明书等）</w:t>
            </w:r>
          </w:p>
          <w:p>
            <w:pPr>
              <w:pStyle w:val="null3"/>
            </w:pPr>
            <w:r>
              <w:rPr/>
              <w:t>16.3.能够同步、实时显示超过100条传感点应变随时间变化曲线。（提供证明材料，证明材料包括但不限于产品彩页、检测报告、功能截图、盖章的说明书等）</w:t>
            </w:r>
          </w:p>
          <w:p>
            <w:pPr>
              <w:pStyle w:val="null3"/>
            </w:pPr>
            <w:r>
              <w:rPr/>
              <w:t>16.4.快速识别和配置传感器；查看实时数据，绘制测量结果与长度或时间的曲线；支持以视频形式回放保存的数据和测试过程。（提供证明材料，证明材料包括但不限于产品彩页、检测报告、功能截图、盖章的说明书等）</w:t>
            </w:r>
          </w:p>
          <w:p>
            <w:pPr>
              <w:pStyle w:val="null3"/>
            </w:pPr>
            <w:r>
              <w:rPr/>
              <w:t>16.5能够在Linux、Windows环境下查看数据（提供证明材料，证明材料包括但不限于产品彩页、检测报告、功能截图、盖章的说明书等）</w:t>
            </w:r>
          </w:p>
          <w:p>
            <w:pPr>
              <w:pStyle w:val="null3"/>
            </w:pPr>
            <w:r>
              <w:rPr/>
              <w:t>17. 提供专用配件（系统正常运行所需配件）4套</w:t>
            </w:r>
          </w:p>
          <w:p>
            <w:pPr>
              <w:pStyle w:val="null3"/>
            </w:pPr>
            <w:r>
              <w:rPr/>
              <w:t>18.主机控制器为工作站级，硬件需要满足高精度分布式光纤应变分析仪以最高性能流畅运行。</w:t>
            </w:r>
          </w:p>
          <w:p>
            <w:pPr>
              <w:pStyle w:val="null3"/>
            </w:pPr>
            <w:r>
              <w:rPr/>
              <w:t>配置清单：</w:t>
            </w:r>
          </w:p>
          <w:p>
            <w:pPr>
              <w:pStyle w:val="null3"/>
            </w:pPr>
            <w:r>
              <w:rPr/>
              <w:t>1.高精度分布式光纤应变分析仪 1台</w:t>
            </w:r>
          </w:p>
          <w:p>
            <w:pPr>
              <w:pStyle w:val="null3"/>
            </w:pPr>
            <w:r>
              <w:rPr/>
              <w:t>2.主机控制器 1台</w:t>
            </w:r>
          </w:p>
          <w:p>
            <w:pPr>
              <w:pStyle w:val="null3"/>
            </w:pPr>
            <w:r>
              <w:rPr/>
              <w:t>3.软件 1份</w:t>
            </w:r>
          </w:p>
          <w:p>
            <w:pPr>
              <w:pStyle w:val="null3"/>
            </w:pPr>
            <w:r>
              <w:rPr/>
              <w:t>4.专用配件 4套</w:t>
            </w:r>
          </w:p>
          <w:p>
            <w:pPr>
              <w:pStyle w:val="null3"/>
            </w:pPr>
            <w:r>
              <w:rPr/>
              <w:t>其他要求：提供完整的使用手册和技术资料。</w:t>
            </w:r>
          </w:p>
          <w:p>
            <w:pPr>
              <w:pStyle w:val="null3"/>
            </w:pPr>
            <w:r>
              <w:rPr/>
              <w:t>测试系统提供专用的设备箱，便于日常的搬运和运输。</w:t>
            </w:r>
          </w:p>
          <w:p>
            <w:pPr>
              <w:pStyle w:val="null3"/>
            </w:pPr>
            <w:r>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合同签订之日起60日历日内完成交付、安装及调试</w:t>
      </w:r>
    </w:p>
    <w:p>
      <w:pPr>
        <w:pStyle w:val="null3"/>
      </w:pPr>
      <w:r>
        <w:rPr/>
        <w:t>采购包2：</w:t>
      </w:r>
    </w:p>
    <w:p>
      <w:pPr>
        <w:pStyle w:val="null3"/>
      </w:pPr>
      <w:r>
        <w:rPr/>
        <w:t>合同签订之日起 90内完成交付、安装及调试</w:t>
      </w:r>
    </w:p>
    <w:p>
      <w:pPr>
        <w:pStyle w:val="null3"/>
        <w:outlineLvl w:val="3"/>
      </w:pPr>
      <w:r>
        <w:rPr>
          <w:sz w:val="24"/>
          <w:b/>
        </w:rPr>
        <w:t>3.4.2交货地点和方式</w:t>
      </w:r>
    </w:p>
    <w:p>
      <w:pPr>
        <w:pStyle w:val="null3"/>
      </w:pPr>
      <w:r>
        <w:rPr/>
        <w:t>采购包1：</w:t>
      </w:r>
    </w:p>
    <w:p>
      <w:pPr>
        <w:pStyle w:val="null3"/>
      </w:pPr>
      <w:r>
        <w:rPr/>
        <w:t>西安建筑科技大学指定地点</w:t>
      </w:r>
    </w:p>
    <w:p>
      <w:pPr>
        <w:pStyle w:val="null3"/>
      </w:pPr>
      <w:r>
        <w:rPr/>
        <w:t>采购包2：</w:t>
      </w:r>
    </w:p>
    <w:p>
      <w:pPr>
        <w:pStyle w:val="null3"/>
      </w:pPr>
      <w:r>
        <w:rPr/>
        <w:t>西安建筑科技大学指定地点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1、项目质保期：验收合格通过之日起2年。2、售后服务响应时间（质保期内）：即时响应（包括电话响应）；电话响应无法解决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1、项目质保期：验收合格通过之日起2年。2、售后服务响应时间（质保期内）：即时响应（包括电话响应）；电话响应无法解决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采购包2：</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产品技术参数表 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响应文件封面 产品技术参数表 供应商认为有必要说明的其他问题 标的清单</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产品技术参数表 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商务应答表 供应商认为有必要说明的其他问题 标的清单</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响应文件封面 产品技术参数表 供应商认为有必要说明的其他问题 标的清单</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详见附件：正常使用寿命承诺函</w:t>
      </w:r>
    </w:p>
    <w:p>
      <w:pPr>
        <w:pStyle w:val="null3"/>
        <w:ind w:firstLine="960"/>
      </w:pPr>
      <w:r>
        <w:rPr/>
        <w:t>详见附件：供应商认为有必要说明的其他问题</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详见附件：正常使用寿命承诺函</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