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版本号：241231001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材料结构表征分析及测试系统采购项目(二次)</w:t>
      </w:r>
    </w:p>
    <w:p>
      <w:pPr>
        <w:pStyle w:val="null3"/>
        <w:jc w:val="center"/>
        <w:outlineLvl w:val="2"/>
      </w:pPr>
      <w:r>
        <w:rPr>
          <w:sz w:val="28"/>
          <w:b/>
        </w:rPr>
        <w:t>采购项目编号：</w:t>
      </w:r>
      <w:r>
        <w:rPr>
          <w:sz w:val="28"/>
          <w:b/>
        </w:rPr>
        <w:t>DFA-GSYY-GP-20241871.1BJ1</w:t>
      </w:r>
      <w:r>
        <w:br/>
      </w:r>
      <w:r>
        <w:br/>
      </w:r>
      <w:r>
        <w:br/>
      </w:r>
    </w:p>
    <w:p>
      <w:pPr>
        <w:pStyle w:val="null3"/>
        <w:jc w:val="center"/>
        <w:outlineLvl w:val="2"/>
      </w:pPr>
      <w:r>
        <w:rPr>
          <w:sz w:val="28"/>
          <w:b/>
        </w:rPr>
        <w:t>西安建筑科技大学</w:t>
      </w:r>
    </w:p>
    <w:p>
      <w:pPr>
        <w:pStyle w:val="null3"/>
        <w:jc w:val="center"/>
        <w:outlineLvl w:val="2"/>
      </w:pPr>
      <w:r>
        <w:rPr>
          <w:sz w:val="28"/>
          <w:b/>
        </w:rPr>
        <w:t>北京典方建设工程咨询有限公司</w:t>
      </w:r>
      <w:r>
        <w:rPr>
          <w:sz w:val="28"/>
          <w:b/>
        </w:rPr>
        <w:t>共同编制</w:t>
      </w:r>
    </w:p>
    <w:p>
      <w:pPr>
        <w:pStyle w:val="null3"/>
        <w:jc w:val="center"/>
        <w:outlineLvl w:val="2"/>
      </w:pPr>
      <w:r>
        <w:rPr>
          <w:sz w:val="28"/>
          <w:b/>
        </w:rPr>
        <w:t>2025年01月01日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北京典方建设工程咨询有限公司</w:t>
      </w:r>
      <w:r>
        <w:rPr/>
        <w:t>（以下简称“代理机构”）受</w:t>
      </w:r>
      <w:r>
        <w:rPr/>
        <w:t>西安建筑科技大学</w:t>
      </w:r>
      <w:r>
        <w:rPr/>
        <w:t>委托，拟对</w:t>
      </w:r>
      <w:r>
        <w:rPr/>
        <w:t>材料结构表征分析及测试系统采购项目(二次)</w:t>
      </w:r>
      <w:r>
        <w:rPr/>
        <w:t>采用竞争性谈判采购方式进行采购，兹邀请供应商参加本项目的竞争性谈判。</w:t>
      </w:r>
    </w:p>
    <w:p>
      <w:pPr>
        <w:pStyle w:val="null3"/>
        <w:outlineLvl w:val="2"/>
      </w:pPr>
      <w:r>
        <w:rPr>
          <w:sz w:val="28"/>
          <w:b/>
        </w:rPr>
        <w:t>一、项目编号：</w:t>
      </w:r>
      <w:r>
        <w:rPr>
          <w:sz w:val="28"/>
          <w:b/>
        </w:rPr>
        <w:t>DFA-GSYY-GP-20241871.1BJ1</w:t>
      </w:r>
    </w:p>
    <w:p>
      <w:pPr>
        <w:pStyle w:val="null3"/>
        <w:outlineLvl w:val="2"/>
      </w:pPr>
      <w:r>
        <w:rPr>
          <w:sz w:val="28"/>
          <w:b/>
        </w:rPr>
        <w:t>二、项目名称：</w:t>
      </w:r>
      <w:r>
        <w:rPr>
          <w:sz w:val="28"/>
          <w:b/>
        </w:rPr>
        <w:t>材料结构表征分析及测试系统采购项目(二次)</w:t>
      </w:r>
    </w:p>
    <w:p>
      <w:pPr>
        <w:pStyle w:val="null3"/>
        <w:outlineLvl w:val="2"/>
      </w:pPr>
      <w:r>
        <w:rPr>
          <w:sz w:val="28"/>
          <w:b/>
        </w:rPr>
        <w:t>三、谈判项目简介：</w:t>
      </w:r>
    </w:p>
    <w:p>
      <w:pPr>
        <w:pStyle w:val="null3"/>
        <w:ind w:firstLine="480"/>
      </w:pPr>
      <w:r>
        <w:rPr/>
        <w:t>材料结构表征分析及测试系统采购项目(二次)</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1、法定代表人授权委托书：法定代表人参加投标的，须提供身份证复印件；法定代表人授权本单位他人参加投标的，须提供法定代表人授权委托书。</w:t>
      </w:r>
    </w:p>
    <w:p>
      <w:pPr>
        <w:pStyle w:val="null3"/>
      </w:pPr>
      <w:r>
        <w:rPr/>
        <w:t>2、进口授权：本项目材料结构表征分析及测试系统已做进口论证，接受进口产品的投标。供应商所投产品为进口产品的，供应商需提供所投产品授权书。国产产品不需要提供，供应商需在项目电子化交易系统中按要求上传相应证明文件并进行电子签章。</w:t>
      </w:r>
    </w:p>
    <w:p>
      <w:pPr>
        <w:pStyle w:val="null3"/>
      </w:pPr>
      <w:r>
        <w:rPr/>
        <w:t>3、是否接受联合体投标：本项目不接受联合体投标。</w:t>
      </w:r>
    </w:p>
    <w:p>
      <w:pPr>
        <w:pStyle w:val="null3"/>
      </w:pPr>
      <w:r>
        <w:rPr/>
        <w:t>4、是否面向中小企业采购：本项目非专门面向中小企业采购。</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西安建筑科技大学</w:t>
      </w:r>
    </w:p>
    <w:p>
      <w:pPr>
        <w:pStyle w:val="null3"/>
      </w:pPr>
      <w:r>
        <w:rPr/>
        <w:t xml:space="preserve"> 地址： </w:t>
      </w:r>
      <w:r>
        <w:rPr/>
        <w:t>西安市雁塔路中段13号</w:t>
      </w:r>
    </w:p>
    <w:p>
      <w:pPr>
        <w:pStyle w:val="null3"/>
      </w:pPr>
      <w:r>
        <w:rPr/>
        <w:t xml:space="preserve"> 邮编： </w:t>
      </w:r>
      <w:r>
        <w:rPr/>
        <w:t>710055</w:t>
      </w:r>
    </w:p>
    <w:p>
      <w:pPr>
        <w:pStyle w:val="null3"/>
      </w:pPr>
      <w:r>
        <w:rPr/>
        <w:t xml:space="preserve"> 联系人： </w:t>
      </w:r>
      <w:r>
        <w:rPr/>
        <w:t>李老师</w:t>
      </w:r>
    </w:p>
    <w:p>
      <w:pPr>
        <w:pStyle w:val="null3"/>
      </w:pPr>
      <w:r>
        <w:rPr/>
        <w:t xml:space="preserve"> 联系电话： </w:t>
      </w:r>
      <w:r>
        <w:rPr/>
        <w:t>029-82201427</w:t>
      </w:r>
    </w:p>
    <w:p>
      <w:pPr>
        <w:pStyle w:val="null3"/>
        <w:outlineLvl w:val="3"/>
      </w:pPr>
      <w:r>
        <w:rPr>
          <w:sz w:val="24"/>
          <w:b/>
        </w:rPr>
        <w:t>代理机构：</w:t>
      </w:r>
      <w:r>
        <w:rPr>
          <w:sz w:val="24"/>
          <w:b/>
        </w:rPr>
        <w:t>北京典方建设工程咨询有限公司</w:t>
      </w:r>
    </w:p>
    <w:p>
      <w:pPr>
        <w:pStyle w:val="null3"/>
      </w:pPr>
      <w:r>
        <w:rPr/>
        <w:t xml:space="preserve"> 地址： </w:t>
      </w:r>
      <w:r>
        <w:rPr/>
        <w:t>西安市曲江新区南三环辅路以南曲江文创中心7幢1单元1701号</w:t>
      </w:r>
    </w:p>
    <w:p>
      <w:pPr>
        <w:pStyle w:val="null3"/>
      </w:pPr>
      <w:r>
        <w:rPr/>
        <w:t xml:space="preserve"> 邮编： </w:t>
      </w:r>
      <w:r>
        <w:rPr/>
        <w:t>710000</w:t>
      </w:r>
    </w:p>
    <w:p>
      <w:pPr>
        <w:pStyle w:val="null3"/>
      </w:pPr>
      <w:r>
        <w:rPr/>
        <w:t xml:space="preserve"> 联系人： </w:t>
      </w:r>
      <w:r>
        <w:rPr/>
        <w:t>张贝贝</w:t>
      </w:r>
    </w:p>
    <w:p>
      <w:pPr>
        <w:pStyle w:val="null3"/>
      </w:pPr>
      <w:r>
        <w:rPr/>
        <w:t xml:space="preserve"> 联系电话： </w:t>
      </w:r>
      <w:r>
        <w:rPr/>
        <w:t>13279453712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采购包1保证金金额：15,021.00元</w:t>
            </w:r>
          </w:p>
          <w:p>
            <w:pPr>
              <w:pStyle w:val="null3"/>
            </w:pPr>
            <w:r>
              <w:rPr/>
              <w:t>缴交渠道：电子保函,转账、支票、汇票等（需通过实体账户、户名及开户行信息）</w:t>
            </w:r>
          </w:p>
          <w:p>
            <w:pPr>
              <w:pStyle w:val="null3"/>
            </w:pPr>
            <w:r>
              <w:rPr/>
              <w:t>开户名称：北京典方建设工程咨询有限公司</w:t>
            </w:r>
          </w:p>
          <w:p>
            <w:pPr>
              <w:pStyle w:val="null3"/>
            </w:pPr>
            <w:r>
              <w:rPr/>
              <w:t>开户银行：交通银行北京丰台支行</w:t>
            </w:r>
          </w:p>
          <w:p>
            <w:pPr>
              <w:pStyle w:val="null3"/>
            </w:pPr>
            <w:r>
              <w:rPr/>
              <w:t>银行账号：110061242013006366579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说明：供应商成交后凭成交通知书向采购人缴纳成交金额的10%作为履约保证金，待合同履约完毕后采购人向成交供应商无息退还。</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采购代理服务费的收取参见国家计委颁布的《招标代理服务收费管理暂行办法》（计价格〔2002〕1980号）和（发改办价格〔2003〕857号）收费标准，按照成交金额100万（不含）以下，按照文件标准计费正常收取；100万（含）以上，按照文件标准计费下浮25%收取。此采购代理服务费应计入投标中，但不需要单独开列。此采购代理服务费应计入投标中，但不需要单独开列。2、收款账户如下： 收款单位：北京典方建设工程咨询有限公司； 开户银行：招商银行股份有限公司北京丰台科技园支行；银行账号：532907032510706</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西安建筑科技大学</w:t>
      </w:r>
      <w:r>
        <w:rPr/>
        <w:t>和</w:t>
      </w:r>
      <w:r>
        <w:rPr/>
        <w:t>北京典方建设工程咨询有限公司</w:t>
      </w:r>
      <w:r>
        <w:rPr/>
        <w:t>享有。竞争性谈判文件中供应商参加本次政府采购活动应当具备的条件、技术清单、参数、商务及其他要求由</w:t>
      </w:r>
      <w:r>
        <w:rPr/>
        <w:t>西安建筑科技大学</w:t>
      </w:r>
      <w:r>
        <w:rPr/>
        <w:t>负责解释。除上述竞争性谈判文件内容，其他内容由</w:t>
      </w:r>
      <w:r>
        <w:rPr/>
        <w:t>北京典方建设工程咨询有限公司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西安建筑科技大学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北京典方建设工程咨询有限公司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根据招标文件及合同约定执行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北京典方建设工程咨询有限公司</w:t>
      </w:r>
      <w:r>
        <w:rPr/>
        <w:t xml:space="preserve"> 负责答复；供应商对除采购需求外的采购文件的询问、质疑由</w:t>
      </w:r>
      <w:r>
        <w:rPr/>
        <w:t>北京典方建设工程咨询有限公司</w:t>
      </w:r>
      <w:r>
        <w:rPr/>
        <w:t xml:space="preserve"> 负责答复；供应商对采购过程、采购结果的询问、质疑由 </w:t>
      </w:r>
      <w:r>
        <w:rPr/>
        <w:t>北京典方建设工程咨询有限公司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联系人：张贝贝</w:t>
      </w:r>
    </w:p>
    <w:p>
      <w:pPr>
        <w:pStyle w:val="null3"/>
      </w:pPr>
      <w:r>
        <w:rPr/>
        <w:t>联系电话：13279453712</w:t>
      </w:r>
    </w:p>
    <w:p>
      <w:pPr>
        <w:pStyle w:val="null3"/>
      </w:pPr>
      <w:r>
        <w:rPr/>
        <w:t>地址：西安市曲江新区南三环辅路以南曲江文创中心7幢1单元1701号</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本项目为材料结构表征分析及测试系统采购项目，共分为1个包，具体内容详见采购文件</w:t>
      </w:r>
    </w:p>
    <w:p>
      <w:pPr>
        <w:pStyle w:val="null3"/>
        <w:outlineLvl w:val="2"/>
      </w:pPr>
      <w:r>
        <w:rPr>
          <w:sz w:val="28"/>
          <w:b/>
        </w:rPr>
        <w:t>3.2采购内容</w:t>
      </w:r>
    </w:p>
    <w:p>
      <w:pPr>
        <w:pStyle w:val="null3"/>
      </w:pPr>
      <w:r>
        <w:rPr/>
        <w:t>采购包1：</w:t>
      </w:r>
    </w:p>
    <w:p>
      <w:pPr>
        <w:pStyle w:val="null3"/>
      </w:pPr>
      <w:r>
        <w:rPr/>
        <w:t>采购包预算金额（元）: 1,150,000.00</w:t>
      </w:r>
    </w:p>
    <w:p>
      <w:pPr>
        <w:pStyle w:val="null3"/>
      </w:pPr>
      <w:r>
        <w:rPr/>
        <w:t>采购包最高限价（元）: 1,098,000.00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材料结构表征分析及测试系统</w:t>
            </w:r>
          </w:p>
        </w:tc>
        <w:tc>
          <w:tcPr>
            <w:tcW w:type="dxa" w:w="831"/>
          </w:tcPr>
          <w:p>
            <w:pPr>
              <w:pStyle w:val="null3"/>
              <w:jc w:val="right"/>
            </w:pPr>
            <w:r>
              <w:rPr/>
              <w:t>1.00</w:t>
            </w:r>
          </w:p>
        </w:tc>
        <w:tc>
          <w:tcPr>
            <w:tcW w:type="dxa" w:w="831"/>
          </w:tcPr>
          <w:p>
            <w:pPr>
              <w:pStyle w:val="null3"/>
              <w:jc w:val="right"/>
            </w:pPr>
            <w:r>
              <w:rPr/>
              <w:t>1,150,000.00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标的名称：材料结构表征分析及测试系统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1"/>
                <w:b/>
              </w:rPr>
              <w:t>1.台式扫描电镜（核心产品）</w:t>
            </w:r>
          </w:p>
          <w:p>
            <w:pPr>
              <w:pStyle w:val="null3"/>
            </w:pPr>
            <w:r>
              <w:rPr>
                <w:rFonts w:ascii="宋体" w:hAnsi="宋体" w:cs="宋体" w:eastAsia="宋体"/>
                <w:sz w:val="21"/>
                <w:b/>
              </w:rPr>
              <w:t>★</w:t>
            </w:r>
            <w:r>
              <w:rPr>
                <w:rFonts w:ascii="宋体" w:hAnsi="宋体" w:cs="宋体" w:eastAsia="宋体"/>
                <w:sz w:val="21"/>
              </w:rPr>
              <w:t>1.1紧凑型电镜主机</w:t>
            </w:r>
            <w:r>
              <w:rPr>
                <w:rFonts w:ascii="宋体" w:hAnsi="宋体" w:cs="宋体" w:eastAsia="宋体"/>
                <w:sz w:val="21"/>
              </w:rPr>
              <w:t>可</w:t>
            </w:r>
            <w:r>
              <w:rPr>
                <w:rFonts w:ascii="宋体" w:hAnsi="宋体" w:cs="宋体" w:eastAsia="宋体"/>
                <w:sz w:val="21"/>
              </w:rPr>
              <w:t>分体式或台式设计，可以主机与电箱分体上下桌面放置</w:t>
            </w:r>
            <w:r>
              <w:rPr>
                <w:rFonts w:ascii="宋体" w:hAnsi="宋体" w:cs="宋体" w:eastAsia="宋体"/>
                <w:sz w:val="21"/>
              </w:rPr>
              <w:t>。</w:t>
            </w:r>
          </w:p>
          <w:p>
            <w:pPr>
              <w:pStyle w:val="null3"/>
              <w:ind w:left="-75"/>
            </w:pPr>
            <w:r>
              <w:rPr>
                <w:rFonts w:ascii="宋体" w:hAnsi="宋体" w:cs="宋体" w:eastAsia="宋体"/>
                <w:sz w:val="21"/>
                <w:b/>
              </w:rPr>
              <w:t>★</w:t>
            </w:r>
            <w:r>
              <w:rPr>
                <w:rFonts w:ascii="宋体" w:hAnsi="宋体" w:cs="宋体" w:eastAsia="宋体"/>
                <w:sz w:val="21"/>
              </w:rPr>
              <w:t>1.2二次电子分辨率：≤ 4.0nm@20kV，≤ 15nm@1kV（必须提供1KV指标）</w:t>
            </w:r>
          </w:p>
          <w:p>
            <w:pPr>
              <w:pStyle w:val="null3"/>
            </w:pPr>
            <w:r>
              <w:rPr>
                <w:rFonts w:ascii="宋体" w:hAnsi="宋体" w:cs="宋体" w:eastAsia="宋体"/>
                <w:sz w:val="21"/>
              </w:rPr>
              <w:t>1.3背散射电子分辨率：≤ 5.0nm@20kV（低真空）</w:t>
            </w:r>
          </w:p>
          <w:p>
            <w:pPr>
              <w:pStyle w:val="null3"/>
            </w:pPr>
            <w:r>
              <w:rPr>
                <w:rFonts w:ascii="宋体" w:hAnsi="宋体" w:cs="宋体" w:eastAsia="宋体"/>
                <w:sz w:val="21"/>
              </w:rPr>
              <w:t>1.4加速电压：0.3~20kV连续可调，100V步进，并配束流优化功能。</w:t>
            </w:r>
          </w:p>
          <w:p>
            <w:pPr>
              <w:pStyle w:val="null3"/>
            </w:pPr>
            <w:r>
              <w:rPr>
                <w:rFonts w:ascii="宋体" w:hAnsi="宋体" w:cs="宋体" w:eastAsia="宋体"/>
                <w:sz w:val="21"/>
              </w:rPr>
              <w:t>1.5电子枪：预对中钨灯丝，在不更换韦氏帽条件下，用户可自行更换</w:t>
            </w:r>
          </w:p>
          <w:p>
            <w:pPr>
              <w:pStyle w:val="null3"/>
            </w:pPr>
            <w:r>
              <w:rPr>
                <w:rFonts w:ascii="宋体" w:hAnsi="宋体" w:cs="宋体" w:eastAsia="宋体"/>
                <w:sz w:val="21"/>
              </w:rPr>
              <w:t>1.6放大倍数：6~300,000倍（以127mm x 95mm为准底片倍率）；16~800,000（数码放大，以509.8mmx286.7mm为准显示倍率）</w:t>
            </w:r>
          </w:p>
          <w:p>
            <w:pPr>
              <w:pStyle w:val="null3"/>
            </w:pPr>
            <w:r>
              <w:rPr>
                <w:rFonts w:ascii="宋体" w:hAnsi="宋体" w:cs="宋体" w:eastAsia="宋体"/>
                <w:sz w:val="21"/>
              </w:rPr>
              <w:t>1.7探针电流可以实时显示，不小于1.2μA</w:t>
            </w:r>
          </w:p>
          <w:p>
            <w:pPr>
              <w:pStyle w:val="null3"/>
            </w:pPr>
            <w:r>
              <w:rPr>
                <w:rFonts w:ascii="宋体" w:hAnsi="宋体" w:cs="宋体" w:eastAsia="宋体"/>
                <w:sz w:val="21"/>
              </w:rPr>
              <w:t>1.</w:t>
            </w:r>
            <w:r>
              <w:rPr>
                <w:rFonts w:ascii="宋体" w:hAnsi="宋体" w:cs="宋体" w:eastAsia="宋体"/>
                <w:sz w:val="21"/>
              </w:rPr>
              <w:t>8</w:t>
            </w:r>
            <w:r>
              <w:rPr>
                <w:rFonts w:ascii="宋体" w:hAnsi="宋体" w:cs="宋体" w:eastAsia="宋体"/>
                <w:sz w:val="21"/>
              </w:rPr>
              <w:t>真空系统</w:t>
            </w:r>
          </w:p>
          <w:p>
            <w:pPr>
              <w:pStyle w:val="null3"/>
            </w:pPr>
            <w:r>
              <w:rPr>
                <w:rFonts w:ascii="宋体" w:hAnsi="宋体" w:cs="宋体" w:eastAsia="宋体"/>
                <w:sz w:val="21"/>
              </w:rPr>
              <w:t>1.8.1 高真空：≤ 0.1mPa（10</w:t>
            </w:r>
            <w:r>
              <w:rPr>
                <w:rFonts w:ascii="宋体" w:hAnsi="宋体" w:cs="宋体" w:eastAsia="宋体"/>
                <w:sz w:val="21"/>
                <w:vertAlign w:val="superscript"/>
              </w:rPr>
              <w:t>-3</w:t>
            </w:r>
            <w:r>
              <w:rPr>
                <w:rFonts w:ascii="宋体" w:hAnsi="宋体" w:cs="宋体" w:eastAsia="宋体"/>
                <w:sz w:val="21"/>
              </w:rPr>
              <w:t>pa样品室）</w:t>
            </w:r>
          </w:p>
          <w:p>
            <w:pPr>
              <w:pStyle w:val="null3"/>
            </w:pPr>
            <w:r>
              <w:rPr>
                <w:rFonts w:ascii="宋体" w:hAnsi="宋体" w:cs="宋体" w:eastAsia="宋体"/>
                <w:sz w:val="21"/>
                <w:b/>
              </w:rPr>
              <w:t>★</w:t>
            </w:r>
            <w:r>
              <w:rPr>
                <w:rFonts w:ascii="宋体" w:hAnsi="宋体" w:cs="宋体" w:eastAsia="宋体"/>
                <w:sz w:val="21"/>
              </w:rPr>
              <w:t>1.8.2标配低真空设计，低真空范围 6</w:t>
            </w:r>
            <w:r>
              <w:rPr>
                <w:rFonts w:ascii="宋体" w:hAnsi="宋体" w:cs="宋体" w:eastAsia="宋体"/>
                <w:sz w:val="21"/>
              </w:rPr>
              <w:t>Pa</w:t>
            </w:r>
            <w:r>
              <w:rPr>
                <w:rFonts w:ascii="宋体" w:hAnsi="宋体" w:cs="宋体" w:eastAsia="宋体"/>
                <w:sz w:val="21"/>
              </w:rPr>
              <w:t>-100Pa(需满足最高及最低限)，软件界面及操作台实现高低真空切换，且高低真空一键切换，无需手动更换光阑。</w:t>
            </w:r>
          </w:p>
          <w:p>
            <w:pPr>
              <w:pStyle w:val="null3"/>
            </w:pPr>
            <w:r>
              <w:rPr>
                <w:rFonts w:ascii="宋体" w:hAnsi="宋体" w:cs="宋体" w:eastAsia="宋体"/>
                <w:sz w:val="21"/>
              </w:rPr>
              <w:t>1.8.3 真空泵系统：真空系统：涡轮分子泵不低于61L/s一台，机械泵不低于100L/min一台。真空系统带停电、漏电系统保护</w:t>
            </w:r>
          </w:p>
          <w:p>
            <w:pPr>
              <w:pStyle w:val="null3"/>
            </w:pPr>
            <w:r>
              <w:rPr>
                <w:rFonts w:ascii="宋体" w:hAnsi="宋体" w:cs="宋体" w:eastAsia="宋体"/>
                <w:sz w:val="21"/>
              </w:rPr>
              <w:t>1.9 探测器及成像系统</w:t>
            </w:r>
          </w:p>
          <w:p>
            <w:pPr>
              <w:pStyle w:val="null3"/>
            </w:pPr>
            <w:r>
              <w:rPr>
                <w:rFonts w:ascii="宋体" w:hAnsi="宋体" w:cs="宋体" w:eastAsia="宋体"/>
                <w:sz w:val="21"/>
              </w:rPr>
              <w:t>1.9.1 标配多探头：二次电子探测器：二次电子像</w:t>
            </w:r>
          </w:p>
          <w:p>
            <w:pPr>
              <w:pStyle w:val="null3"/>
            </w:pPr>
            <w:r>
              <w:rPr>
                <w:rFonts w:ascii="宋体" w:hAnsi="宋体" w:cs="宋体" w:eastAsia="宋体"/>
                <w:sz w:val="21"/>
              </w:rPr>
              <w:t>高灵敏度</w:t>
            </w:r>
            <w:r>
              <w:rPr>
                <w:rFonts w:ascii="宋体" w:hAnsi="宋体" w:cs="宋体" w:eastAsia="宋体"/>
                <w:sz w:val="21"/>
              </w:rPr>
              <w:t>5分割背散射电子探测器：成分像、形貌像和三维像（探测器目数≥5）</w:t>
            </w:r>
          </w:p>
          <w:p>
            <w:pPr>
              <w:pStyle w:val="null3"/>
            </w:pPr>
            <w:r>
              <w:rPr>
                <w:rFonts w:ascii="宋体" w:hAnsi="宋体" w:cs="宋体" w:eastAsia="宋体"/>
                <w:sz w:val="21"/>
              </w:rPr>
              <w:t>集成样品室内正上方样品台彩色光学探测器，保证样品安全同时得到光学成像。</w:t>
            </w:r>
          </w:p>
          <w:p>
            <w:pPr>
              <w:pStyle w:val="null3"/>
            </w:pPr>
            <w:r>
              <w:rPr>
                <w:rFonts w:ascii="宋体" w:hAnsi="宋体" w:cs="宋体" w:eastAsia="宋体"/>
                <w:sz w:val="21"/>
              </w:rPr>
              <w:t>1.9.2 成像模式：同时得到二次电子像，背散射电子像，两种图像混合像，BSE分别成像，并和SE能任意叠加混合</w:t>
            </w:r>
          </w:p>
          <w:p>
            <w:pPr>
              <w:pStyle w:val="null3"/>
            </w:pPr>
            <w:r>
              <w:rPr>
                <w:rFonts w:ascii="宋体" w:hAnsi="宋体" w:cs="宋体" w:eastAsia="宋体"/>
                <w:sz w:val="21"/>
              </w:rPr>
              <w:t>1.10自动功能：自动灯丝饱和度调整，自动电子束对中及自动拍照功能</w:t>
            </w:r>
            <w:r>
              <w:rPr>
                <w:rFonts w:ascii="宋体" w:hAnsi="宋体" w:cs="宋体" w:eastAsia="宋体"/>
                <w:sz w:val="21"/>
              </w:rPr>
              <w:t>。可在</w:t>
            </w:r>
            <w:r>
              <w:rPr>
                <w:rFonts w:ascii="宋体" w:hAnsi="宋体" w:cs="宋体" w:eastAsia="宋体"/>
                <w:sz w:val="21"/>
              </w:rPr>
              <w:t>5万倍直接自动聚焦，无需人为调整。</w:t>
            </w:r>
          </w:p>
          <w:p>
            <w:pPr>
              <w:pStyle w:val="null3"/>
            </w:pPr>
            <w:r>
              <w:rPr>
                <w:rFonts w:ascii="宋体" w:hAnsi="宋体" w:cs="宋体" w:eastAsia="宋体"/>
                <w:sz w:val="21"/>
              </w:rPr>
              <w:t>1.11低球差物镜+聚光镜设计，聚光镜光阑安装在长内衬管内，非短衬管设计，用户可自行更换聚光镜光阑。</w:t>
            </w:r>
          </w:p>
          <w:p>
            <w:pPr>
              <w:pStyle w:val="null3"/>
            </w:pPr>
            <w:r>
              <w:rPr>
                <w:rFonts w:ascii="宋体" w:hAnsi="宋体" w:cs="宋体" w:eastAsia="宋体"/>
                <w:sz w:val="21"/>
              </w:rPr>
              <w:t>1.12样品室配置</w:t>
            </w:r>
          </w:p>
          <w:p>
            <w:pPr>
              <w:pStyle w:val="null3"/>
            </w:pPr>
            <w:r>
              <w:rPr>
                <w:rFonts w:ascii="宋体" w:hAnsi="宋体" w:cs="宋体" w:eastAsia="宋体"/>
                <w:sz w:val="21"/>
              </w:rPr>
              <w:t>1.12.1五轴样品台：不少于三轴马达驱动，各轴工作有效行程要求：</w:t>
            </w:r>
          </w:p>
          <w:p>
            <w:pPr>
              <w:pStyle w:val="null3"/>
            </w:pPr>
            <w:r>
              <w:rPr>
                <w:rFonts w:ascii="宋体" w:hAnsi="宋体" w:cs="宋体" w:eastAsia="宋体"/>
                <w:sz w:val="21"/>
              </w:rPr>
              <w:t>X：0~40mm，Y：0~50mm，Z：5~33mm，R：0~360°，T：-15°~90°</w:t>
            </w:r>
          </w:p>
          <w:p>
            <w:pPr>
              <w:pStyle w:val="null3"/>
            </w:pPr>
            <w:r>
              <w:rPr>
                <w:rFonts w:ascii="宋体" w:hAnsi="宋体" w:cs="宋体" w:eastAsia="宋体"/>
                <w:sz w:val="21"/>
              </w:rPr>
              <w:t>1.12.2 样品室：抽屉式大开仓结构，样品台安装在仓门上，保证取样安全。与大型电镜通用M4铝台，无需特制样品台，能全方位观察样品</w:t>
            </w:r>
          </w:p>
          <w:p>
            <w:pPr>
              <w:pStyle w:val="null3"/>
            </w:pPr>
            <w:r>
              <w:rPr>
                <w:rFonts w:ascii="宋体" w:hAnsi="宋体" w:cs="宋体" w:eastAsia="宋体"/>
                <w:sz w:val="21"/>
              </w:rPr>
              <w:t>1.12.3样品大小：直径不小于80mm，高度不小于40mm，且可始终保持工作距离范围5-15mm，可观察区域不小于64mm。</w:t>
            </w:r>
          </w:p>
          <w:p>
            <w:pPr>
              <w:pStyle w:val="null3"/>
            </w:pPr>
            <w:r>
              <w:rPr>
                <w:rFonts w:ascii="宋体" w:hAnsi="宋体" w:cs="宋体" w:eastAsia="宋体"/>
                <w:sz w:val="21"/>
              </w:rPr>
              <w:t>1.13具有样品导航SEM-MAP功能，包括以下功能：</w:t>
            </w:r>
          </w:p>
          <w:p>
            <w:pPr>
              <w:pStyle w:val="null3"/>
            </w:pPr>
            <w:r>
              <w:rPr>
                <w:rFonts w:ascii="宋体" w:hAnsi="宋体" w:cs="宋体" w:eastAsia="宋体"/>
                <w:sz w:val="21"/>
              </w:rPr>
              <w:t>1.13.1可在光镜图片上自动拍照电镜图片并自动叠加（最大可达2000倍）。</w:t>
            </w:r>
          </w:p>
          <w:p>
            <w:pPr>
              <w:pStyle w:val="null3"/>
            </w:pPr>
            <w:r>
              <w:rPr>
                <w:rFonts w:ascii="宋体" w:hAnsi="宋体" w:cs="宋体" w:eastAsia="宋体"/>
                <w:sz w:val="21"/>
              </w:rPr>
              <w:t>1.13.2导航具有照片回溯定位，联动马达台，ZOOM自动切换相机/SEM像等高级功能。</w:t>
            </w:r>
          </w:p>
          <w:p>
            <w:pPr>
              <w:pStyle w:val="null3"/>
            </w:pPr>
            <w:r>
              <w:rPr>
                <w:rFonts w:ascii="宋体" w:hAnsi="宋体" w:cs="宋体" w:eastAsia="宋体"/>
                <w:sz w:val="21"/>
              </w:rPr>
              <w:t>1.13.3 导航具有MAP图像的ZOOM in/out，实时显示样品台进入过程。（可拍摄样品室全景）</w:t>
            </w:r>
          </w:p>
          <w:p>
            <w:pPr>
              <w:pStyle w:val="null3"/>
            </w:pPr>
            <w:r>
              <w:rPr>
                <w:rFonts w:ascii="宋体" w:hAnsi="宋体" w:cs="宋体" w:eastAsia="宋体"/>
                <w:sz w:val="21"/>
              </w:rPr>
              <w:t>1.14配置专用自动对中工具台，更换灯丝、光阑后可实现一键对中（adjustment），保证设备长时间稳定性。</w:t>
            </w:r>
          </w:p>
          <w:p>
            <w:pPr>
              <w:pStyle w:val="null3"/>
            </w:pPr>
            <w:r>
              <w:rPr>
                <w:rFonts w:ascii="宋体" w:hAnsi="宋体" w:cs="宋体" w:eastAsia="宋体"/>
                <w:sz w:val="21"/>
              </w:rPr>
              <w:t>1.15配置用户向导功能，针对不同样品自动给予用户模拟条件选择，并可根据拍摄情况寻求建议向导。</w:t>
            </w:r>
          </w:p>
          <w:p>
            <w:pPr>
              <w:pStyle w:val="null3"/>
            </w:pPr>
            <w:r>
              <w:rPr>
                <w:rFonts w:ascii="宋体" w:hAnsi="宋体" w:cs="宋体" w:eastAsia="宋体"/>
                <w:sz w:val="21"/>
              </w:rPr>
              <w:t>1.16电子图像位移：＞±50μm（WD=10mm）</w:t>
            </w:r>
          </w:p>
          <w:p>
            <w:pPr>
              <w:pStyle w:val="null3"/>
            </w:pPr>
            <w:r>
              <w:rPr>
                <w:rFonts w:ascii="宋体" w:hAnsi="宋体" w:cs="宋体" w:eastAsia="宋体"/>
                <w:sz w:val="21"/>
              </w:rPr>
              <w:t>1.17具有一键报告导出功能。图片能以Word, Excel 或者 PowerPoint 的格式导出并直接生成报告，符合实验室标准。</w:t>
            </w:r>
          </w:p>
          <w:p>
            <w:pPr>
              <w:pStyle w:val="null3"/>
            </w:pPr>
            <w:r>
              <w:rPr>
                <w:rFonts w:ascii="宋体" w:hAnsi="宋体" w:cs="宋体" w:eastAsia="宋体"/>
                <w:sz w:val="21"/>
              </w:rPr>
              <w:t>1.18配置与大型电镜一体化的轨迹球及多功能旋钮版，提高操作智能性。</w:t>
            </w:r>
          </w:p>
          <w:p>
            <w:pPr>
              <w:pStyle w:val="null3"/>
            </w:pPr>
            <w:r>
              <w:rPr>
                <w:rFonts w:ascii="宋体" w:hAnsi="宋体" w:cs="宋体" w:eastAsia="宋体"/>
                <w:sz w:val="21"/>
              </w:rPr>
              <w:t>1.19计算机配置不低于：操作系统Windows 10 Pro 64位，i5处理器，速率3.0GHz上，4G内存，1T硬盘，且配有专业配套的图像管理软件</w:t>
            </w:r>
          </w:p>
          <w:p>
            <w:pPr>
              <w:pStyle w:val="null3"/>
              <w:jc w:val="both"/>
            </w:pPr>
            <w:r>
              <w:rPr>
                <w:rFonts w:ascii="宋体" w:hAnsi="宋体" w:cs="宋体" w:eastAsia="宋体"/>
                <w:sz w:val="21"/>
                <w:b/>
              </w:rPr>
              <w:t>2</w:t>
            </w:r>
            <w:r>
              <w:rPr>
                <w:rFonts w:ascii="宋体" w:hAnsi="宋体" w:cs="宋体" w:eastAsia="宋体"/>
                <w:sz w:val="21"/>
                <w:b/>
              </w:rPr>
              <w:t>.</w:t>
            </w:r>
            <w:r>
              <w:rPr>
                <w:rFonts w:ascii="宋体" w:hAnsi="宋体" w:cs="宋体" w:eastAsia="宋体"/>
                <w:sz w:val="21"/>
                <w:b/>
              </w:rPr>
              <w:t>材料结构分析模拟计算的高性能服务器</w:t>
            </w:r>
          </w:p>
          <w:p>
            <w:pPr>
              <w:pStyle w:val="null3"/>
              <w:jc w:val="both"/>
            </w:pPr>
            <w:r>
              <w:rPr>
                <w:rFonts w:ascii="宋体" w:hAnsi="宋体" w:cs="宋体" w:eastAsia="宋体"/>
                <w:sz w:val="21"/>
              </w:rPr>
              <w:t>2.1机架式服务器</w:t>
            </w:r>
          </w:p>
          <w:p>
            <w:pPr>
              <w:pStyle w:val="null3"/>
              <w:jc w:val="both"/>
            </w:pPr>
            <w:r>
              <w:rPr>
                <w:rFonts w:ascii="宋体" w:hAnsi="宋体" w:cs="宋体" w:eastAsia="宋体"/>
                <w:sz w:val="21"/>
              </w:rPr>
              <w:t>形态：</w:t>
            </w:r>
            <w:r>
              <w:rPr>
                <w:rFonts w:ascii="宋体" w:hAnsi="宋体" w:cs="宋体" w:eastAsia="宋体"/>
                <w:sz w:val="21"/>
              </w:rPr>
              <w:t>≥2U机架式服务器。</w:t>
            </w:r>
          </w:p>
          <w:p>
            <w:pPr>
              <w:pStyle w:val="null3"/>
              <w:jc w:val="both"/>
            </w:pPr>
            <w:r>
              <w:rPr>
                <w:rFonts w:ascii="宋体" w:hAnsi="宋体" w:cs="宋体" w:eastAsia="宋体"/>
                <w:sz w:val="21"/>
              </w:rPr>
              <w:t>处理器：配置</w:t>
            </w:r>
            <w:r>
              <w:rPr>
                <w:rFonts w:ascii="宋体" w:hAnsi="宋体" w:cs="宋体" w:eastAsia="宋体"/>
                <w:sz w:val="21"/>
              </w:rPr>
              <w:t>≥2颗X86架构处理器,单颗：CPU总核心数≥96，CPU主频≥2.4GHz。</w:t>
            </w:r>
          </w:p>
          <w:p>
            <w:pPr>
              <w:pStyle w:val="null3"/>
              <w:jc w:val="both"/>
            </w:pPr>
            <w:r>
              <w:rPr>
                <w:rFonts w:ascii="宋体" w:hAnsi="宋体" w:cs="宋体" w:eastAsia="宋体"/>
                <w:sz w:val="21"/>
              </w:rPr>
              <w:t>内存：配置</w:t>
            </w:r>
            <w:r>
              <w:rPr>
                <w:rFonts w:ascii="宋体" w:hAnsi="宋体" w:cs="宋体" w:eastAsia="宋体"/>
                <w:sz w:val="21"/>
              </w:rPr>
              <w:t>≥2条32GB DDR5-4800 RDIMM内存模块，支持多达24个DDR5内存插槽，速率≥4800MT/s,支持RDIMM或3DSRDIMM，最大内存支持容量6TB。</w:t>
            </w:r>
          </w:p>
          <w:p>
            <w:pPr>
              <w:pStyle w:val="null3"/>
              <w:jc w:val="both"/>
            </w:pPr>
            <w:r>
              <w:rPr>
                <w:rFonts w:ascii="宋体" w:hAnsi="宋体" w:cs="宋体" w:eastAsia="宋体"/>
                <w:sz w:val="21"/>
              </w:rPr>
              <w:t>存储：配置</w:t>
            </w:r>
            <w:r>
              <w:rPr>
                <w:rFonts w:ascii="宋体" w:hAnsi="宋体" w:cs="宋体" w:eastAsia="宋体"/>
                <w:sz w:val="21"/>
              </w:rPr>
              <w:t>≥1块8TB 6G SATA 7.2K硬盘，≥1块1.92TB SSD硬盘。</w:t>
            </w:r>
          </w:p>
          <w:p>
            <w:pPr>
              <w:pStyle w:val="null3"/>
              <w:jc w:val="both"/>
            </w:pPr>
            <w:r>
              <w:rPr>
                <w:rFonts w:ascii="宋体" w:hAnsi="宋体" w:cs="宋体" w:eastAsia="宋体"/>
                <w:sz w:val="21"/>
              </w:rPr>
              <w:t>网卡：</w:t>
            </w:r>
            <w:r>
              <w:rPr>
                <w:rFonts w:ascii="宋体" w:hAnsi="宋体" w:cs="宋体" w:eastAsia="宋体"/>
                <w:sz w:val="21"/>
              </w:rPr>
              <w:t>≥4xRJ45千兆网口。</w:t>
            </w:r>
          </w:p>
          <w:p>
            <w:pPr>
              <w:pStyle w:val="null3"/>
              <w:jc w:val="both"/>
            </w:pPr>
            <w:r>
              <w:rPr>
                <w:rFonts w:ascii="宋体" w:hAnsi="宋体" w:cs="宋体" w:eastAsia="宋体"/>
                <w:sz w:val="21"/>
              </w:rPr>
              <w:t>管理端口：配置</w:t>
            </w:r>
            <w:r>
              <w:rPr>
                <w:rFonts w:ascii="宋体" w:hAnsi="宋体" w:cs="宋体" w:eastAsia="宋体"/>
                <w:sz w:val="21"/>
              </w:rPr>
              <w:t>≥1Gb独立的远程管理控制端口。</w:t>
            </w:r>
          </w:p>
          <w:p>
            <w:pPr>
              <w:pStyle w:val="null3"/>
              <w:jc w:val="both"/>
            </w:pPr>
            <w:r>
              <w:rPr>
                <w:rFonts w:ascii="宋体" w:hAnsi="宋体" w:cs="宋体" w:eastAsia="宋体"/>
                <w:sz w:val="21"/>
              </w:rPr>
              <w:t>RAID卡：≥1个独立SAS RAID阵列卡，支持RAID0/1/10/5/6/50/60/。</w:t>
            </w:r>
          </w:p>
          <w:p>
            <w:pPr>
              <w:pStyle w:val="null3"/>
              <w:jc w:val="both"/>
            </w:pPr>
            <w:r>
              <w:rPr>
                <w:rFonts w:ascii="宋体" w:hAnsi="宋体" w:cs="宋体" w:eastAsia="宋体"/>
                <w:sz w:val="21"/>
              </w:rPr>
              <w:t>冗余电源：</w:t>
            </w:r>
            <w:r>
              <w:rPr>
                <w:rFonts w:ascii="宋体" w:hAnsi="宋体" w:cs="宋体" w:eastAsia="宋体"/>
                <w:sz w:val="21"/>
              </w:rPr>
              <w:t>≥2x1300W电源。</w:t>
            </w:r>
          </w:p>
          <w:p>
            <w:pPr>
              <w:pStyle w:val="null3"/>
              <w:jc w:val="both"/>
            </w:pPr>
            <w:r>
              <w:rPr>
                <w:rFonts w:ascii="宋体" w:hAnsi="宋体" w:cs="宋体" w:eastAsia="宋体"/>
                <w:sz w:val="21"/>
              </w:rPr>
              <w:t>风扇：热插拔冗余风扇。</w:t>
            </w:r>
          </w:p>
          <w:p>
            <w:pPr>
              <w:pStyle w:val="null3"/>
              <w:jc w:val="both"/>
            </w:pPr>
            <w:r>
              <w:rPr>
                <w:rFonts w:ascii="宋体" w:hAnsi="宋体" w:cs="宋体" w:eastAsia="宋体"/>
                <w:sz w:val="21"/>
              </w:rPr>
              <w:t>管理软件：要求实配服务器管理软件，支持批量自定义安装操作系统，从而有效提高部署效率。</w:t>
            </w:r>
          </w:p>
          <w:p>
            <w:pPr>
              <w:pStyle w:val="null3"/>
              <w:jc w:val="both"/>
            </w:pPr>
            <w:r>
              <w:rPr>
                <w:rFonts w:ascii="宋体" w:hAnsi="宋体" w:cs="宋体" w:eastAsia="宋体"/>
                <w:sz w:val="21"/>
              </w:rPr>
              <w:t>2.2塔式工作站</w:t>
            </w:r>
          </w:p>
          <w:p>
            <w:pPr>
              <w:pStyle w:val="null3"/>
              <w:jc w:val="both"/>
            </w:pPr>
            <w:r>
              <w:rPr>
                <w:rFonts w:ascii="宋体" w:hAnsi="宋体" w:cs="宋体" w:eastAsia="宋体"/>
                <w:sz w:val="21"/>
              </w:rPr>
              <w:t>处理器</w:t>
            </w:r>
            <w:r>
              <w:rPr>
                <w:rFonts w:ascii="宋体" w:hAnsi="宋体" w:cs="宋体" w:eastAsia="宋体"/>
                <w:sz w:val="21"/>
              </w:rPr>
              <w:t>:</w:t>
            </w:r>
            <w:r>
              <w:rPr>
                <w:rFonts w:ascii="calibri" w:hAnsi="calibri" w:cs="calibri" w:eastAsia="calibri"/>
                <w:sz w:val="21"/>
              </w:rPr>
              <w:t xml:space="preserve"> </w:t>
            </w:r>
            <w:r>
              <w:rPr>
                <w:rFonts w:ascii="宋体" w:hAnsi="宋体" w:cs="宋体" w:eastAsia="宋体"/>
                <w:sz w:val="21"/>
              </w:rPr>
              <w:t>配置</w:t>
            </w:r>
            <w:r>
              <w:rPr>
                <w:rFonts w:ascii="宋体" w:hAnsi="宋体" w:cs="宋体" w:eastAsia="宋体"/>
                <w:sz w:val="21"/>
              </w:rPr>
              <w:t>≥1颗X86架构处理器, CPU总核心数≥16，CPU主频≥2.9GHz</w:t>
            </w:r>
          </w:p>
          <w:p>
            <w:pPr>
              <w:pStyle w:val="null3"/>
              <w:jc w:val="both"/>
            </w:pPr>
            <w:r>
              <w:rPr>
                <w:rFonts w:ascii="宋体" w:hAnsi="宋体" w:cs="宋体" w:eastAsia="宋体"/>
                <w:sz w:val="21"/>
              </w:rPr>
              <w:t>内存</w:t>
            </w:r>
            <w:r>
              <w:rPr>
                <w:rFonts w:ascii="宋体" w:hAnsi="宋体" w:cs="宋体" w:eastAsia="宋体"/>
                <w:sz w:val="21"/>
              </w:rPr>
              <w:t>: ≥4</w:t>
            </w:r>
            <w:r>
              <w:rPr>
                <w:rFonts w:ascii="宋体" w:hAnsi="宋体" w:cs="宋体" w:eastAsia="宋体"/>
                <w:sz w:val="21"/>
              </w:rPr>
              <w:t>x</w:t>
            </w:r>
            <w:r>
              <w:rPr>
                <w:rFonts w:ascii="宋体" w:hAnsi="宋体" w:cs="宋体" w:eastAsia="宋体"/>
                <w:sz w:val="21"/>
              </w:rPr>
              <w:t>32</w:t>
            </w:r>
            <w:r>
              <w:rPr>
                <w:rFonts w:ascii="宋体" w:hAnsi="宋体" w:cs="宋体" w:eastAsia="宋体"/>
                <w:sz w:val="21"/>
              </w:rPr>
              <w:t>G 3200Mz DDR4 内存</w:t>
            </w:r>
          </w:p>
          <w:p>
            <w:pPr>
              <w:pStyle w:val="null3"/>
              <w:jc w:val="both"/>
            </w:pPr>
            <w:r>
              <w:rPr>
                <w:rFonts w:ascii="宋体" w:hAnsi="宋体" w:cs="宋体" w:eastAsia="宋体"/>
                <w:sz w:val="21"/>
              </w:rPr>
              <w:t>硬盘</w:t>
            </w:r>
            <w:r>
              <w:rPr>
                <w:rFonts w:ascii="宋体" w:hAnsi="宋体" w:cs="宋体" w:eastAsia="宋体"/>
                <w:sz w:val="21"/>
              </w:rPr>
              <w:t>: ≥1块4T M.2固态硬盘，≥2块16T</w:t>
            </w:r>
            <w:r>
              <w:rPr>
                <w:rFonts w:ascii="calibri" w:hAnsi="calibri" w:cs="calibri" w:eastAsia="calibri"/>
                <w:sz w:val="21"/>
              </w:rPr>
              <w:t xml:space="preserve"> </w:t>
            </w:r>
            <w:r>
              <w:rPr>
                <w:rFonts w:ascii="宋体" w:hAnsi="宋体" w:cs="宋体" w:eastAsia="宋体"/>
                <w:sz w:val="21"/>
              </w:rPr>
              <w:t>SATA硬盘</w:t>
            </w:r>
          </w:p>
          <w:p>
            <w:pPr>
              <w:pStyle w:val="null3"/>
              <w:jc w:val="both"/>
            </w:pPr>
            <w:r>
              <w:rPr>
                <w:rFonts w:ascii="宋体" w:hAnsi="宋体" w:cs="宋体" w:eastAsia="宋体"/>
                <w:sz w:val="21"/>
              </w:rPr>
              <w:t>GPU: ≥1块RTX4090 显卡</w:t>
            </w:r>
          </w:p>
          <w:p>
            <w:pPr>
              <w:pStyle w:val="null3"/>
              <w:jc w:val="both"/>
            </w:pPr>
            <w:r>
              <w:rPr>
                <w:rFonts w:ascii="宋体" w:hAnsi="宋体" w:cs="宋体" w:eastAsia="宋体"/>
                <w:sz w:val="21"/>
              </w:rPr>
              <w:t>电源</w:t>
            </w:r>
            <w:r>
              <w:rPr>
                <w:rFonts w:ascii="宋体" w:hAnsi="宋体" w:cs="宋体" w:eastAsia="宋体"/>
                <w:sz w:val="21"/>
              </w:rPr>
              <w:t>: ≥1400W电</w:t>
            </w:r>
          </w:p>
          <w:p>
            <w:pPr>
              <w:pStyle w:val="null3"/>
              <w:jc w:val="both"/>
            </w:pPr>
            <w:r>
              <w:rPr>
                <w:b/>
              </w:rPr>
              <w:t>以上技术参数与性能指标不允许负偏离，其中★指标必须提供佐证材料证明（包括但不限于产品彩页或技术白皮书或官网截图等）。不满足或★指标未提供佐证材料视为负偏离，按无效文件处理。</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 120 日历日内完成交付、安装及调试</w:t>
      </w:r>
    </w:p>
    <w:p>
      <w:pPr>
        <w:pStyle w:val="null3"/>
        <w:outlineLvl w:val="3"/>
      </w:pPr>
      <w:r>
        <w:rPr>
          <w:sz w:val="24"/>
          <w:b/>
        </w:rPr>
        <w:t>3.4.2交货地点和方式</w:t>
      </w:r>
    </w:p>
    <w:p>
      <w:pPr>
        <w:pStyle w:val="null3"/>
      </w:pPr>
      <w:r>
        <w:rPr/>
        <w:t>采购包1：</w:t>
      </w:r>
    </w:p>
    <w:p>
      <w:pPr>
        <w:pStyle w:val="null3"/>
      </w:pPr>
      <w:r>
        <w:rPr/>
        <w:t>西安建筑科技大学草堂校区学府城6号楼403</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一、国产设备： （仅限2024年12月20日前无法验收合格的项目） 合同签订前，乙方须在甲方指定的银行开立一般结算账户。合同签订后，甲方通过银行电汇付给乙方全额货款。 （仅限2024年12月20日前验收合格的项目） 签订合同后，设备到达指定地点、安装调试完成并验收合格后，支付合同总价的100%。 二、进口设备： 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根据招标文件及合同约定执行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自验收合格通过之日起1年</w:t>
      </w:r>
    </w:p>
    <w:p>
      <w:pPr>
        <w:pStyle w:val="null3"/>
        <w:outlineLvl w:val="3"/>
      </w:pPr>
      <w:r>
        <w:rPr>
          <w:sz w:val="24"/>
          <w:b/>
        </w:rPr>
        <w:t>3.4.8违约责任及解决争议的方法</w:t>
      </w:r>
    </w:p>
    <w:p>
      <w:pPr>
        <w:pStyle w:val="null3"/>
      </w:pPr>
      <w:r>
        <w:rPr/>
        <w:t>采购包1：</w:t>
      </w:r>
    </w:p>
    <w:p>
      <w:pPr>
        <w:pStyle w:val="null3"/>
      </w:pPr>
      <w:r>
        <w:rPr/>
        <w:t>根据招标文件及合同约定执行</w:t>
      </w:r>
    </w:p>
    <w:p>
      <w:pPr>
        <w:pStyle w:val="null3"/>
        <w:jc w:val="left"/>
        <w:outlineLvl w:val="3"/>
      </w:pPr>
      <w:r>
        <w:rPr>
          <w:sz w:val="24"/>
          <w:b/>
        </w:rPr>
        <w:t>3.5其他要求</w:t>
      </w:r>
    </w:p>
    <w:p>
      <w:pPr>
        <w:pStyle w:val="null3"/>
      </w:pPr>
      <w:r>
        <w:rPr/>
        <w:t>采购包1：</w:t>
      </w:r>
    </w:p>
    <w:p>
      <w:pPr>
        <w:pStyle w:val="null3"/>
      </w:pPr>
      <w:r>
        <w:rPr/>
        <w:t>成交单位领取中标通知书时，提交纸质响应文件正本壹份、副本贰份、电子版壹份（U盘壹份注明单位名称）编辑目录和页码，内容和通过电子化交易平台实施的政府采购项目提交的响应文件一致。 2、纸质响应文件正副本分别胶装。</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月1日以来任意一个月的纳税证明或完税证明，纳税证明或完税证明上应有代收机构或税务机关的公章或业务专用章；其他组织和自然人提供自2024年1月1日以来任意一个月缴纳税收的凭据；依法免税的投标人应提供相关文件证明 ； ③社会保障资金缴纳证明：提供自2024年1月1日以来任意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注：供应商需在项目电子化交易系统中上传①-⑤项相关证明文件并进行电子签章。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 财务状况报告：法人提供会计师事务所出具的有效的2023年度审计报告（成立时间至提交投标文件截止时间不足一年的可提供成立后任意时段的资产负债表），或其开标前六个月内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法定代表人参加投标的，须提供身份证复印件；法定代表人授权本单位他人参加投标的，须提供法定代表人授权委托书。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进口授权</w:t>
            </w:r>
          </w:p>
        </w:tc>
        <w:tc>
          <w:tcPr>
            <w:tcW w:type="dxa" w:w="3322"/>
          </w:tcPr>
          <w:p>
            <w:pPr>
              <w:pStyle w:val="null3"/>
            </w:pPr>
            <w:r>
              <w:rPr/>
              <w:t>本项目材料结构表征分析及测试系统已做进口论证，接受进口产品的投标。供应商所投产品为进口产品的，供应商需提供所投产品授权书。国产产品不需要提供，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是否接受联合体投标</w:t>
            </w:r>
          </w:p>
        </w:tc>
        <w:tc>
          <w:tcPr>
            <w:tcW w:type="dxa" w:w="3322"/>
          </w:tcPr>
          <w:p>
            <w:pPr>
              <w:pStyle w:val="null3"/>
            </w:pPr>
            <w:r>
              <w:rPr/>
              <w:t>本项目不接受联合体投标。</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是否面向中小企业采购</w:t>
            </w:r>
          </w:p>
        </w:tc>
        <w:tc>
          <w:tcPr>
            <w:tcW w:type="dxa" w:w="3322"/>
          </w:tcPr>
          <w:p>
            <w:pPr>
              <w:pStyle w:val="null3"/>
            </w:pPr>
            <w:r>
              <w:rPr/>
              <w:t>本项目非专门面向中小企业采购。</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分项报价表 标的清单 报价表</w:t>
            </w:r>
          </w:p>
        </w:tc>
      </w:tr>
      <w:tr>
        <w:tc>
          <w:tcPr>
            <w:tcW w:type="dxa" w:w="831"/>
          </w:tcPr>
          <w:p>
            <w:pPr>
              <w:pStyle w:val="null3"/>
            </w:pPr>
            <w:r>
              <w:rPr/>
              <w:t>2</w:t>
            </w:r>
          </w:p>
        </w:tc>
        <w:tc>
          <w:tcPr>
            <w:tcW w:type="dxa" w:w="2492"/>
          </w:tcPr>
          <w:p>
            <w:pPr>
              <w:pStyle w:val="null3"/>
            </w:pPr>
            <w:r>
              <w:rPr/>
              <w:t>响应文件是否按竞争性谈判文件要求签署、盖章的</w:t>
            </w:r>
          </w:p>
        </w:tc>
        <w:tc>
          <w:tcPr>
            <w:tcW w:type="dxa" w:w="3322"/>
          </w:tcPr>
          <w:p>
            <w:pPr>
              <w:pStyle w:val="null3"/>
            </w:pPr>
            <w:r>
              <w:rPr/>
              <w:t>响应文件应当按采购文件要求签署、盖章，否则谈判小组应当将其响应文件作为无效处理。</w:t>
            </w:r>
          </w:p>
        </w:tc>
        <w:tc>
          <w:tcPr>
            <w:tcW w:type="dxa" w:w="1661"/>
          </w:tcPr>
          <w:p>
            <w:pPr>
              <w:pStyle w:val="null3"/>
            </w:pPr>
            <w:r>
              <w:rPr/>
              <w:t>响应文件封面 拒绝商业贿赂承诺书 供应商应提交的相关资格证明材料 响应函 业绩一览表</w:t>
            </w:r>
          </w:p>
        </w:tc>
      </w:tr>
      <w:tr>
        <w:tc>
          <w:tcPr>
            <w:tcW w:type="dxa" w:w="831"/>
          </w:tcPr>
          <w:p>
            <w:pPr>
              <w:pStyle w:val="null3"/>
            </w:pPr>
            <w:r>
              <w:rPr/>
              <w:t>3</w:t>
            </w:r>
          </w:p>
        </w:tc>
        <w:tc>
          <w:tcPr>
            <w:tcW w:type="dxa" w:w="2492"/>
          </w:tcPr>
          <w:p>
            <w:pPr>
              <w:pStyle w:val="null3"/>
            </w:pPr>
            <w:r>
              <w:rPr/>
              <w:t>报价是否超过竞争性谈判文件中规定的最高限价的</w:t>
            </w:r>
          </w:p>
        </w:tc>
        <w:tc>
          <w:tcPr>
            <w:tcW w:type="dxa" w:w="3322"/>
          </w:tcPr>
          <w:p>
            <w:pPr>
              <w:pStyle w:val="null3"/>
            </w:pPr>
            <w:r>
              <w:rPr/>
              <w:t>响应文件的报价应当不超过采购文件中规定的最高限价，否则谈判小组应当将其响应文件作为无效处理。</w:t>
            </w:r>
          </w:p>
        </w:tc>
        <w:tc>
          <w:tcPr>
            <w:tcW w:type="dxa" w:w="1661"/>
          </w:tcPr>
          <w:p>
            <w:pPr>
              <w:pStyle w:val="null3"/>
            </w:pPr>
            <w:r>
              <w:rPr/>
              <w:t>分项报价表 标的清单 报价表</w:t>
            </w:r>
          </w:p>
        </w:tc>
      </w:tr>
      <w:tr>
        <w:tc>
          <w:tcPr>
            <w:tcW w:type="dxa" w:w="831"/>
          </w:tcPr>
          <w:p>
            <w:pPr>
              <w:pStyle w:val="null3"/>
            </w:pPr>
            <w:r>
              <w:rPr/>
              <w:t>4</w:t>
            </w:r>
          </w:p>
        </w:tc>
        <w:tc>
          <w:tcPr>
            <w:tcW w:type="dxa" w:w="2492"/>
          </w:tcPr>
          <w:p>
            <w:pPr>
              <w:pStyle w:val="null3"/>
            </w:pPr>
            <w:r>
              <w:rPr/>
              <w:t>响应文件是否含有采购人不能接受的附加条件的或其他情形</w:t>
            </w:r>
          </w:p>
        </w:tc>
        <w:tc>
          <w:tcPr>
            <w:tcW w:type="dxa" w:w="3322"/>
          </w:tcPr>
          <w:p>
            <w:pPr>
              <w:pStyle w:val="null3"/>
            </w:pPr>
            <w:r>
              <w:rPr/>
              <w:t>响应文件未含有采购人不能接受的附加条件的或其他情形，否则谈判小组应当将其响应文件作为无效处理。</w:t>
            </w:r>
          </w:p>
        </w:tc>
        <w:tc>
          <w:tcPr>
            <w:tcW w:type="dxa" w:w="1661"/>
          </w:tcPr>
          <w:p>
            <w:pPr>
              <w:pStyle w:val="null3"/>
            </w:pPr>
            <w:r>
              <w:rPr/>
              <w:t>商务条款响应说明 谈判保证金缴纳 供应商应提交的相关资格证明材料 技术指标偏差表 谈判响应方案 业绩一览表</w:t>
            </w:r>
          </w:p>
        </w:tc>
      </w:tr>
      <w:tr>
        <w:tc>
          <w:tcPr>
            <w:tcW w:type="dxa" w:w="831"/>
          </w:tcPr>
          <w:p>
            <w:pPr>
              <w:pStyle w:val="null3"/>
            </w:pPr>
            <w:r>
              <w:rPr/>
              <w:t>5</w:t>
            </w:r>
          </w:p>
        </w:tc>
        <w:tc>
          <w:tcPr>
            <w:tcW w:type="dxa" w:w="2492"/>
          </w:tcPr>
          <w:p>
            <w:pPr>
              <w:pStyle w:val="null3"/>
            </w:pPr>
            <w:r>
              <w:rPr/>
              <w:t>是否发现法律、法规和采购文件规定的其他无效情形</w:t>
            </w:r>
          </w:p>
        </w:tc>
        <w:tc>
          <w:tcPr>
            <w:tcW w:type="dxa" w:w="3322"/>
          </w:tcPr>
          <w:p>
            <w:pPr>
              <w:pStyle w:val="null3"/>
            </w:pPr>
            <w:r>
              <w:rPr/>
              <w:t>响应文件未发现法律、法规和采购文件规定的其他无效情形，否则谈判小组应当将其响应文件作为无效处理。</w:t>
            </w:r>
          </w:p>
        </w:tc>
        <w:tc>
          <w:tcPr>
            <w:tcW w:type="dxa" w:w="1661"/>
          </w:tcPr>
          <w:p>
            <w:pPr>
              <w:pStyle w:val="null3"/>
            </w:pPr>
            <w:r>
              <w:rPr/>
              <w:t>商务条款响应说明 谈判保证金缴纳 拒绝商业贿赂承诺书 供应商应提交的相关资格证明材料 技术指标偏差表 谈判响应方案</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详见附件：技术指标偏差表</w:t>
      </w:r>
    </w:p>
    <w:p>
      <w:pPr>
        <w:pStyle w:val="null3"/>
        <w:ind w:firstLine="960"/>
      </w:pPr>
      <w:r>
        <w:rPr/>
        <w:t>详见附件：商务条款响应说明</w:t>
      </w:r>
    </w:p>
    <w:p>
      <w:pPr>
        <w:pStyle w:val="null3"/>
        <w:ind w:firstLine="960"/>
      </w:pPr>
      <w:r>
        <w:rPr/>
        <w:t>详见附件：谈判保证金缴纳</w:t>
      </w:r>
    </w:p>
    <w:p>
      <w:pPr>
        <w:pStyle w:val="null3"/>
        <w:ind w:firstLine="960"/>
      </w:pPr>
      <w:r>
        <w:rPr/>
        <w:t>详见附件：谈判响应方案</w:t>
      </w:r>
    </w:p>
    <w:p>
      <w:pPr>
        <w:pStyle w:val="null3"/>
        <w:ind w:firstLine="960"/>
      </w:pPr>
      <w:r>
        <w:rPr/>
        <w:t>详见附件：供应商应提交的相关资格证明材料</w:t>
      </w:r>
    </w:p>
    <w:p>
      <w:pPr>
        <w:pStyle w:val="null3"/>
        <w:ind w:firstLine="960"/>
      </w:pPr>
      <w:r>
        <w:rPr/>
        <w:t>详见附件：业绩一览表</w:t>
      </w:r>
    </w:p>
    <w:p>
      <w:pPr>
        <w:pStyle w:val="null3"/>
        <w:ind w:firstLine="960"/>
      </w:pPr>
      <w:r>
        <w:rPr/>
        <w:t>详见附件：拒绝商业贿赂承诺书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