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版本号：241204001</w:t>
      </w:r>
      <w:r>
        <w:br/>
      </w:r>
      <w:r>
        <w:br/>
      </w:r>
      <w:r>
        <w:br/>
      </w:r>
      <w:r>
        <w:br/>
      </w:r>
      <w:r>
        <w:br/>
      </w:r>
    </w:p>
    <w:p>
      <w:pPr>
        <w:pStyle w:val="null3"/>
        <w:jc w:val="center"/>
        <w:outlineLvl w:val="0"/>
      </w:pPr>
      <w:r>
        <w:rPr>
          <w:sz w:val="48"/>
          <w:b/>
        </w:rPr>
        <w:t>谈 判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单细胞成像分析系统采购项目(二次)</w:t>
      </w:r>
    </w:p>
    <w:p>
      <w:pPr>
        <w:pStyle w:val="null3"/>
        <w:jc w:val="center"/>
        <w:outlineLvl w:val="2"/>
      </w:pPr>
      <w:r>
        <w:rPr>
          <w:sz w:val="28"/>
          <w:b/>
        </w:rPr>
        <w:t>采购项目编号：</w:t>
      </w:r>
      <w:r>
        <w:rPr>
          <w:sz w:val="28"/>
          <w:b/>
        </w:rPr>
        <w:t>KY2024-3-287</w:t>
      </w:r>
      <w:r>
        <w:br/>
      </w:r>
      <w:r>
        <w:br/>
      </w:r>
      <w:r>
        <w:br/>
      </w:r>
    </w:p>
    <w:p>
      <w:pPr>
        <w:pStyle w:val="null3"/>
        <w:jc w:val="center"/>
        <w:outlineLvl w:val="2"/>
      </w:pPr>
      <w:r>
        <w:rPr>
          <w:sz w:val="28"/>
          <w:b/>
        </w:rPr>
        <w:t>西北大学</w:t>
      </w:r>
    </w:p>
    <w:p>
      <w:pPr>
        <w:pStyle w:val="null3"/>
        <w:jc w:val="center"/>
        <w:outlineLvl w:val="2"/>
      </w:pPr>
      <w:r>
        <w:rPr>
          <w:sz w:val="28"/>
          <w:b/>
        </w:rPr>
        <w:t>陕西开源招标有限公司</w:t>
      </w:r>
      <w:r>
        <w:rPr>
          <w:sz w:val="28"/>
          <w:b/>
        </w:rPr>
        <w:t>共同编制</w:t>
      </w:r>
    </w:p>
    <w:p>
      <w:pPr>
        <w:pStyle w:val="null3"/>
        <w:jc w:val="center"/>
        <w:outlineLvl w:val="2"/>
      </w:pPr>
      <w:r>
        <w:rPr>
          <w:sz w:val="28"/>
          <w:b/>
        </w:rPr>
        <w:t>2024年12月04日</w:t>
      </w:r>
    </w:p>
    <w:p>
      <w:pPr>
        <w:pStyle w:val="null3"/>
      </w:pPr>
      <w:r>
        <w:rPr/>
        <w:t xml:space="preserve"> </w:t>
        <w:br/>
        <w:br w:type="page"/>
      </w:r>
    </w:p>
    <w:p>
      <w:pPr>
        <w:pStyle w:val="null3"/>
        <w:jc w:val="center"/>
        <w:outlineLvl w:val="1"/>
      </w:pPr>
      <w:r>
        <w:rPr>
          <w:sz w:val="36"/>
          <w:b/>
        </w:rPr>
        <w:t>第一章 竞争性谈判邀请</w:t>
      </w:r>
    </w:p>
    <w:p>
      <w:pPr>
        <w:pStyle w:val="null3"/>
        <w:ind w:firstLine="480"/>
      </w:pPr>
      <w:r>
        <w:rPr/>
        <w:t>陕西开源招标有限公司</w:t>
      </w:r>
      <w:r>
        <w:rPr/>
        <w:t>（以下简称“代理机构”）受</w:t>
      </w:r>
      <w:r>
        <w:rPr/>
        <w:t>西北大学</w:t>
      </w:r>
      <w:r>
        <w:rPr/>
        <w:t>委托，拟对</w:t>
      </w:r>
      <w:r>
        <w:rPr/>
        <w:t>单细胞成像分析系统采购项目(二次)</w:t>
      </w:r>
      <w:r>
        <w:rPr/>
        <w:t>采用竞争性谈判采购方式进行采购，兹邀请供应商参加本项目的竞争性谈判。</w:t>
      </w:r>
    </w:p>
    <w:p>
      <w:pPr>
        <w:pStyle w:val="null3"/>
        <w:outlineLvl w:val="2"/>
      </w:pPr>
      <w:r>
        <w:rPr>
          <w:sz w:val="28"/>
          <w:b/>
        </w:rPr>
        <w:t>一、项目编号：</w:t>
      </w:r>
      <w:r>
        <w:rPr>
          <w:sz w:val="28"/>
          <w:b/>
        </w:rPr>
        <w:t>KY2024-3-287</w:t>
      </w:r>
    </w:p>
    <w:p>
      <w:pPr>
        <w:pStyle w:val="null3"/>
        <w:outlineLvl w:val="2"/>
      </w:pPr>
      <w:r>
        <w:rPr>
          <w:sz w:val="28"/>
          <w:b/>
        </w:rPr>
        <w:t>二、项目名称：</w:t>
      </w:r>
      <w:r>
        <w:rPr>
          <w:sz w:val="28"/>
          <w:b/>
        </w:rPr>
        <w:t>单细胞成像分析系统采购项目(二次)</w:t>
      </w:r>
    </w:p>
    <w:p>
      <w:pPr>
        <w:pStyle w:val="null3"/>
        <w:outlineLvl w:val="2"/>
      </w:pPr>
      <w:r>
        <w:rPr>
          <w:sz w:val="28"/>
          <w:b/>
        </w:rPr>
        <w:t>三、谈判项目简介：</w:t>
      </w:r>
    </w:p>
    <w:p>
      <w:pPr>
        <w:pStyle w:val="null3"/>
        <w:ind w:firstLine="480"/>
      </w:pPr>
      <w:r>
        <w:rPr/>
        <w:t>单细胞成像分析系统：1套，已通过进口产品采购核准，允许采购进口产品，具体内容详见谈判文件</w:t>
      </w:r>
    </w:p>
    <w:p>
      <w:pPr>
        <w:pStyle w:val="null3"/>
        <w:outlineLvl w:val="2"/>
      </w:pPr>
      <w:r>
        <w:rPr>
          <w:sz w:val="28"/>
          <w:b/>
        </w:rPr>
        <w:t>四、邀请供应商：</w:t>
      </w:r>
    </w:p>
    <w:p>
      <w:pPr>
        <w:pStyle w:val="null3"/>
      </w:pPr>
      <w:r>
        <w:rPr/>
        <w:t>本次采购采取公告征集邀请谈判的供应商。</w:t>
      </w:r>
    </w:p>
    <w:p>
      <w:pPr>
        <w:pStyle w:val="null3"/>
      </w:pPr>
      <w:r>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sz w:val="28"/>
          <w:b/>
        </w:rPr>
        <w:t>五、供应商参加本次政府采购活动应具备的条件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落实政府采购促进中小企业发展的相关政策：</w:t>
      </w:r>
    </w:p>
    <w:p>
      <w:pPr>
        <w:pStyle w:val="null3"/>
      </w:pPr>
      <w:r>
        <w:rPr/>
        <w:t>无</w:t>
      </w:r>
    </w:p>
    <w:p>
      <w:pPr>
        <w:pStyle w:val="null3"/>
        <w:ind w:firstLine="440"/>
        <w:jc w:val="left"/>
      </w:pPr>
      <w:r>
        <w:rPr>
          <w:sz w:val="22"/>
        </w:rPr>
        <w:t>注：监狱企业和残疾人福利性单位视同小微企业，符合中小企业划分标准的个体工商户视同中小企业。</w:t>
      </w:r>
    </w:p>
    <w:p>
      <w:pPr>
        <w:pStyle w:val="null3"/>
        <w:ind w:firstLine="480"/>
      </w:pPr>
      <w:r>
        <w:rPr/>
        <w:t>（三）本项目的特定资格要求：</w:t>
      </w:r>
    </w:p>
    <w:p>
      <w:pPr>
        <w:pStyle w:val="null3"/>
      </w:pPr>
      <w:r>
        <w:rPr/>
        <w:t>采购包1：</w:t>
      </w:r>
    </w:p>
    <w:p>
      <w:pPr>
        <w:pStyle w:val="null3"/>
      </w:pPr>
      <w:r>
        <w:rPr/>
        <w:t>1、营业执照：具有独立承担民事责任能力的法人、其他组织或自然人，并出具合法有效的营业执照或事业单位法人证书等国家规定的相关证明，自然人参与的提供其身份证明</w:t>
      </w:r>
    </w:p>
    <w:p>
      <w:pPr>
        <w:pStyle w:val="null3"/>
      </w:pPr>
      <w:r>
        <w:rPr/>
        <w:t>2、财务状况报告：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t>3、税收缴纳证明：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p>
      <w:pPr>
        <w:pStyle w:val="null3"/>
      </w:pPr>
      <w:r>
        <w:rPr/>
        <w:t>4、社会保障资金缴纳证明：提供2024年1月至今已缴存的至少一个月的社会保障资金缴存单据或社保机构开具的社会保险参保缴费情况证明，依法不需要缴纳社会保障资金的单位应提供相关证明材料</w:t>
      </w:r>
    </w:p>
    <w:p>
      <w:pPr>
        <w:pStyle w:val="null3"/>
      </w:pPr>
      <w:r>
        <w:rPr/>
        <w:t>5、书面声明：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p>
      <w:pPr>
        <w:pStyle w:val="null3"/>
      </w:pPr>
      <w:r>
        <w:rPr/>
        <w:t>6、承诺函：提供具有履行合同所必需的设备和专业技术能力的承诺函</w:t>
      </w:r>
    </w:p>
    <w:p>
      <w:pPr>
        <w:pStyle w:val="null3"/>
      </w:pPr>
      <w:r>
        <w:rPr/>
        <w:t>7、控股管理关系：提供直接控股和管理关系清单。若与其他供应商存在单位负责人为同一人或者存在直接控股、管理关系的，则投标无效</w:t>
      </w:r>
    </w:p>
    <w:p>
      <w:pPr>
        <w:pStyle w:val="null3"/>
      </w:pPr>
      <w:r>
        <w:rPr/>
        <w:t>8、法定代表人授权书及被授权人身份证：法定代表人授权书及被授权人身份证。（法定代表人直接参与只须提交其身份证明书，被授权人参与需提供供应商为其缴纳的本年度任意一个月社保缴纳证明）</w:t>
      </w:r>
    </w:p>
    <w:p>
      <w:pPr>
        <w:pStyle w:val="null3"/>
      </w:pPr>
      <w:r>
        <w:rPr/>
        <w:t>9、进口产品授权书：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p>
      <w:pPr>
        <w:pStyle w:val="null3"/>
        <w:outlineLvl w:val="2"/>
      </w:pPr>
      <w:r>
        <w:rPr>
          <w:sz w:val="28"/>
          <w:b/>
        </w:rPr>
        <w:t>六、电子化采购相关事项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七、竞争性谈判文件获取时间、方式及地址</w:t>
      </w:r>
    </w:p>
    <w:p>
      <w:pPr>
        <w:pStyle w:val="null3"/>
        <w:ind w:firstLine="480"/>
      </w:pPr>
      <w:r>
        <w:rPr/>
        <w:t>（一）谈判文件获取时间：详见采购公告或邀请书</w:t>
      </w:r>
    </w:p>
    <w:p>
      <w:pPr>
        <w:pStyle w:val="null3"/>
        <w:ind w:firstLine="480"/>
      </w:pPr>
      <w:r>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t>注：获取的谈判文件主体格式包括pdf、word两种格式版本，其中以pdf格式为准。</w:t>
      </w:r>
    </w:p>
    <w:p>
      <w:pPr>
        <w:pStyle w:val="null3"/>
        <w:outlineLvl w:val="2"/>
      </w:pPr>
      <w:r>
        <w:rPr>
          <w:sz w:val="28"/>
          <w:b/>
        </w:rPr>
        <w:t>八、提交首次响应文件截止时间及开启时间、地点、方式：</w:t>
      </w:r>
    </w:p>
    <w:p>
      <w:pPr>
        <w:pStyle w:val="null3"/>
        <w:ind w:firstLine="480"/>
      </w:pPr>
      <w:r>
        <w:rPr/>
        <w:t>（一）提交首次响应文件截止时间及开启时间：详见采购公告或邀请书</w:t>
      </w:r>
    </w:p>
    <w:p>
      <w:pPr>
        <w:pStyle w:val="null3"/>
        <w:ind w:firstLine="480"/>
      </w:pPr>
      <w:r>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sz w:val="28"/>
          <w:b/>
        </w:rPr>
        <w:t>九、谈判方式</w:t>
      </w:r>
    </w:p>
    <w:p>
      <w:pPr>
        <w:pStyle w:val="null3"/>
        <w:ind w:firstLine="480"/>
      </w:pPr>
      <w:r>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sz w:val="28"/>
          <w:b/>
        </w:rPr>
        <w:t>十、供应商信用融资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sz w:val="28"/>
          <w:b/>
        </w:rPr>
        <w:t>十一、联系方式</w:t>
      </w:r>
    </w:p>
    <w:p>
      <w:pPr>
        <w:pStyle w:val="null3"/>
        <w:outlineLvl w:val="3"/>
      </w:pPr>
      <w:r>
        <w:rPr>
          <w:sz w:val="24"/>
          <w:b/>
        </w:rPr>
        <w:t xml:space="preserve">采购人： </w:t>
      </w:r>
      <w:r>
        <w:rPr>
          <w:sz w:val="24"/>
          <w:b/>
        </w:rPr>
        <w:t>西北大学</w:t>
      </w:r>
    </w:p>
    <w:p>
      <w:pPr>
        <w:pStyle w:val="null3"/>
      </w:pPr>
      <w:r>
        <w:rPr/>
        <w:t xml:space="preserve"> 地址： </w:t>
      </w:r>
      <w:r>
        <w:rPr/>
        <w:t>西安市长安区郭杜教育科技产业区学府大道1号</w:t>
      </w:r>
    </w:p>
    <w:p>
      <w:pPr>
        <w:pStyle w:val="null3"/>
      </w:pPr>
      <w:r>
        <w:rPr/>
        <w:t xml:space="preserve"> 邮编： </w:t>
      </w:r>
      <w:r>
        <w:rPr/>
        <w:t>710121</w:t>
      </w:r>
    </w:p>
    <w:p>
      <w:pPr>
        <w:pStyle w:val="null3"/>
      </w:pPr>
      <w:r>
        <w:rPr/>
        <w:t xml:space="preserve"> 联系人： </w:t>
      </w:r>
      <w:r>
        <w:rPr/>
        <w:t>王老师</w:t>
      </w:r>
    </w:p>
    <w:p>
      <w:pPr>
        <w:pStyle w:val="null3"/>
      </w:pPr>
      <w:r>
        <w:rPr/>
        <w:t xml:space="preserve"> 联系电话： </w:t>
      </w:r>
      <w:r>
        <w:rPr/>
        <w:t>029-88303475</w:t>
      </w:r>
    </w:p>
    <w:p>
      <w:pPr>
        <w:pStyle w:val="null3"/>
        <w:outlineLvl w:val="3"/>
      </w:pPr>
      <w:r>
        <w:rPr>
          <w:sz w:val="24"/>
          <w:b/>
        </w:rPr>
        <w:t>代理机构：</w:t>
      </w:r>
      <w:r>
        <w:rPr>
          <w:sz w:val="24"/>
          <w:b/>
        </w:rPr>
        <w:t>陕西开源招标有限公司</w:t>
      </w:r>
    </w:p>
    <w:p>
      <w:pPr>
        <w:pStyle w:val="null3"/>
      </w:pPr>
      <w:r>
        <w:rPr/>
        <w:t xml:space="preserve"> 地址： </w:t>
      </w:r>
      <w:r>
        <w:rPr/>
        <w:t>西安市雁展路1111号莱安中心T6-15层</w:t>
      </w:r>
    </w:p>
    <w:p>
      <w:pPr>
        <w:pStyle w:val="null3"/>
      </w:pPr>
      <w:r>
        <w:rPr/>
        <w:t xml:space="preserve"> 邮编： </w:t>
      </w:r>
      <w:r>
        <w:rPr/>
        <w:t>710000</w:t>
      </w:r>
    </w:p>
    <w:p>
      <w:pPr>
        <w:pStyle w:val="null3"/>
      </w:pPr>
      <w:r>
        <w:rPr/>
        <w:t xml:space="preserve"> 联系人： </w:t>
      </w:r>
      <w:r>
        <w:rPr/>
        <w:t>张娜、李瑞洁、戈迪</w:t>
      </w:r>
    </w:p>
    <w:p>
      <w:pPr>
        <w:pStyle w:val="null3"/>
      </w:pPr>
      <w:r>
        <w:rPr/>
        <w:t xml:space="preserve"> 联系电话： </w:t>
      </w:r>
      <w:r>
        <w:rPr/>
        <w:t xml:space="preserve"> 029-81206622/81206633-835</w:t>
      </w:r>
    </w:p>
    <w:p>
      <w:pPr>
        <w:pStyle w:val="null3"/>
        <w:outlineLvl w:val="3"/>
      </w:pPr>
      <w:r>
        <w:rPr>
          <w:sz w:val="24"/>
          <w:b/>
        </w:rPr>
        <w:t>采购监督机构：</w:t>
      </w:r>
      <w:r>
        <w:rPr>
          <w:sz w:val="24"/>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供应商须知</w:t>
      </w:r>
    </w:p>
    <w:p>
      <w:pPr>
        <w:pStyle w:val="null3"/>
        <w:outlineLvl w:val="2"/>
      </w:pPr>
      <w:r>
        <w:rPr>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采购包1：760,000.00元</w:t>
            </w:r>
            <w:r>
              <w:rPr/>
              <w:t xml:space="preserve"> 供应商采购包报价高于采购包采购预算的，其响应文件将按无效处理。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供应商的采购包响应报价高于最高限价的，其响应文件将按无效处理。</w:t>
            </w:r>
          </w:p>
        </w:tc>
      </w:tr>
      <w:tr>
        <w:tc>
          <w:tcPr>
            <w:tcW w:type="dxa" w:w="1051"/>
          </w:tcPr>
          <w:p>
            <w:pPr>
              <w:pStyle w:val="null3"/>
            </w:pPr>
            <w:r>
              <w:rPr/>
              <w:t>3</w:t>
            </w:r>
          </w:p>
        </w:tc>
        <w:tc>
          <w:tcPr>
            <w:tcW w:type="dxa" w:w="2252"/>
          </w:tcPr>
          <w:p>
            <w:pPr>
              <w:pStyle w:val="null3"/>
            </w:pPr>
            <w:r>
              <w:rPr/>
              <w:t>评审方法</w:t>
            </w:r>
          </w:p>
        </w:tc>
        <w:tc>
          <w:tcPr>
            <w:tcW w:type="dxa" w:w="5004"/>
          </w:tcPr>
          <w:p>
            <w:pPr>
              <w:pStyle w:val="null3"/>
            </w:pPr>
            <w:r>
              <w:rPr/>
              <w:t>最低评标价法(详见第六章)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如以联合体响应的，联合体各方均应当具备本谈判文件要求的资格条件和能力。</w:t>
            </w:r>
          </w:p>
          <w:p>
            <w:pPr>
              <w:pStyle w:val="null3"/>
            </w:pPr>
            <w:r>
              <w:rPr/>
              <w:t xml:space="preserve"> （1）联合体各方均应具有承担本谈判项目必备的条件，如相应的人力、物力、资金等。</w:t>
            </w:r>
          </w:p>
          <w:p>
            <w:pPr>
              <w:pStyle w:val="null3"/>
            </w:pPr>
            <w:r>
              <w:rPr/>
              <w:t xml:space="preserve"> （2）谈判文件对供应商资格条件有特殊要求的，联合体各个成员都应当具备规定的相应资格条件。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产品属于节能产品政府采购品目清单中应强制采购的产品范围，供应商应当提供国家确定的认证机构出具的、处于有效期之内的节能产品认证证书，否则作无效响应处理。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小微企业（监狱企业、残疾人福利性单位视同小微企业）价格扣除（仅非预留份额采购项目或预留份额采购项目中的非预留部分采购包适用）</w:t>
            </w:r>
          </w:p>
        </w:tc>
        <w:tc>
          <w:tcPr>
            <w:tcW w:type="dxa" w:w="5004"/>
          </w:tcPr>
          <w:p>
            <w:pPr>
              <w:pStyle w:val="null3"/>
            </w:pPr>
            <w:r>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t>关于本项目采购包中执行小微企业（监狱企业、残疾人福利性单位视同小微企业）价格扣除情况、具体扣除比例和规则详见第六章。</w:t>
            </w:r>
          </w:p>
          <w:p>
            <w:pPr>
              <w:pStyle w:val="null3"/>
            </w:pPr>
            <w:r>
              <w:rPr/>
              <w:t>（其他情形）不适用。</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t>核心产品清单详见第三章。</w:t>
            </w:r>
          </w:p>
          <w:p>
            <w:pPr>
              <w:pStyle w:val="null3"/>
            </w:pPr>
            <w:r>
              <w:rPr/>
              <w:t>在符合性审查、有效报价环节提供核心产品品牌不足3个的，视为有效响应供应商不足3家。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t>9</w:t>
            </w:r>
          </w:p>
        </w:tc>
        <w:tc>
          <w:tcPr>
            <w:tcW w:type="dxa" w:w="2252"/>
          </w:tcPr>
          <w:p>
            <w:pPr>
              <w:pStyle w:val="null3"/>
            </w:pPr>
            <w:r>
              <w:rPr/>
              <w:t>谈判保证金</w:t>
            </w:r>
          </w:p>
        </w:tc>
        <w:tc>
          <w:tcPr>
            <w:tcW w:type="dxa" w:w="5004"/>
          </w:tcPr>
          <w:p>
            <w:pPr>
              <w:pStyle w:val="null3"/>
            </w:pPr>
            <w:r>
              <w:rPr/>
              <w:t>采购包1保证金金额：15,000.00元</w:t>
            </w:r>
          </w:p>
          <w:p>
            <w:pPr>
              <w:pStyle w:val="null3"/>
            </w:pPr>
            <w:r>
              <w:rPr/>
              <w:t>缴交渠道：电子保函,转账、支票、汇票等（需通过实体账户、户名及开户行信息）</w:t>
            </w:r>
          </w:p>
          <w:p>
            <w:pPr>
              <w:pStyle w:val="null3"/>
            </w:pPr>
            <w:r>
              <w:rPr/>
              <w:t>开户名称：陕西开源招标有限公司</w:t>
            </w:r>
          </w:p>
          <w:p>
            <w:pPr>
              <w:pStyle w:val="null3"/>
            </w:pPr>
            <w:r>
              <w:rPr/>
              <w:t>开户银行：交通银行西安甜水井街支行</w:t>
            </w:r>
          </w:p>
          <w:p>
            <w:pPr>
              <w:pStyle w:val="null3"/>
            </w:pPr>
            <w:r>
              <w:rPr/>
              <w:t>银行账号：86113010750181501003806</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采购包1：缴纳</w:t>
            </w:r>
          </w:p>
          <w:p>
            <w:pPr>
              <w:pStyle w:val="null3"/>
            </w:pPr>
            <w:r>
              <w:rPr/>
              <w:t>本采购包履约保证金为合同金额的5.0%</w:t>
            </w:r>
          </w:p>
          <w:p>
            <w:pPr>
              <w:pStyle w:val="null3"/>
            </w:pPr>
            <w:r>
              <w:rPr/>
              <w:t>说明：投标人中标后（无论整体或部分中标），投标人须向学校交纳合同履约保证金，合同履约保证金数量为中标金额的5%。 转账账号：西北大学 611301015018001145006 交通银行太白路支行转账金额到账后，可持银行回执到西北大学采购与招标办公室换取收据。 待合同执行完毕、设备验收合格后凭验收单和缴款收据，合同履约保证金予以退还。如遇下列情况之一者，合同履约保证金不予退还，作为对采购人的赔偿：（1）合同签订后不能按合同时限要求供货或安装调试的；（2）所供设备与合同不符或验收不合格的；（3）不能按合同履约的</w:t>
            </w:r>
          </w:p>
        </w:tc>
      </w:tr>
      <w:tr>
        <w:tc>
          <w:tcPr>
            <w:tcW w:type="dxa" w:w="1051"/>
          </w:tcPr>
          <w:p>
            <w:pPr>
              <w:pStyle w:val="null3"/>
            </w:pPr>
            <w:r>
              <w:rPr/>
              <w:t>12</w:t>
            </w:r>
          </w:p>
        </w:tc>
        <w:tc>
          <w:tcPr>
            <w:tcW w:type="dxa" w:w="2252"/>
          </w:tcPr>
          <w:p>
            <w:pPr>
              <w:pStyle w:val="null3"/>
            </w:pPr>
            <w:r>
              <w:rPr/>
              <w:t>响应有效期（实质性要求）</w:t>
            </w:r>
          </w:p>
        </w:tc>
        <w:tc>
          <w:tcPr>
            <w:tcW w:type="dxa" w:w="5004"/>
          </w:tcPr>
          <w:p>
            <w:pPr>
              <w:pStyle w:val="null3"/>
            </w:pPr>
            <w:r>
              <w:rPr/>
              <w:t>提交响应文件的截止之日起不少于</w:t>
            </w:r>
            <w:r>
              <w:rPr/>
              <w:t>90</w:t>
            </w:r>
            <w:r>
              <w:rPr/>
              <w:t>天。</w:t>
            </w:r>
          </w:p>
        </w:tc>
      </w:tr>
      <w:tr>
        <w:tc>
          <w:tcPr>
            <w:tcW w:type="dxa" w:w="1051"/>
          </w:tcPr>
          <w:p>
            <w:pPr>
              <w:pStyle w:val="null3"/>
            </w:pPr>
            <w:r>
              <w:rPr/>
              <w:t>13</w:t>
            </w:r>
          </w:p>
        </w:tc>
        <w:tc>
          <w:tcPr>
            <w:tcW w:type="dxa" w:w="2252"/>
          </w:tcPr>
          <w:p>
            <w:pPr>
              <w:pStyle w:val="null3"/>
            </w:pPr>
            <w:r>
              <w:rPr/>
              <w:t>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代理服务费收费标准：1、成交服务费按约定由成交供应商支付。 2、成交供应商应依据成交金额向采购代理机构交纳成交服务费，交费金额参照国家计委颁布的《招标代理服务收费管理暂行办法》（计价格[2002]1980号）及发改办价格[2003]857号文件的规定标准下浮20%收取。 3、本项目代理服务费按货物计取。</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成交通知书</w:t>
            </w:r>
          </w:p>
        </w:tc>
        <w:tc>
          <w:tcPr>
            <w:tcW w:type="dxa" w:w="5004"/>
          </w:tcPr>
          <w:p>
            <w:pPr>
              <w:pStyle w:val="null3"/>
            </w:pPr>
            <w:r>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允许。本项目允许采购进口产品，进口产品的清单详见第3章。</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出现下列情形之一的，采购人或者代理机构应当中止电子化采购活动，并保留相关证明材料备查：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sz w:val="28"/>
          <w:b/>
        </w:rPr>
        <w:t>2.2总则</w:t>
      </w:r>
    </w:p>
    <w:p>
      <w:pPr>
        <w:pStyle w:val="null3"/>
        <w:outlineLvl w:val="3"/>
      </w:pPr>
      <w:r>
        <w:rPr>
          <w:sz w:val="24"/>
          <w:b/>
        </w:rPr>
        <w:t>2.2.1适用范围</w:t>
      </w:r>
    </w:p>
    <w:p>
      <w:pPr>
        <w:pStyle w:val="null3"/>
        <w:ind w:firstLine="480"/>
      </w:pPr>
      <w:r>
        <w:rPr/>
        <w:t>一、本竞争性谈判文件仅适用于本次竞争性谈判采购项目。</w:t>
      </w:r>
    </w:p>
    <w:p>
      <w:pPr>
        <w:pStyle w:val="null3"/>
        <w:ind w:firstLine="480"/>
      </w:pPr>
      <w:r>
        <w:rPr/>
        <w:t>二、本竞争性谈判文件的最终解释权由</w:t>
      </w:r>
      <w:r>
        <w:rPr/>
        <w:t>西北大学</w:t>
      </w:r>
      <w:r>
        <w:rPr/>
        <w:t>和</w:t>
      </w:r>
      <w:r>
        <w:rPr/>
        <w:t>陕西开源招标有限公司</w:t>
      </w:r>
      <w:r>
        <w:rPr/>
        <w:t>享有。竞争性谈判文件中供应商参加本次政府采购活动应当具备的条件、技术清单、参数、商务及其他要求由</w:t>
      </w:r>
      <w:r>
        <w:rPr/>
        <w:t>西北大学</w:t>
      </w:r>
      <w:r>
        <w:rPr/>
        <w:t>负责解释。除上述竞争性谈判文件内容，其他内容由</w:t>
      </w:r>
      <w:r>
        <w:rPr/>
        <w:t>陕西开源招标有限公司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一、“采购人”是指依法进行政府采购的各级国家机关、事业单位、团体组织。本次谈判的采购人是</w:t>
      </w:r>
      <w:r>
        <w:rPr/>
        <w:t>西北大学</w:t>
      </w:r>
      <w:r>
        <w:rPr/>
        <w:t>。</w:t>
      </w:r>
    </w:p>
    <w:p>
      <w:pPr>
        <w:pStyle w:val="null3"/>
        <w:ind w:firstLine="480"/>
      </w:pPr>
      <w:r>
        <w:rPr/>
        <w:t xml:space="preserve"> 二、“供应商”是指在按照采购公告规定获取谈判文件，拟参加响应和向采购人提供货物、工程或服务的法人、其他组织或自然人。</w:t>
      </w:r>
    </w:p>
    <w:p>
      <w:pPr>
        <w:pStyle w:val="null3"/>
        <w:ind w:firstLine="480"/>
      </w:pPr>
      <w:r>
        <w:rPr/>
        <w:t xml:space="preserve"> 三、“代理机构”是指集中采购机构和集中采购机构以外的代理机构。本项目的代理机构是</w:t>
      </w:r>
      <w:r>
        <w:rPr/>
        <w:t>陕西开源招标有限公司</w:t>
      </w:r>
    </w:p>
    <w:p>
      <w:pPr>
        <w:pStyle w:val="null3"/>
        <w:ind w:firstLine="480"/>
      </w:pPr>
      <w:r>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t xml:space="preserve"> 五、“电子评审”是指通过项目电子化交易系统在线完成资格审查小组、谈判小组组建，开展资格和符合性审查、出具谈判报告、推荐成交候选供应商等活动。</w:t>
      </w:r>
    </w:p>
    <w:p>
      <w:pPr>
        <w:pStyle w:val="null3"/>
        <w:outlineLvl w:val="3"/>
      </w:pPr>
      <w:r>
        <w:rPr>
          <w:sz w:val="24"/>
          <w:b/>
        </w:rPr>
        <w:t>2.2.3响应费用（实质性要求）</w:t>
      </w:r>
    </w:p>
    <w:p>
      <w:pPr>
        <w:pStyle w:val="null3"/>
        <w:ind w:firstLine="480"/>
      </w:pPr>
      <w:r>
        <w:rPr/>
        <w:t>供应商应自行承担参加竞争性谈判采购活动的全部费用。</w:t>
      </w:r>
    </w:p>
    <w:p>
      <w:pPr>
        <w:pStyle w:val="null3"/>
        <w:outlineLvl w:val="2"/>
      </w:pPr>
      <w:r>
        <w:rPr>
          <w:sz w:val="28"/>
          <w:b/>
        </w:rPr>
        <w:t>2.3竞争性谈判文件</w:t>
      </w:r>
    </w:p>
    <w:p>
      <w:pPr>
        <w:pStyle w:val="null3"/>
        <w:outlineLvl w:val="3"/>
      </w:pPr>
      <w:r>
        <w:rPr>
          <w:sz w:val="24"/>
          <w:b/>
        </w:rPr>
        <w:t xml:space="preserve"> 2.3.1竞争性谈判文件的构成</w:t>
      </w:r>
    </w:p>
    <w:p>
      <w:pPr>
        <w:pStyle w:val="null3"/>
        <w:ind w:firstLine="480"/>
      </w:pPr>
      <w:r>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t>（一）竞争性谈判邀请；</w:t>
      </w:r>
    </w:p>
    <w:p>
      <w:pPr>
        <w:pStyle w:val="null3"/>
        <w:ind w:firstLine="480"/>
      </w:pPr>
      <w:r>
        <w:rPr/>
        <w:t>（二）供应商须知；</w:t>
      </w:r>
    </w:p>
    <w:p>
      <w:pPr>
        <w:pStyle w:val="null3"/>
        <w:ind w:firstLine="480"/>
      </w:pPr>
      <w:r>
        <w:rPr/>
        <w:t>（三）谈判项目技术、服务、商务及其他要求；</w:t>
      </w:r>
    </w:p>
    <w:p>
      <w:pPr>
        <w:pStyle w:val="null3"/>
        <w:ind w:firstLine="480"/>
      </w:pPr>
      <w:r>
        <w:rPr/>
        <w:t>（四）资格审查；</w:t>
      </w:r>
    </w:p>
    <w:p>
      <w:pPr>
        <w:pStyle w:val="null3"/>
        <w:ind w:firstLine="480"/>
      </w:pPr>
      <w:r>
        <w:rPr/>
        <w:t>（五）谈判过程中可实质性变动的内容；</w:t>
      </w:r>
    </w:p>
    <w:p>
      <w:pPr>
        <w:pStyle w:val="null3"/>
        <w:ind w:firstLine="480"/>
      </w:pPr>
      <w:r>
        <w:rPr/>
        <w:t>（六）谈判办法；</w:t>
      </w:r>
    </w:p>
    <w:p>
      <w:pPr>
        <w:pStyle w:val="null3"/>
        <w:ind w:firstLine="480"/>
      </w:pPr>
      <w:r>
        <w:rPr/>
        <w:t>（七）响应文件格式；</w:t>
      </w:r>
    </w:p>
    <w:p>
      <w:pPr>
        <w:pStyle w:val="null3"/>
        <w:ind w:firstLine="480"/>
      </w:pPr>
      <w:r>
        <w:rPr/>
        <w:t>（八）拟签订采购合同文本。</w:t>
      </w:r>
    </w:p>
    <w:p>
      <w:pPr>
        <w:pStyle w:val="null3"/>
        <w:ind w:firstLine="480"/>
      </w:pPr>
      <w:r>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sz w:val="24"/>
          <w:b/>
        </w:rPr>
        <w:t xml:space="preserve"> 2.3.2竞争性谈判文件的澄清和修改</w:t>
      </w:r>
    </w:p>
    <w:p>
      <w:pPr>
        <w:pStyle w:val="null3"/>
        <w:ind w:firstLine="480"/>
      </w:pPr>
      <w:r>
        <w:rPr/>
        <w:t>一、在提交首次响应文件截止时间前，采购人或者代理机构可以对已发出的谈判文件进行必要的澄清或者修改。</w:t>
      </w:r>
    </w:p>
    <w:p>
      <w:pPr>
        <w:pStyle w:val="null3"/>
      </w:pPr>
      <w:r>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sz w:val="28"/>
          <w:b/>
        </w:rPr>
        <w:t>2.4响应文件</w:t>
      </w:r>
    </w:p>
    <w:p>
      <w:pPr>
        <w:pStyle w:val="null3"/>
        <w:outlineLvl w:val="3"/>
      </w:pPr>
      <w:r>
        <w:rPr>
          <w:sz w:val="24"/>
          <w:b/>
        </w:rPr>
        <w:t xml:space="preserve"> 2.4.1响应文件的语言（实质性要求）</w:t>
      </w:r>
    </w:p>
    <w:p>
      <w:pPr>
        <w:pStyle w:val="null3"/>
        <w:ind w:firstLine="480"/>
      </w:pPr>
      <w:r>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三、如因未翻译而造成对供应商的不利后果，由供应商承担。</w:t>
      </w:r>
    </w:p>
    <w:p>
      <w:pPr>
        <w:pStyle w:val="null3"/>
        <w:outlineLvl w:val="3"/>
      </w:pPr>
      <w:r>
        <w:rPr>
          <w:sz w:val="24"/>
          <w:b/>
        </w:rPr>
        <w:t>2.4.2计量单位</w:t>
      </w:r>
    </w:p>
    <w:p>
      <w:pPr>
        <w:pStyle w:val="null3"/>
        <w:ind w:firstLine="480"/>
      </w:pPr>
      <w:r>
        <w:rPr/>
        <w:t>除谈判文件中另有规定外，本项目均采用国家法定的计量单位。</w:t>
      </w:r>
    </w:p>
    <w:p>
      <w:pPr>
        <w:pStyle w:val="null3"/>
        <w:outlineLvl w:val="3"/>
      </w:pPr>
      <w:r>
        <w:rPr>
          <w:sz w:val="24"/>
          <w:b/>
        </w:rPr>
        <w:t>2.4.3响应货币）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t>三、如采用供应商所不拥有的知识产权，则在报价中必须包括合法使用该知识产权的相关费用。</w:t>
      </w:r>
    </w:p>
    <w:p>
      <w:pPr>
        <w:pStyle w:val="null3"/>
        <w:ind w:firstLine="480"/>
      </w:pPr>
      <w:r>
        <w:rPr/>
        <w:t xml:space="preserve"> 四、构成本谈判文件的各组成部分，未经采购人书面同意，供应商不得擅自复印或用于非本谈判项目所需的其他目的。</w:t>
      </w:r>
    </w:p>
    <w:p>
      <w:pPr>
        <w:pStyle w:val="null3"/>
        <w:outlineLvl w:val="3"/>
      </w:pPr>
      <w:r>
        <w:rPr>
          <w:sz w:val="24"/>
          <w:b/>
        </w:rPr>
        <w:t>2.4.5响应文件的组成（实质性要求）</w:t>
      </w:r>
    </w:p>
    <w:p>
      <w:pPr>
        <w:pStyle w:val="null3"/>
        <w:ind w:firstLine="480"/>
      </w:pPr>
      <w:r>
        <w:rPr/>
        <w:t>供应商应按照谈判文件的规定和要求编制响应文件。</w:t>
      </w:r>
    </w:p>
    <w:p>
      <w:pPr>
        <w:pStyle w:val="null3"/>
        <w:ind w:firstLine="480"/>
        <w:jc w:val="left"/>
      </w:pPr>
      <w:r>
        <w:rPr/>
        <w:t>响应文件具体内容详见第七章。</w:t>
      </w:r>
    </w:p>
    <w:p>
      <w:pPr>
        <w:pStyle w:val="null3"/>
        <w:outlineLvl w:val="3"/>
      </w:pPr>
      <w:r>
        <w:rPr>
          <w:sz w:val="24"/>
          <w:b/>
        </w:rPr>
        <w:t>2.4.6响应文件格式</w:t>
      </w:r>
    </w:p>
    <w:p>
      <w:pPr>
        <w:pStyle w:val="null3"/>
        <w:ind w:firstLine="480"/>
      </w:pPr>
      <w:r>
        <w:rPr/>
        <w:t>1.供应商应按照谈判文件第七章中提供的“响应文件格式”填写相关内容。</w:t>
      </w:r>
    </w:p>
    <w:p>
      <w:pPr>
        <w:pStyle w:val="null3"/>
        <w:ind w:firstLine="480"/>
      </w:pPr>
      <w:r>
        <w:rPr/>
        <w:t>2.对于没有格式要求的响应文件由供应商自行编写。</w:t>
      </w:r>
    </w:p>
    <w:p>
      <w:pPr>
        <w:pStyle w:val="null3"/>
        <w:outlineLvl w:val="3"/>
      </w:pPr>
      <w:r>
        <w:rPr>
          <w:sz w:val="24"/>
          <w:b/>
        </w:rPr>
        <w:t>2.4.7响应报价（实质性要求）</w:t>
      </w:r>
    </w:p>
    <w:p>
      <w:pPr>
        <w:pStyle w:val="null3"/>
        <w:ind w:firstLine="480"/>
      </w:pPr>
      <w:r>
        <w:rPr/>
        <w:t xml:space="preserve"> 一、供应商的报价是其响应谈判项目要求的全部工作内容的价格体现，包括供应商完成本项目所需的一切费用。</w:t>
      </w:r>
    </w:p>
    <w:p>
      <w:pPr>
        <w:pStyle w:val="null3"/>
        <w:ind w:firstLine="480"/>
      </w:pPr>
      <w:r>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sz w:val="24"/>
          <w:b/>
        </w:rPr>
        <w:t>2.4.8响应有效期（实质性要求）</w:t>
      </w:r>
    </w:p>
    <w:p>
      <w:pPr>
        <w:pStyle w:val="null3"/>
        <w:ind w:firstLine="480"/>
      </w:pPr>
      <w:r>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sz w:val="24"/>
          <w:b/>
        </w:rPr>
        <w:t xml:space="preserve"> 2.4.9响应文件的制作、签章和加密（实质性要求）</w:t>
      </w:r>
    </w:p>
    <w:p>
      <w:pPr>
        <w:pStyle w:val="null3"/>
        <w:ind w:firstLine="480"/>
      </w:pPr>
      <w:r>
        <w:rPr/>
        <w:t xml:space="preserve"> 一、响应文件应当根据谈判通知书进行编制。供应商应通过陕西省政府采购网-办事指南-CA及签章服务下载投标（响应）客户端，使用客户端编制响应文件。</w:t>
      </w:r>
    </w:p>
    <w:p>
      <w:pPr>
        <w:pStyle w:val="null3"/>
        <w:ind w:firstLine="480"/>
      </w:pPr>
      <w:r>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t xml:space="preserve"> 三、供应商完成响应文件编制后，应按照响应文件第1章明确的签章要求，使用互认的证书及签章对响应文件进行电子签章和加密。</w:t>
      </w:r>
    </w:p>
    <w:p>
      <w:pPr>
        <w:pStyle w:val="null3"/>
        <w:ind w:firstLine="480"/>
      </w:pPr>
      <w:r>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sz w:val="24"/>
          <w:b/>
        </w:rPr>
        <w:t>2.4.10响应文件的提交（实质性要求）</w:t>
      </w:r>
    </w:p>
    <w:p>
      <w:pPr>
        <w:pStyle w:val="null3"/>
        <w:ind w:firstLine="480"/>
      </w:pPr>
      <w:r>
        <w:rPr/>
        <w:t>一、供应商应当在提交首次响应文件截止时间前，通过项目电子化交易系统完成响应文件提交。</w:t>
      </w:r>
    </w:p>
    <w:p>
      <w:pPr>
        <w:pStyle w:val="null3"/>
        <w:ind w:firstLine="480"/>
      </w:pPr>
      <w:r>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sz w:val="24"/>
          <w:b/>
        </w:rPr>
        <w:t xml:space="preserve"> 2.4.11响应文件的补充、修改（实质性要求）</w:t>
      </w:r>
    </w:p>
    <w:p>
      <w:pPr>
        <w:pStyle w:val="null3"/>
        <w:ind w:firstLine="480"/>
      </w:pPr>
      <w:r>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t>供应商响应文件撤回后，视为未提交过响应文件。</w:t>
      </w:r>
    </w:p>
    <w:p>
      <w:pPr>
        <w:pStyle w:val="null3"/>
        <w:outlineLvl w:val="2"/>
      </w:pPr>
      <w:r>
        <w:rPr>
          <w:sz w:val="28"/>
          <w:b/>
        </w:rPr>
        <w:t>2.5开启、资格审查、谈判和确定成交供应商</w:t>
      </w:r>
    </w:p>
    <w:p>
      <w:pPr>
        <w:pStyle w:val="null3"/>
        <w:outlineLvl w:val="3"/>
      </w:pPr>
      <w:r>
        <w:rPr>
          <w:sz w:val="24"/>
          <w:b/>
        </w:rPr>
        <w:t>2.5.1谈判开启程序</w:t>
      </w:r>
    </w:p>
    <w:p>
      <w:pPr>
        <w:pStyle w:val="null3"/>
        <w:ind w:firstLine="480"/>
      </w:pPr>
      <w:r>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t>二、谈判开启准备工作</w:t>
      </w:r>
    </w:p>
    <w:p>
      <w:pPr>
        <w:pStyle w:val="null3"/>
        <w:ind w:firstLine="480"/>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三、解密响应文件（实质性要求）</w:t>
      </w:r>
    </w:p>
    <w:p>
      <w:pPr>
        <w:pStyle w:val="null3"/>
        <w:ind w:firstLine="480"/>
      </w:pPr>
      <w:r>
        <w:rPr/>
        <w:t xml:space="preserve"> 响应文件提交截止时间后，成功提交响应文件的供应商符合响应文件规定数量的，代理机构将启动响应文件解密程序，解密时间为</w:t>
      </w:r>
      <w:r>
        <w:rPr/>
        <w:t>30</w:t>
      </w:r>
      <w:r>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sz w:val="24"/>
          <w:b/>
        </w:rPr>
        <w:t>2.5.2查询及使用信用记录</w:t>
      </w:r>
    </w:p>
    <w:p>
      <w:pPr>
        <w:pStyle w:val="null3"/>
        <w:ind w:firstLine="480"/>
      </w:pPr>
      <w:r>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详见谈判文件第四章。</w:t>
      </w:r>
    </w:p>
    <w:p>
      <w:pPr>
        <w:pStyle w:val="null3"/>
        <w:outlineLvl w:val="3"/>
      </w:pPr>
      <w:r>
        <w:rPr>
          <w:sz w:val="24"/>
          <w:b/>
        </w:rPr>
        <w:t>2.5.4谈判</w:t>
      </w:r>
    </w:p>
    <w:p>
      <w:pPr>
        <w:pStyle w:val="null3"/>
        <w:ind w:firstLine="480"/>
      </w:pPr>
      <w:r>
        <w:rPr/>
        <w:t>详见谈判文件第六章。</w:t>
      </w:r>
    </w:p>
    <w:p>
      <w:pPr>
        <w:pStyle w:val="null3"/>
        <w:outlineLvl w:val="3"/>
      </w:pPr>
      <w:r>
        <w:rPr>
          <w:sz w:val="24"/>
          <w:b/>
        </w:rPr>
        <w:t>2.5.5、成交通知书</w:t>
      </w:r>
    </w:p>
    <w:p>
      <w:pPr>
        <w:pStyle w:val="null3"/>
        <w:ind w:firstLine="480"/>
      </w:pPr>
      <w:r>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t>三、成交通知书对采购人和成交供应商均具有法律效力。</w:t>
      </w:r>
    </w:p>
    <w:p>
      <w:pPr>
        <w:pStyle w:val="null3"/>
        <w:outlineLvl w:val="2"/>
      </w:pPr>
      <w:r>
        <w:rPr>
          <w:sz w:val="28"/>
          <w:b/>
        </w:rPr>
        <w:t>2.6签订及履行合同和验收</w:t>
      </w:r>
    </w:p>
    <w:p>
      <w:pPr>
        <w:pStyle w:val="null3"/>
        <w:outlineLvl w:val="3"/>
      </w:pPr>
      <w:r>
        <w:rPr>
          <w:sz w:val="24"/>
          <w:b/>
        </w:rPr>
        <w:t>2.6.1签订合同</w:t>
      </w:r>
    </w:p>
    <w:p>
      <w:pPr>
        <w:pStyle w:val="null3"/>
        <w:ind w:firstLine="480"/>
      </w:pPr>
      <w:r>
        <w:rPr/>
        <w:t>一、采购人应在成交通知书发出之日起三十日内与成交供应商签订采购合同。</w:t>
      </w:r>
    </w:p>
    <w:p>
      <w:pPr>
        <w:pStyle w:val="null3"/>
        <w:ind w:firstLine="480"/>
      </w:pPr>
      <w:r>
        <w:rPr/>
        <w:t>二、采购人和成交供应商签订的采购合同不得对谈判文件确定的事项以及成交供应商的响应文件作实质性修改。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t xml:space="preserve"> 二、分包履行合同的部分应当为采购项目的非主体、非关键性工作，不属于成交供应商的主要合同义务。</w:t>
      </w:r>
    </w:p>
    <w:p>
      <w:pPr>
        <w:pStyle w:val="null3"/>
        <w:ind w:firstLine="480"/>
      </w:pPr>
      <w:r>
        <w:rPr/>
        <w:t xml:space="preserve"> 三、采购合同实行分包履行的，成交供应商就采购项目和分包项目向采购人负责，分包供应商就分包项目承担责任。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t>二、成交供应商转包的，视同拒绝履行政府采购合同，将依法追究法律责任。</w:t>
      </w:r>
    </w:p>
    <w:p>
      <w:pPr>
        <w:pStyle w:val="null3"/>
        <w:outlineLvl w:val="3"/>
      </w:pPr>
      <w:r>
        <w:rPr>
          <w:sz w:val="24"/>
          <w:b/>
        </w:rPr>
        <w:t xml:space="preserve"> 2.6.3合同公告</w:t>
      </w:r>
    </w:p>
    <w:p>
      <w:pPr>
        <w:pStyle w:val="null3"/>
        <w:ind w:firstLine="480"/>
      </w:pPr>
      <w:r>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sz w:val="24"/>
          <w:b/>
        </w:rPr>
        <w:t xml:space="preserve"> 2.6.4合同备案</w:t>
      </w:r>
    </w:p>
    <w:p>
      <w:pPr>
        <w:pStyle w:val="null3"/>
        <w:ind w:firstLine="480"/>
      </w:pPr>
      <w:r>
        <w:rPr/>
        <w:t xml:space="preserve"> 采购人自政府采购合同签订（双方当事人均已完成盖章）之日起7个工作日内，将本项目采购合同通过报同级财政部门备案。</w:t>
      </w:r>
    </w:p>
    <w:p>
      <w:pPr>
        <w:pStyle w:val="null3"/>
        <w:outlineLvl w:val="3"/>
      </w:pPr>
      <w:r>
        <w:rPr>
          <w:sz w:val="24"/>
          <w:b/>
        </w:rPr>
        <w:t>2.6.5采购人增加合同标的的权利</w:t>
      </w:r>
    </w:p>
    <w:p>
      <w:pPr>
        <w:pStyle w:val="null3"/>
        <w:ind w:firstLine="480"/>
      </w:pPr>
      <w:r>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sz w:val="28"/>
          <w:b/>
        </w:rPr>
        <w:t>2.6.6履行合同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2"/>
      </w:pPr>
      <w:r>
        <w:rPr>
          <w:sz w:val="28"/>
          <w:b/>
        </w:rPr>
        <w:t>2.6.7履约验收方案</w:t>
      </w:r>
    </w:p>
    <w:p>
      <w:pPr>
        <w:pStyle w:val="null3"/>
      </w:pPr>
      <w:r>
        <w:rPr/>
        <w:t>采购包1：</w:t>
      </w:r>
    </w:p>
    <w:p>
      <w:pPr>
        <w:pStyle w:val="null3"/>
      </w:pPr>
      <w:r>
        <w:rPr/>
        <w:t>根据谈判文件要求及合同约定履行</w:t>
      </w:r>
    </w:p>
    <w:p>
      <w:pPr>
        <w:pStyle w:val="null3"/>
        <w:outlineLvl w:val="2"/>
      </w:pPr>
      <w:r>
        <w:rPr>
          <w:sz w:val="28"/>
          <w:b/>
        </w:rPr>
        <w:t>2.6.8资金支付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2.7.1谈判活动纪律要求</w:t>
      </w:r>
    </w:p>
    <w:p>
      <w:pPr>
        <w:pStyle w:val="null3"/>
        <w:ind w:firstLine="480"/>
      </w:pPr>
      <w:r>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t>对各供应商的商业秘密，谈判小组成员应予以保密，不得泄露给其他供应商。</w:t>
      </w:r>
    </w:p>
    <w:p>
      <w:pPr>
        <w:pStyle w:val="null3"/>
        <w:outlineLvl w:val="3"/>
      </w:pPr>
      <w:r>
        <w:rPr>
          <w:sz w:val="24"/>
          <w:b/>
        </w:rPr>
        <w:t>2.7.2供应商不得具有的情形（实质性要求）</w:t>
      </w:r>
    </w:p>
    <w:p>
      <w:pPr>
        <w:pStyle w:val="null3"/>
        <w:ind w:firstLine="480"/>
      </w:pPr>
      <w:r>
        <w:rPr/>
        <w:t>供应商参加谈判不得有下列情形：</w:t>
      </w:r>
    </w:p>
    <w:p>
      <w:pPr>
        <w:pStyle w:val="null3"/>
        <w:ind w:firstLine="480"/>
      </w:pPr>
      <w:r>
        <w:rPr/>
        <w:t>一、有下列情形之一的，视为供应商串通响应：</w:t>
      </w:r>
    </w:p>
    <w:p>
      <w:pPr>
        <w:pStyle w:val="null3"/>
        <w:ind w:firstLine="480"/>
      </w:pPr>
      <w:r>
        <w:rPr/>
        <w:t>（一）不同供应商的响应文件由同一单位或者个人编制；</w:t>
      </w:r>
    </w:p>
    <w:p>
      <w:pPr>
        <w:pStyle w:val="null3"/>
        <w:ind w:firstLine="480"/>
      </w:pPr>
      <w:r>
        <w:rPr/>
        <w:t>（二）不同供应商委托同一单位或者个人办理谈判事宜；</w:t>
      </w:r>
    </w:p>
    <w:p>
      <w:pPr>
        <w:pStyle w:val="null3"/>
        <w:ind w:firstLine="480"/>
      </w:pPr>
      <w:r>
        <w:rPr/>
        <w:t>（三）不同供应商的响应文件载明的项目管理成员或者联系人员为同一人；</w:t>
      </w:r>
    </w:p>
    <w:p>
      <w:pPr>
        <w:pStyle w:val="null3"/>
        <w:ind w:firstLine="480"/>
      </w:pPr>
      <w:r>
        <w:rPr/>
        <w:t>（四）不同供应商的响应文件异常一致或者响应报价呈规律性差异；</w:t>
      </w:r>
    </w:p>
    <w:p>
      <w:pPr>
        <w:pStyle w:val="null3"/>
        <w:ind w:firstLine="480"/>
      </w:pPr>
      <w:r>
        <w:rPr/>
        <w:t>（五）不同供应商的响应文件相互混装。</w:t>
      </w:r>
    </w:p>
    <w:p>
      <w:pPr>
        <w:pStyle w:val="null3"/>
        <w:ind w:firstLine="480"/>
      </w:pPr>
      <w:r>
        <w:rPr/>
        <w:t>二、提供虚假材料谋取成交；</w:t>
      </w:r>
    </w:p>
    <w:p>
      <w:pPr>
        <w:pStyle w:val="null3"/>
        <w:ind w:firstLine="480"/>
      </w:pPr>
      <w:r>
        <w:rPr/>
        <w:t>三、采取不正当手段诋毁、排挤其他供应商；</w:t>
      </w:r>
    </w:p>
    <w:p>
      <w:pPr>
        <w:pStyle w:val="null3"/>
        <w:ind w:firstLine="480"/>
      </w:pPr>
      <w:r>
        <w:rPr/>
        <w:t>四、与采购人或代理机构、其他供应商恶意串通；</w:t>
      </w:r>
    </w:p>
    <w:p>
      <w:pPr>
        <w:pStyle w:val="null3"/>
        <w:ind w:firstLine="480"/>
      </w:pPr>
      <w:r>
        <w:rPr/>
        <w:t>五、向采购人或代理机构、谈判小组成员行贿或者提供其他不正当利益；</w:t>
      </w:r>
    </w:p>
    <w:p>
      <w:pPr>
        <w:pStyle w:val="null3"/>
        <w:ind w:firstLine="480"/>
      </w:pPr>
      <w:r>
        <w:rPr/>
        <w:t>六、在谈判过程中与采购人或代理机构进行协商谈判；</w:t>
      </w:r>
    </w:p>
    <w:p>
      <w:pPr>
        <w:pStyle w:val="null3"/>
        <w:ind w:firstLine="480"/>
      </w:pPr>
      <w:r>
        <w:rPr/>
        <w:t>七、成交后无正当理由拒不与采购人签订政府采购合同；</w:t>
      </w:r>
    </w:p>
    <w:p>
      <w:pPr>
        <w:pStyle w:val="null3"/>
        <w:ind w:firstLine="480"/>
      </w:pPr>
      <w:r>
        <w:rPr/>
        <w:t>八、未按照谈判文件确定的事项签订政府采购合同；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供应商有上述情形的，按照规定追究法律责任，具有前述一至十三条情形之一的，其响应文件无效，或取消被确认为成交供应商的资格或认定成交无效。</w:t>
      </w:r>
    </w:p>
    <w:p>
      <w:pPr>
        <w:pStyle w:val="null3"/>
        <w:outlineLvl w:val="3"/>
      </w:pPr>
      <w:r>
        <w:rPr>
          <w:sz w:val="24"/>
          <w:b/>
        </w:rPr>
        <w:t xml:space="preserve"> 2.7.3采购人员及相关人员回避要求</w:t>
      </w:r>
    </w:p>
    <w:p>
      <w:pPr>
        <w:pStyle w:val="null3"/>
        <w:ind w:firstLine="480"/>
      </w:pPr>
      <w:r>
        <w:rPr/>
        <w:t>政府采购活动中，采购人员及相关人员与供应商有下列利害关系之一的，应当回避：</w:t>
      </w:r>
    </w:p>
    <w:p>
      <w:pPr>
        <w:pStyle w:val="null3"/>
        <w:ind w:firstLine="480"/>
      </w:pPr>
      <w:r>
        <w:rPr/>
        <w:t>（一）参加采购活动前3年内与供应商存在劳动关系；</w:t>
      </w:r>
    </w:p>
    <w:p>
      <w:pPr>
        <w:pStyle w:val="null3"/>
        <w:ind w:firstLine="480"/>
      </w:pPr>
      <w:r>
        <w:rPr/>
        <w:t>（二）参加采购活动前3年内担任供应商的董事、监事；</w:t>
      </w:r>
    </w:p>
    <w:p>
      <w:pPr>
        <w:pStyle w:val="null3"/>
        <w:ind w:firstLine="480"/>
      </w:pPr>
      <w:r>
        <w:rPr/>
        <w:t>（三）参加采购活动前3年内是供应商的控股股东或者实际控制人；</w:t>
      </w:r>
    </w:p>
    <w:p>
      <w:pPr>
        <w:pStyle w:val="null3"/>
        <w:ind w:firstLine="480"/>
      </w:pPr>
      <w:r>
        <w:rPr/>
        <w:t>（四）与供应商的法定代表人或者负责人有夫妻、直系血亲、三代以内旁系血亲或者近姻亲关系；</w:t>
      </w:r>
    </w:p>
    <w:p>
      <w:pPr>
        <w:pStyle w:val="null3"/>
        <w:ind w:firstLine="480"/>
      </w:pPr>
      <w:r>
        <w:rPr/>
        <w:t>（五）与供应商有其他可能影响政府采购活动公平、公正进行的关系。</w:t>
      </w:r>
    </w:p>
    <w:p>
      <w:pPr>
        <w:pStyle w:val="null3"/>
        <w:ind w:firstLine="480"/>
      </w:pPr>
      <w:r>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根据委托代理协议约定，供应商对采购文件中采购需求的询问、质疑由 </w:t>
      </w:r>
      <w:r>
        <w:rPr/>
        <w:t>陕西开源招标有限公司</w:t>
      </w:r>
      <w:r>
        <w:rPr/>
        <w:t xml:space="preserve"> 负责答复；供应商对除采购需求外的采购文件的询问、质疑由</w:t>
      </w:r>
      <w:r>
        <w:rPr/>
        <w:t>陕西开源招标有限公司</w:t>
      </w:r>
      <w:r>
        <w:rPr/>
        <w:t xml:space="preserve"> 负责答复；供应商对采购过程、采购结果的询问、质疑由 </w:t>
      </w:r>
      <w:r>
        <w:rPr/>
        <w:t>陕西开源招标有限公司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pPr>
      <w:r>
        <w:rPr/>
        <w:t>答复主体：代理机构</w:t>
      </w:r>
    </w:p>
    <w:p>
      <w:pPr>
        <w:pStyle w:val="null3"/>
      </w:pPr>
      <w:r>
        <w:rPr/>
        <w:t>联系人：张娜、李瑞洁、戈迪</w:t>
      </w:r>
    </w:p>
    <w:p>
      <w:pPr>
        <w:pStyle w:val="null3"/>
      </w:pPr>
      <w:r>
        <w:rPr/>
        <w:t>联系电话：029-81206622/81206633-835</w:t>
      </w:r>
    </w:p>
    <w:p>
      <w:pPr>
        <w:pStyle w:val="null3"/>
      </w:pPr>
      <w:r>
        <w:rPr/>
        <w:t>地址：西安市雁展路1111号莱安中心T6-15层</w:t>
      </w:r>
    </w:p>
    <w:p>
      <w:pPr>
        <w:pStyle w:val="null3"/>
      </w:pPr>
      <w:r>
        <w:rPr/>
        <w:t>邮编：710000</w:t>
      </w:r>
    </w:p>
    <w:p>
      <w:pPr>
        <w:pStyle w:val="null3"/>
        <w:ind w:firstLine="480"/>
      </w:pPr>
      <w:r>
        <w:rPr/>
        <w:t>六、供应商提出质疑时应当准备的资料</w:t>
      </w:r>
    </w:p>
    <w:p>
      <w:pPr>
        <w:pStyle w:val="null3"/>
        <w:ind w:firstLine="480"/>
      </w:pPr>
      <w:r>
        <w:rPr/>
        <w:t>（一）质疑函正本1份；（政府采购供应商质疑函范本详见附件一）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（五）针对质疑事项必要的证明材料（针对谈判文件提出的质疑，需提交从项目电子化交易系统获取的谈判文件回执单）。</w:t>
      </w:r>
    </w:p>
    <w:p>
      <w:pPr>
        <w:pStyle w:val="null3"/>
        <w:ind w:firstLine="480"/>
      </w:pPr>
      <w:r>
        <w:rPr/>
        <w:t>注：根据《中华人民共和国政府采购法》的规定，供应商质疑不得超出谈判文件、采购过程、采购结果的范围。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t xml:space="preserve"> </w:t>
        <w:br/>
        <w:br w:type="page"/>
      </w:r>
    </w:p>
    <w:p>
      <w:pPr>
        <w:pStyle w:val="null3"/>
        <w:jc w:val="center"/>
        <w:outlineLvl w:val="1"/>
      </w:pPr>
      <w:r>
        <w:rPr>
          <w:sz w:val="36"/>
          <w:b/>
        </w:rPr>
        <w:t>第三章 谈判项目技术、服务、商务及其他要求</w:t>
      </w:r>
    </w:p>
    <w:p>
      <w:pPr>
        <w:pStyle w:val="null3"/>
        <w:ind w:firstLine="480"/>
      </w:pPr>
      <w:r>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sz w:val="28"/>
          <w:b/>
        </w:rPr>
        <w:t>3.1采购项目概况</w:t>
      </w:r>
    </w:p>
    <w:p>
      <w:pPr>
        <w:pStyle w:val="null3"/>
        <w:ind w:firstLine="480"/>
      </w:pPr>
      <w:r>
        <w:rPr/>
        <w:t>单细胞成像分析系统：1套，已通过进口产品采购核准，允许采购进口产品，具体内容详见谈判文件</w:t>
      </w:r>
    </w:p>
    <w:p>
      <w:pPr>
        <w:pStyle w:val="null3"/>
        <w:outlineLvl w:val="2"/>
      </w:pPr>
      <w:r>
        <w:rPr>
          <w:sz w:val="28"/>
          <w:b/>
        </w:rPr>
        <w:t>3.2采购内容</w:t>
      </w:r>
    </w:p>
    <w:p>
      <w:pPr>
        <w:pStyle w:val="null3"/>
      </w:pPr>
      <w:r>
        <w:rPr/>
        <w:t>采购包1：</w:t>
      </w:r>
    </w:p>
    <w:p>
      <w:pPr>
        <w:pStyle w:val="null3"/>
      </w:pPr>
      <w:r>
        <w:rPr/>
        <w:t>采购包预算金额（元）: 760,000.00</w:t>
      </w:r>
    </w:p>
    <w:p>
      <w:pPr>
        <w:pStyle w:val="null3"/>
      </w:pPr>
      <w:r>
        <w:rPr/>
        <w:t>采购包最高限价（元）: 760,000.00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单细胞成像分析系统</w:t>
            </w:r>
          </w:p>
        </w:tc>
        <w:tc>
          <w:tcPr>
            <w:tcW w:type="dxa" w:w="831"/>
          </w:tcPr>
          <w:p>
            <w:pPr>
              <w:pStyle w:val="null3"/>
              <w:jc w:val="right"/>
            </w:pPr>
            <w:r>
              <w:rPr/>
              <w:t>1.00</w:t>
            </w:r>
          </w:p>
        </w:tc>
        <w:tc>
          <w:tcPr>
            <w:tcW w:type="dxa" w:w="831"/>
          </w:tcPr>
          <w:p>
            <w:pPr>
              <w:pStyle w:val="null3"/>
              <w:jc w:val="right"/>
            </w:pPr>
            <w:r>
              <w:rPr/>
              <w:t>760,000.00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是</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标的名称：单细胞成像分析系统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jc w:val="both"/>
            </w:pPr>
            <w:r>
              <w:rPr>
                <w:rFonts w:ascii="宋体" w:hAnsi="宋体" w:cs="宋体" w:eastAsia="宋体"/>
                <w:sz w:val="24"/>
              </w:rPr>
              <w:t>1.</w:t>
            </w:r>
            <w:r>
              <w:rPr>
                <w:rFonts w:ascii="宋体" w:hAnsi="宋体" w:cs="宋体" w:eastAsia="宋体"/>
                <w:sz w:val="24"/>
              </w:rPr>
              <w:t>显微镜系统</w:t>
            </w:r>
          </w:p>
          <w:p>
            <w:pPr>
              <w:pStyle w:val="null3"/>
              <w:jc w:val="both"/>
            </w:pPr>
            <w:r>
              <w:rPr>
                <w:rFonts w:ascii="宋体" w:hAnsi="宋体" w:cs="宋体" w:eastAsia="宋体"/>
                <w:sz w:val="24"/>
              </w:rPr>
              <w:t>1.1 光学系统：无限远色差校正光学系统，齐焦距离≤60mm；</w:t>
            </w:r>
          </w:p>
          <w:p>
            <w:pPr>
              <w:pStyle w:val="null3"/>
              <w:jc w:val="both"/>
            </w:pPr>
            <w:r>
              <w:rPr>
                <w:rFonts w:ascii="宋体" w:hAnsi="宋体" w:cs="宋体" w:eastAsia="宋体"/>
                <w:sz w:val="24"/>
              </w:rPr>
              <w:t>1.2机身输出端口：≥3端口；目镜端口100%，左端口100%，右端口100%；</w:t>
            </w:r>
          </w:p>
          <w:p>
            <w:pPr>
              <w:pStyle w:val="null3"/>
              <w:jc w:val="both"/>
            </w:pPr>
            <w:r>
              <w:rPr>
                <w:rFonts w:ascii="宋体" w:hAnsi="宋体" w:cs="宋体" w:eastAsia="宋体"/>
                <w:sz w:val="24"/>
              </w:rPr>
              <w:t>1.3 物镜转换器：≥6孔位编码物镜转换器.</w:t>
            </w:r>
          </w:p>
          <w:p>
            <w:pPr>
              <w:pStyle w:val="null3"/>
              <w:jc w:val="both"/>
            </w:pPr>
            <w:r>
              <w:rPr>
                <w:rFonts w:ascii="宋体" w:hAnsi="宋体" w:cs="宋体" w:eastAsia="宋体"/>
                <w:sz w:val="24"/>
              </w:rPr>
              <w:t>1.4物镜：</w:t>
            </w:r>
          </w:p>
          <w:p>
            <w:pPr>
              <w:pStyle w:val="null3"/>
              <w:jc w:val="both"/>
            </w:pPr>
            <w:r>
              <w:rPr>
                <w:rFonts w:ascii="宋体" w:hAnsi="宋体" w:cs="宋体" w:eastAsia="宋体"/>
                <w:sz w:val="24"/>
              </w:rPr>
              <w:t>10X 超级荧光物镜N.A. ≥0.50, W.D. ≥1.1 mm</w:t>
            </w:r>
          </w:p>
          <w:p>
            <w:pPr>
              <w:pStyle w:val="null3"/>
              <w:jc w:val="both"/>
            </w:pPr>
            <w:r>
              <w:rPr>
                <w:rFonts w:ascii="宋体" w:hAnsi="宋体" w:cs="宋体" w:eastAsia="宋体"/>
                <w:sz w:val="24"/>
              </w:rPr>
              <w:t>20X 超级荧光物镜N.A. ≥0.75, W.D. ≥1.0mm</w:t>
            </w:r>
          </w:p>
          <w:p>
            <w:pPr>
              <w:pStyle w:val="null3"/>
              <w:jc w:val="both"/>
            </w:pPr>
            <w:r>
              <w:rPr>
                <w:rFonts w:ascii="宋体" w:hAnsi="宋体" w:cs="宋体" w:eastAsia="宋体"/>
                <w:sz w:val="24"/>
              </w:rPr>
              <w:t>40X 超级荧光物镜N.A. ≥0.90, W.D. ≥0.34-0.26mm</w:t>
            </w:r>
          </w:p>
          <w:p>
            <w:pPr>
              <w:pStyle w:val="null3"/>
              <w:jc w:val="both"/>
            </w:pPr>
            <w:r>
              <w:rPr>
                <w:rFonts w:ascii="宋体" w:hAnsi="宋体" w:cs="宋体" w:eastAsia="宋体"/>
                <w:sz w:val="24"/>
              </w:rPr>
              <w:t>1.5 中间变倍：可配置1.5X或2X中间变倍。</w:t>
            </w:r>
          </w:p>
          <w:p>
            <w:pPr>
              <w:pStyle w:val="null3"/>
              <w:jc w:val="both"/>
            </w:pPr>
            <w:r>
              <w:rPr>
                <w:rFonts w:ascii="宋体" w:hAnsi="宋体" w:cs="宋体" w:eastAsia="宋体"/>
                <w:sz w:val="24"/>
              </w:rPr>
              <w:t>1.6 调焦机构：具有粗调/细调调焦旋钮，行程≥10mm。</w:t>
            </w:r>
          </w:p>
          <w:p>
            <w:pPr>
              <w:pStyle w:val="null3"/>
              <w:jc w:val="both"/>
            </w:pPr>
            <w:r>
              <w:rPr>
                <w:rFonts w:ascii="宋体" w:hAnsi="宋体" w:cs="宋体" w:eastAsia="宋体"/>
                <w:sz w:val="24"/>
              </w:rPr>
              <w:t>1.7 观察镜筒：可倾斜观察筒, 观察角度可调.</w:t>
            </w:r>
          </w:p>
          <w:p>
            <w:pPr>
              <w:pStyle w:val="null3"/>
              <w:jc w:val="both"/>
            </w:pPr>
            <w:r>
              <w:rPr>
                <w:rFonts w:ascii="宋体" w:hAnsi="宋体" w:cs="宋体" w:eastAsia="宋体"/>
                <w:sz w:val="24"/>
              </w:rPr>
              <w:t>1.8 目镜：10X，视场数22mm，屈光度调节；</w:t>
            </w:r>
          </w:p>
          <w:p>
            <w:pPr>
              <w:pStyle w:val="null3"/>
              <w:jc w:val="both"/>
            </w:pPr>
            <w:r>
              <w:rPr>
                <w:rFonts w:ascii="宋体" w:hAnsi="宋体" w:cs="宋体" w:eastAsia="宋体"/>
                <w:sz w:val="24"/>
              </w:rPr>
              <w:t>1.9 观察方式：明场，相差，荧光.</w:t>
            </w:r>
          </w:p>
          <w:p>
            <w:pPr>
              <w:pStyle w:val="null3"/>
              <w:jc w:val="both"/>
            </w:pPr>
            <w:r>
              <w:rPr>
                <w:rFonts w:ascii="宋体" w:hAnsi="宋体" w:cs="宋体" w:eastAsia="宋体"/>
                <w:sz w:val="24"/>
              </w:rPr>
              <w:t>1.10 聚光镜：N.A ≥0.52，且W.D≥26mm</w:t>
            </w:r>
          </w:p>
          <w:p>
            <w:pPr>
              <w:pStyle w:val="null3"/>
              <w:jc w:val="both"/>
            </w:pPr>
            <w:r>
              <w:rPr>
                <w:rFonts w:ascii="宋体" w:hAnsi="宋体" w:cs="宋体" w:eastAsia="宋体"/>
                <w:sz w:val="24"/>
              </w:rPr>
              <w:t>1.11 照明系统：内置透射光照明器，LED光源，寿命≥50000小时。</w:t>
            </w:r>
          </w:p>
          <w:p>
            <w:pPr>
              <w:pStyle w:val="null3"/>
              <w:jc w:val="both"/>
            </w:pPr>
            <w:r>
              <w:rPr>
                <w:rFonts w:ascii="宋体" w:hAnsi="宋体" w:cs="宋体" w:eastAsia="宋体"/>
                <w:sz w:val="24"/>
              </w:rPr>
              <w:t>1.12荧光转盘：≥6孔转，滤光片：Fura2、ECFP/EYFP、GFP。</w:t>
            </w:r>
          </w:p>
          <w:p>
            <w:pPr>
              <w:pStyle w:val="null3"/>
              <w:jc w:val="both"/>
            </w:pPr>
            <w:r>
              <w:rPr>
                <w:rFonts w:ascii="宋体" w:hAnsi="宋体" w:cs="宋体" w:eastAsia="宋体"/>
                <w:sz w:val="24"/>
              </w:rPr>
              <w:t>2.</w:t>
            </w:r>
            <w:r>
              <w:rPr>
                <w:rFonts w:ascii="宋体" w:hAnsi="宋体" w:cs="宋体" w:eastAsia="宋体"/>
                <w:sz w:val="24"/>
              </w:rPr>
              <w:t>荧光光源</w:t>
            </w:r>
          </w:p>
          <w:p>
            <w:pPr>
              <w:pStyle w:val="null3"/>
              <w:jc w:val="both"/>
            </w:pPr>
            <w:r>
              <w:rPr>
                <w:rFonts w:ascii="宋体" w:hAnsi="宋体" w:cs="宋体" w:eastAsia="宋体"/>
                <w:sz w:val="24"/>
              </w:rPr>
              <w:t>2.1：原装进口</w:t>
            </w:r>
          </w:p>
          <w:p>
            <w:pPr>
              <w:pStyle w:val="null3"/>
              <w:jc w:val="both"/>
            </w:pPr>
            <w:r>
              <w:rPr>
                <w:rFonts w:ascii="宋体" w:hAnsi="宋体" w:cs="宋体" w:eastAsia="宋体"/>
                <w:sz w:val="24"/>
              </w:rPr>
              <w:t>2.2输出波长范围：340nm至700nm，开关切换时间：≤4us，波段数：≥7个。</w:t>
            </w:r>
          </w:p>
          <w:p>
            <w:pPr>
              <w:pStyle w:val="null3"/>
              <w:jc w:val="both"/>
            </w:pPr>
            <w:r>
              <w:rPr>
                <w:rFonts w:ascii="宋体" w:hAnsi="宋体" w:cs="宋体" w:eastAsia="宋体"/>
                <w:sz w:val="24"/>
              </w:rPr>
              <w:t>2.3满足 DAPI、 CFP、GFP、FITC、YFP、RFP 等荧光蛋白/染料的成像。</w:t>
            </w:r>
          </w:p>
          <w:p>
            <w:pPr>
              <w:pStyle w:val="null3"/>
              <w:jc w:val="both"/>
            </w:pPr>
            <w:r>
              <w:rPr>
                <w:rFonts w:ascii="宋体" w:hAnsi="宋体" w:cs="宋体" w:eastAsia="宋体"/>
                <w:sz w:val="24"/>
              </w:rPr>
              <w:t>2.4光源寿命：≥25000小时。</w:t>
            </w:r>
          </w:p>
          <w:p>
            <w:pPr>
              <w:pStyle w:val="null3"/>
              <w:jc w:val="both"/>
            </w:pPr>
            <w:r>
              <w:rPr>
                <w:rFonts w:ascii="宋体" w:hAnsi="宋体" w:cs="宋体" w:eastAsia="宋体"/>
                <w:sz w:val="24"/>
              </w:rPr>
              <w:t>2.5.亮度从0-100%连续可调，步进1%。</w:t>
            </w:r>
          </w:p>
          <w:p>
            <w:pPr>
              <w:pStyle w:val="null3"/>
              <w:jc w:val="both"/>
            </w:pPr>
            <w:r>
              <w:rPr>
                <w:rFonts w:ascii="宋体" w:hAnsi="宋体" w:cs="宋体" w:eastAsia="宋体"/>
                <w:sz w:val="24"/>
              </w:rPr>
              <w:t>3.电动快速滤色镜转轮</w:t>
            </w:r>
          </w:p>
          <w:p>
            <w:pPr>
              <w:pStyle w:val="null3"/>
              <w:jc w:val="both"/>
            </w:pPr>
            <w:r>
              <w:rPr>
                <w:rFonts w:ascii="宋体" w:hAnsi="宋体" w:cs="宋体" w:eastAsia="宋体"/>
                <w:sz w:val="24"/>
              </w:rPr>
              <w:t>3.1 电动10孔位激发滤色镜转轮</w:t>
            </w:r>
          </w:p>
          <w:p>
            <w:pPr>
              <w:pStyle w:val="null3"/>
              <w:jc w:val="both"/>
            </w:pPr>
            <w:r>
              <w:rPr>
                <w:rFonts w:ascii="宋体" w:hAnsi="宋体" w:cs="宋体" w:eastAsia="宋体"/>
                <w:sz w:val="24"/>
              </w:rPr>
              <w:t>3.2 电动10孔位发射滤色镜转轮。</w:t>
            </w:r>
          </w:p>
          <w:p>
            <w:pPr>
              <w:pStyle w:val="null3"/>
              <w:jc w:val="both"/>
            </w:pPr>
            <w:r>
              <w:rPr>
                <w:rFonts w:ascii="宋体" w:hAnsi="宋体" w:cs="宋体" w:eastAsia="宋体"/>
                <w:sz w:val="24"/>
              </w:rPr>
              <w:t>4成像系统（原装进口）：</w:t>
            </w:r>
            <w:r>
              <w:rPr>
                <w:rFonts w:ascii="宋体" w:hAnsi="宋体" w:cs="宋体" w:eastAsia="宋体"/>
                <w:sz w:val="24"/>
              </w:rPr>
              <w:t>高</w:t>
            </w:r>
            <w:r>
              <w:rPr>
                <w:rFonts w:ascii="宋体" w:hAnsi="宋体" w:cs="宋体" w:eastAsia="宋体"/>
                <w:sz w:val="24"/>
              </w:rPr>
              <w:t>灵敏度相机。</w:t>
            </w:r>
          </w:p>
          <w:p>
            <w:pPr>
              <w:pStyle w:val="null3"/>
              <w:jc w:val="both"/>
            </w:pPr>
            <w:r>
              <w:rPr>
                <w:rFonts w:ascii="宋体" w:hAnsi="宋体" w:cs="宋体" w:eastAsia="宋体"/>
                <w:sz w:val="24"/>
              </w:rPr>
              <w:t>4.1量子效率（QE）: ≥80%</w:t>
            </w:r>
          </w:p>
          <w:p>
            <w:pPr>
              <w:pStyle w:val="null3"/>
              <w:jc w:val="both"/>
            </w:pPr>
            <w:r>
              <w:rPr>
                <w:rFonts w:ascii="宋体" w:hAnsi="宋体" w:cs="宋体" w:eastAsia="宋体"/>
                <w:sz w:val="24"/>
              </w:rPr>
              <w:t>4.2像元尺寸：≥6.5um</w:t>
            </w:r>
          </w:p>
          <w:p>
            <w:pPr>
              <w:pStyle w:val="null3"/>
              <w:jc w:val="both"/>
            </w:pPr>
            <w:r>
              <w:rPr>
                <w:rFonts w:ascii="宋体" w:hAnsi="宋体" w:cs="宋体" w:eastAsia="宋体"/>
                <w:sz w:val="24"/>
              </w:rPr>
              <w:t>4.3满阱容量：≥30000e-</w:t>
            </w:r>
          </w:p>
          <w:p>
            <w:pPr>
              <w:pStyle w:val="null3"/>
              <w:jc w:val="both"/>
            </w:pPr>
            <w:r>
              <w:rPr>
                <w:rFonts w:ascii="宋体" w:hAnsi="宋体" w:cs="宋体" w:eastAsia="宋体"/>
                <w:sz w:val="24"/>
              </w:rPr>
              <w:t>4</w:t>
            </w:r>
            <w:r>
              <w:rPr>
                <w:rFonts w:ascii="宋体" w:hAnsi="宋体" w:cs="宋体" w:eastAsia="宋体"/>
                <w:sz w:val="24"/>
              </w:rPr>
              <w:t>.4动态范围：≥33000：1</w:t>
            </w:r>
          </w:p>
          <w:p>
            <w:pPr>
              <w:pStyle w:val="null3"/>
              <w:jc w:val="both"/>
            </w:pPr>
            <w:r>
              <w:rPr>
                <w:rFonts w:ascii="宋体" w:hAnsi="宋体" w:cs="宋体" w:eastAsia="宋体"/>
                <w:sz w:val="24"/>
              </w:rPr>
              <w:t>4.5读出噪音：≤0.9e-</w:t>
            </w:r>
          </w:p>
          <w:p>
            <w:pPr>
              <w:pStyle w:val="null3"/>
              <w:jc w:val="both"/>
            </w:pPr>
            <w:r>
              <w:rPr>
                <w:rFonts w:ascii="宋体" w:hAnsi="宋体" w:cs="宋体" w:eastAsia="宋体"/>
                <w:sz w:val="24"/>
              </w:rPr>
              <w:t>4.6成像速度：≥30fps</w:t>
            </w:r>
          </w:p>
          <w:p>
            <w:pPr>
              <w:pStyle w:val="null3"/>
              <w:jc w:val="both"/>
            </w:pPr>
            <w:r>
              <w:rPr>
                <w:rFonts w:ascii="宋体" w:hAnsi="宋体" w:cs="宋体" w:eastAsia="宋体"/>
                <w:sz w:val="24"/>
              </w:rPr>
              <w:t>4.7图像分辨率：≥2048X2048(420万像素)</w:t>
            </w:r>
          </w:p>
          <w:p>
            <w:pPr>
              <w:pStyle w:val="null3"/>
              <w:jc w:val="both"/>
            </w:pPr>
            <w:r>
              <w:rPr>
                <w:rFonts w:ascii="宋体" w:hAnsi="宋体" w:cs="宋体" w:eastAsia="宋体"/>
                <w:sz w:val="24"/>
              </w:rPr>
              <w:t>5刺激器系统：</w:t>
            </w:r>
          </w:p>
          <w:p>
            <w:pPr>
              <w:pStyle w:val="null3"/>
              <w:jc w:val="both"/>
            </w:pPr>
            <w:r>
              <w:rPr>
                <w:rFonts w:ascii="宋体" w:hAnsi="宋体" w:cs="宋体" w:eastAsia="宋体"/>
                <w:sz w:val="24"/>
              </w:rPr>
              <w:t>5.1道通数：≥9个独立运行通道</w:t>
            </w:r>
          </w:p>
          <w:p>
            <w:pPr>
              <w:pStyle w:val="null3"/>
              <w:jc w:val="both"/>
            </w:pPr>
            <w:r>
              <w:rPr>
                <w:rFonts w:ascii="宋体" w:hAnsi="宋体" w:cs="宋体" w:eastAsia="宋体"/>
                <w:sz w:val="24"/>
              </w:rPr>
              <w:t>5.2输出电压及电流范围：-10V～+10V，20mA</w:t>
            </w:r>
          </w:p>
          <w:p>
            <w:pPr>
              <w:pStyle w:val="null3"/>
              <w:jc w:val="both"/>
            </w:pPr>
            <w:r>
              <w:rPr>
                <w:rFonts w:ascii="宋体" w:hAnsi="宋体" w:cs="宋体" w:eastAsia="宋体"/>
                <w:sz w:val="24"/>
              </w:rPr>
              <w:t>5.3脉冲数：1～59990</w:t>
            </w:r>
          </w:p>
          <w:p>
            <w:pPr>
              <w:pStyle w:val="null3"/>
              <w:jc w:val="both"/>
            </w:pPr>
            <w:r>
              <w:rPr>
                <w:rFonts w:ascii="宋体" w:hAnsi="宋体" w:cs="宋体" w:eastAsia="宋体"/>
                <w:sz w:val="24"/>
              </w:rPr>
              <w:t>5.4脉冲持续时间：40us～3999s</w:t>
            </w:r>
          </w:p>
          <w:p>
            <w:pPr>
              <w:pStyle w:val="null3"/>
              <w:jc w:val="both"/>
            </w:pPr>
            <w:r>
              <w:rPr>
                <w:rFonts w:ascii="宋体" w:hAnsi="宋体" w:cs="宋体" w:eastAsia="宋体"/>
                <w:sz w:val="24"/>
              </w:rPr>
              <w:t>5.5延迟时间：100us～3999s</w:t>
            </w:r>
          </w:p>
          <w:p>
            <w:pPr>
              <w:pStyle w:val="null3"/>
              <w:jc w:val="both"/>
            </w:pPr>
            <w:r>
              <w:rPr>
                <w:rFonts w:ascii="宋体" w:hAnsi="宋体" w:cs="宋体" w:eastAsia="宋体"/>
                <w:sz w:val="24"/>
              </w:rPr>
              <w:t>5.6脉冲间或串间隔时间：60us～3999s</w:t>
            </w:r>
          </w:p>
          <w:p>
            <w:pPr>
              <w:pStyle w:val="null3"/>
              <w:jc w:val="both"/>
            </w:pPr>
            <w:r>
              <w:rPr>
                <w:rFonts w:ascii="宋体" w:hAnsi="宋体" w:cs="宋体" w:eastAsia="宋体"/>
                <w:sz w:val="24"/>
              </w:rPr>
              <w:t>6.</w:t>
            </w:r>
            <w:r>
              <w:rPr>
                <w:rFonts w:ascii="宋体" w:hAnsi="宋体" w:cs="宋体" w:eastAsia="宋体"/>
                <w:sz w:val="24"/>
              </w:rPr>
              <w:t>软件：原装进口，中</w:t>
            </w:r>
            <w:r>
              <w:rPr>
                <w:rFonts w:ascii="宋体" w:hAnsi="宋体" w:cs="宋体" w:eastAsia="宋体"/>
                <w:sz w:val="24"/>
              </w:rPr>
              <w:t>/英文可任意切换，用户可自行安装于电脑分析</w:t>
            </w:r>
          </w:p>
          <w:p>
            <w:pPr>
              <w:pStyle w:val="null3"/>
              <w:jc w:val="both"/>
            </w:pPr>
            <w:r>
              <w:rPr>
                <w:rFonts w:ascii="宋体" w:hAnsi="宋体" w:cs="宋体" w:eastAsia="宋体"/>
                <w:sz w:val="24"/>
              </w:rPr>
              <w:t>6.1硬件控制：支持相机控制采集、光源TTL触发</w:t>
            </w:r>
          </w:p>
          <w:p>
            <w:pPr>
              <w:pStyle w:val="null3"/>
              <w:jc w:val="both"/>
            </w:pPr>
            <w:r>
              <w:rPr>
                <w:rFonts w:ascii="宋体" w:hAnsi="宋体" w:cs="宋体" w:eastAsia="宋体"/>
                <w:sz w:val="24"/>
              </w:rPr>
              <w:t>6.2单张采像</w:t>
            </w:r>
          </w:p>
          <w:p>
            <w:pPr>
              <w:pStyle w:val="null3"/>
              <w:jc w:val="both"/>
            </w:pPr>
            <w:r>
              <w:rPr>
                <w:rFonts w:ascii="宋体" w:hAnsi="宋体" w:cs="宋体" w:eastAsia="宋体"/>
                <w:sz w:val="24"/>
              </w:rPr>
              <w:t>6.3时间序列采像/拍摄规频</w:t>
            </w:r>
          </w:p>
          <w:p>
            <w:pPr>
              <w:pStyle w:val="null3"/>
              <w:jc w:val="both"/>
            </w:pPr>
            <w:r>
              <w:rPr>
                <w:rFonts w:ascii="宋体" w:hAnsi="宋体" w:cs="宋体" w:eastAsia="宋体"/>
                <w:sz w:val="24"/>
              </w:rPr>
              <w:t>6.4标尺校准、标尺的添加</w:t>
            </w:r>
          </w:p>
          <w:p>
            <w:pPr>
              <w:pStyle w:val="null3"/>
              <w:jc w:val="both"/>
            </w:pPr>
            <w:r>
              <w:rPr>
                <w:rFonts w:ascii="宋体" w:hAnsi="宋体" w:cs="宋体" w:eastAsia="宋体"/>
                <w:sz w:val="24"/>
              </w:rPr>
              <w:t>6.5长度，面积测量</w:t>
            </w:r>
          </w:p>
          <w:p>
            <w:pPr>
              <w:pStyle w:val="null3"/>
              <w:jc w:val="both"/>
            </w:pPr>
            <w:r>
              <w:rPr>
                <w:rFonts w:ascii="宋体" w:hAnsi="宋体" w:cs="宋体" w:eastAsia="宋体"/>
                <w:sz w:val="24"/>
              </w:rPr>
              <w:t>6.6光强度/吸光度测量</w:t>
            </w:r>
          </w:p>
          <w:p>
            <w:pPr>
              <w:pStyle w:val="null3"/>
              <w:jc w:val="both"/>
            </w:pPr>
            <w:r>
              <w:rPr>
                <w:rFonts w:ascii="宋体" w:hAnsi="宋体" w:cs="宋体" w:eastAsia="宋体"/>
                <w:sz w:val="24"/>
              </w:rPr>
              <w:t>6.7时间序列图像中的光强度等数据分析</w:t>
            </w:r>
          </w:p>
          <w:p>
            <w:pPr>
              <w:pStyle w:val="null3"/>
              <w:jc w:val="both"/>
            </w:pPr>
            <w:r>
              <w:rPr>
                <w:rFonts w:ascii="宋体" w:hAnsi="宋体" w:cs="宋体" w:eastAsia="宋体"/>
                <w:sz w:val="24"/>
              </w:rPr>
              <w:t>6.8自动ROI选择及统计（如细胞计数等）</w:t>
            </w:r>
          </w:p>
          <w:p>
            <w:pPr>
              <w:pStyle w:val="null3"/>
              <w:jc w:val="both"/>
            </w:pPr>
            <w:r>
              <w:rPr>
                <w:rFonts w:ascii="宋体" w:hAnsi="宋体" w:cs="宋体" w:eastAsia="宋体"/>
                <w:sz w:val="24"/>
              </w:rPr>
              <w:t>6.9获得沿任意路径的强度及其随时间的变化</w:t>
            </w:r>
          </w:p>
          <w:p>
            <w:pPr>
              <w:pStyle w:val="null3"/>
              <w:jc w:val="both"/>
            </w:pPr>
            <w:r>
              <w:rPr>
                <w:rFonts w:ascii="宋体" w:hAnsi="宋体" w:cs="宋体" w:eastAsia="宋体"/>
                <w:sz w:val="24"/>
              </w:rPr>
              <w:t>6.10Fura2实时测量。</w:t>
            </w:r>
          </w:p>
          <w:p>
            <w:pPr>
              <w:pStyle w:val="null3"/>
              <w:jc w:val="both"/>
            </w:pPr>
            <w:r>
              <w:rPr>
                <w:rFonts w:ascii="宋体" w:hAnsi="宋体" w:cs="宋体" w:eastAsia="宋体"/>
                <w:sz w:val="24"/>
              </w:rPr>
              <w:t>7</w:t>
            </w:r>
            <w:r>
              <w:rPr>
                <w:rFonts w:ascii="宋体" w:hAnsi="宋体" w:cs="宋体" w:eastAsia="宋体"/>
                <w:sz w:val="24"/>
              </w:rPr>
              <w:t>.</w:t>
            </w:r>
            <w:r>
              <w:rPr>
                <w:rFonts w:ascii="宋体" w:hAnsi="宋体" w:cs="宋体" w:eastAsia="宋体"/>
                <w:sz w:val="24"/>
              </w:rPr>
              <w:t>图像采集工作站：</w:t>
            </w:r>
            <w:r>
              <w:rPr>
                <w:rFonts w:ascii="宋体" w:hAnsi="宋体" w:cs="宋体" w:eastAsia="宋体"/>
                <w:sz w:val="24"/>
              </w:rPr>
              <w:t>i5处理器，内存≥8G，1T存储，27</w:t>
            </w:r>
            <w:r>
              <w:rPr>
                <w:rFonts w:ascii="宋体" w:hAnsi="宋体" w:cs="宋体" w:eastAsia="宋体"/>
                <w:sz w:val="24"/>
              </w:rPr>
              <w:t>英寸</w:t>
            </w:r>
            <w:r>
              <w:rPr>
                <w:rFonts w:ascii="宋体" w:hAnsi="宋体" w:cs="宋体" w:eastAsia="宋体"/>
                <w:sz w:val="24"/>
              </w:rPr>
              <w:t>显示器，</w:t>
            </w:r>
            <w:r>
              <w:rPr>
                <w:rFonts w:ascii="宋体" w:hAnsi="宋体" w:cs="宋体" w:eastAsia="宋体"/>
                <w:sz w:val="24"/>
              </w:rPr>
              <w:t>win10专业版操作系统</w:t>
            </w:r>
          </w:p>
        </w:tc>
      </w:tr>
      <w:tr>
        <w:tc>
          <w:tcPr>
            <w:tcW w:type="dxa" w:w="2769"/>
          </w:tcPr>
          <w:p/>
        </w:tc>
        <w:tc>
          <w:tcPr>
            <w:tcW w:type="dxa" w:w="2769"/>
          </w:tcPr>
          <w:p>
            <w:pPr>
              <w:pStyle w:val="null3"/>
            </w:pPr>
            <w:r>
              <w:rPr/>
              <w:t>2</w:t>
            </w:r>
          </w:p>
        </w:tc>
        <w:tc>
          <w:tcPr>
            <w:tcW w:type="dxa" w:w="2769"/>
          </w:tcPr>
          <w:p>
            <w:pPr>
              <w:pStyle w:val="null3"/>
            </w:pPr>
            <w:r>
              <w:rPr>
                <w:rFonts w:ascii="宋体" w:hAnsi="宋体" w:cs="宋体" w:eastAsia="宋体"/>
                <w:sz w:val="24"/>
                <w:b/>
              </w:rPr>
              <w:t>商务要求：</w:t>
            </w:r>
          </w:p>
          <w:p>
            <w:pPr>
              <w:pStyle w:val="null3"/>
            </w:pPr>
            <w:r>
              <w:rPr>
                <w:rFonts w:ascii="宋体" w:hAnsi="宋体" w:cs="宋体" w:eastAsia="宋体"/>
                <w:sz w:val="24"/>
              </w:rPr>
              <w:t>1.</w:t>
            </w:r>
            <w:r>
              <w:rPr>
                <w:rFonts w:ascii="宋体" w:hAnsi="宋体" w:cs="宋体" w:eastAsia="宋体"/>
                <w:sz w:val="24"/>
              </w:rPr>
              <w:t>即时响应（包括电话响应）；电话响应无法解决时，</w:t>
            </w:r>
            <w:r>
              <w:rPr>
                <w:rFonts w:ascii="宋体" w:hAnsi="宋体" w:cs="宋体" w:eastAsia="宋体"/>
                <w:sz w:val="24"/>
              </w:rPr>
              <w:t>2</w:t>
            </w:r>
            <w:r>
              <w:rPr>
                <w:rFonts w:ascii="宋体" w:hAnsi="宋体" w:cs="宋体" w:eastAsia="宋体"/>
                <w:sz w:val="24"/>
              </w:rPr>
              <w:t>小时内到达现场。修复时间</w:t>
            </w:r>
            <w:r>
              <w:rPr>
                <w:rFonts w:ascii="宋体" w:hAnsi="宋体" w:cs="宋体" w:eastAsia="宋体"/>
                <w:sz w:val="24"/>
              </w:rPr>
              <w:t>4</w:t>
            </w:r>
            <w:r>
              <w:rPr>
                <w:rFonts w:ascii="宋体" w:hAnsi="宋体" w:cs="宋体" w:eastAsia="宋体"/>
                <w:sz w:val="24"/>
              </w:rPr>
              <w:t>小时内；如</w:t>
            </w:r>
            <w:r>
              <w:rPr>
                <w:rFonts w:ascii="宋体" w:hAnsi="宋体" w:cs="宋体" w:eastAsia="宋体"/>
                <w:sz w:val="24"/>
              </w:rPr>
              <w:t>4</w:t>
            </w:r>
            <w:r>
              <w:rPr>
                <w:rFonts w:ascii="宋体" w:hAnsi="宋体" w:cs="宋体" w:eastAsia="宋体"/>
                <w:sz w:val="24"/>
              </w:rPr>
              <w:t>小时内无法修复，应提供相应解决方案。</w:t>
            </w:r>
          </w:p>
          <w:p>
            <w:pPr>
              <w:pStyle w:val="null3"/>
            </w:pPr>
            <w:r>
              <w:rPr>
                <w:rFonts w:ascii="宋体" w:hAnsi="宋体" w:cs="宋体" w:eastAsia="宋体"/>
                <w:sz w:val="24"/>
              </w:rPr>
              <w:t>2.</w:t>
            </w:r>
            <w:r>
              <w:rPr>
                <w:rFonts w:ascii="宋体" w:hAnsi="宋体" w:cs="宋体" w:eastAsia="宋体"/>
                <w:sz w:val="24"/>
              </w:rPr>
              <w:t>提供的设备及配套产品是厂家制造的、崭新的、未曾使用过的合格产品</w:t>
            </w:r>
            <w:r>
              <w:rPr>
                <w:rFonts w:ascii="宋体" w:hAnsi="宋体" w:cs="宋体" w:eastAsia="宋体"/>
                <w:sz w:val="24"/>
              </w:rPr>
              <w:t>，</w:t>
            </w:r>
            <w:r>
              <w:rPr>
                <w:rFonts w:ascii="宋体" w:hAnsi="宋体" w:cs="宋体" w:eastAsia="宋体"/>
                <w:sz w:val="24"/>
              </w:rPr>
              <w:t>国内有备件库</w:t>
            </w:r>
            <w:r>
              <w:rPr>
                <w:rFonts w:ascii="宋体" w:hAnsi="宋体" w:cs="宋体" w:eastAsia="宋体"/>
                <w:sz w:val="24"/>
              </w:rPr>
              <w:t>与维修站</w:t>
            </w:r>
            <w:r>
              <w:rPr>
                <w:rFonts w:ascii="宋体" w:hAnsi="宋体" w:cs="宋体" w:eastAsia="宋体"/>
                <w:sz w:val="24"/>
              </w:rPr>
              <w:t>。</w:t>
            </w:r>
          </w:p>
          <w:p>
            <w:pPr>
              <w:pStyle w:val="null3"/>
            </w:pPr>
            <w:r>
              <w:rPr>
                <w:rFonts w:ascii="宋体" w:hAnsi="宋体" w:cs="宋体" w:eastAsia="宋体"/>
                <w:sz w:val="24"/>
              </w:rPr>
              <w:t>3.</w:t>
            </w:r>
            <w:r>
              <w:rPr>
                <w:rFonts w:ascii="宋体" w:hAnsi="宋体" w:cs="宋体" w:eastAsia="宋体"/>
                <w:sz w:val="24"/>
              </w:rPr>
              <w:t>产品质量保修期为仪器验收合格后</w:t>
            </w:r>
            <w:r>
              <w:rPr>
                <w:rFonts w:ascii="宋体" w:hAnsi="宋体" w:cs="宋体" w:eastAsia="宋体"/>
                <w:sz w:val="24"/>
              </w:rPr>
              <w:t>1</w:t>
            </w:r>
            <w:r>
              <w:rPr>
                <w:rFonts w:ascii="宋体" w:hAnsi="宋体" w:cs="宋体" w:eastAsia="宋体"/>
                <w:sz w:val="24"/>
              </w:rPr>
              <w:t>年，质量保修期内厂家免费维修，包括设备的零配件及国内不能解决的故障需要返回生产厂维修时所发生的一切费用。质量保修期满后</w:t>
            </w:r>
            <w:r>
              <w:rPr>
                <w:rFonts w:ascii="宋体" w:hAnsi="宋体" w:cs="宋体" w:eastAsia="宋体"/>
                <w:sz w:val="24"/>
              </w:rPr>
              <w:t>,厂家负责设备的终身维修。如需更换设备的零配件, 厂家只收取零配件的成本费并负责更换。</w:t>
            </w:r>
          </w:p>
          <w:p>
            <w:pPr>
              <w:pStyle w:val="null3"/>
            </w:pPr>
            <w:r>
              <w:rPr>
                <w:rFonts w:ascii="宋体" w:hAnsi="宋体" w:cs="宋体" w:eastAsia="宋体"/>
                <w:sz w:val="24"/>
              </w:rPr>
              <w:t>4.</w:t>
            </w:r>
            <w:r>
              <w:rPr>
                <w:rFonts w:ascii="宋体" w:hAnsi="宋体" w:cs="宋体" w:eastAsia="宋体"/>
                <w:sz w:val="24"/>
              </w:rPr>
              <w:t>培训：现场培训，保证用户能正常使用该设备。</w:t>
            </w:r>
          </w:p>
          <w:p>
            <w:pPr>
              <w:pStyle w:val="null3"/>
              <w:jc w:val="both"/>
            </w:pPr>
            <w:r>
              <w:rPr>
                <w:rFonts w:ascii="宋体" w:hAnsi="宋体" w:cs="宋体" w:eastAsia="宋体"/>
                <w:sz w:val="24"/>
                <w:b/>
              </w:rPr>
              <w:t>5.本项目为竞争性谈判，所有参数必须全部满足（不允许负偏离），负偏离视为无效响应！</w:t>
            </w:r>
          </w:p>
        </w:tc>
      </w:tr>
    </w:tbl>
    <w:p>
      <w:pPr>
        <w:pStyle w:val="null3"/>
        <w:outlineLvl w:val="2"/>
      </w:pPr>
      <w:r>
        <w:rPr>
          <w:sz w:val="28"/>
          <w:b/>
        </w:rPr>
        <w:t>3.4商务要求</w:t>
      </w:r>
    </w:p>
    <w:p>
      <w:pPr>
        <w:pStyle w:val="null3"/>
        <w:outlineLvl w:val="3"/>
      </w:pPr>
      <w:r>
        <w:rPr>
          <w:sz w:val="24"/>
          <w:b/>
        </w:rPr>
        <w:t>3.4.1交货时间</w:t>
      </w:r>
    </w:p>
    <w:p>
      <w:pPr>
        <w:pStyle w:val="null3"/>
      </w:pPr>
      <w:r>
        <w:rPr/>
        <w:t>采购包1：</w:t>
      </w:r>
    </w:p>
    <w:p>
      <w:pPr>
        <w:pStyle w:val="null3"/>
      </w:pPr>
      <w:r>
        <w:rPr/>
        <w:t>交货期：合同签订后90日内供货，90日内安装调试到位并交付使用。质保期：自学校验收合格后1年</w:t>
      </w:r>
    </w:p>
    <w:p>
      <w:pPr>
        <w:pStyle w:val="null3"/>
        <w:outlineLvl w:val="3"/>
      </w:pPr>
      <w:r>
        <w:rPr>
          <w:sz w:val="24"/>
          <w:b/>
        </w:rPr>
        <w:t>3.4.2交货地点和方式</w:t>
      </w:r>
    </w:p>
    <w:p>
      <w:pPr>
        <w:pStyle w:val="null3"/>
      </w:pPr>
      <w:r>
        <w:rPr/>
        <w:t>采购包1：</w:t>
      </w:r>
    </w:p>
    <w:p>
      <w:pPr>
        <w:pStyle w:val="null3"/>
      </w:pPr>
      <w:r>
        <w:rPr/>
        <w:t>西北大学太白校区</w:t>
      </w:r>
    </w:p>
    <w:p>
      <w:pPr>
        <w:pStyle w:val="null3"/>
        <w:outlineLvl w:val="3"/>
      </w:pPr>
      <w:r>
        <w:rPr>
          <w:sz w:val="24"/>
          <w:b/>
        </w:rPr>
        <w:t>3.4.3支付方式</w:t>
      </w:r>
    </w:p>
    <w:p>
      <w:pPr>
        <w:pStyle w:val="null3"/>
      </w:pPr>
      <w:r>
        <w:rPr/>
        <w:t>采购包1：</w:t>
      </w:r>
    </w:p>
    <w:p>
      <w:pPr>
        <w:pStyle w:val="null3"/>
      </w:pPr>
      <w:r>
        <w:rPr/>
        <w:t>一次付清</w:t>
      </w:r>
    </w:p>
    <w:p>
      <w:pPr>
        <w:pStyle w:val="null3"/>
        <w:outlineLvl w:val="3"/>
      </w:pPr>
      <w:r>
        <w:rPr>
          <w:sz w:val="24"/>
          <w:b/>
        </w:rPr>
        <w:t>3.4.4支付约定</w:t>
      </w:r>
    </w:p>
    <w:p>
      <w:pPr>
        <w:pStyle w:val="null3"/>
      </w:pPr>
      <w:r>
        <w:rPr/>
        <w:t>采购包1：</w:t>
      </w:r>
      <w:r>
        <w:rPr/>
        <w:t xml:space="preserve"> 付款条件说明： </w:t>
      </w:r>
      <w:r>
        <w:rPr/>
        <w:t>进口设备：合同生效后，由甲方通过进出口业务代理公司向乙方开出100%信用证，待设备到货、安装调试、并经学校组织验收合格后，由甲方通知进出口业务代理公司向乙方解汇。 国产设备：合同生效后，乙方开具合同金额等额银行保函，甲方收到银行保函正本后，一次性付清合同货款，待货物到达指定地点、安装调试验收合格后，甲方退还银行保函正本</w:t>
      </w:r>
      <w:r>
        <w:rPr/>
        <w:t xml:space="preserve"> ，达到付款条件起 </w:t>
      </w:r>
      <w:r>
        <w:rPr/>
        <w:t>30</w:t>
      </w:r>
      <w:r>
        <w:rPr/>
        <w:t xml:space="preserve"> 日内，支付合同总金额的 </w:t>
      </w:r>
      <w:r>
        <w:rPr/>
        <w:t>100.00</w:t>
      </w:r>
      <w:r>
        <w:rPr/>
        <w:t>%。</w:t>
      </w:r>
    </w:p>
    <w:p>
      <w:pPr>
        <w:pStyle w:val="null3"/>
        <w:outlineLvl w:val="3"/>
      </w:pPr>
      <w:r>
        <w:rPr>
          <w:sz w:val="24"/>
          <w:b/>
        </w:rPr>
        <w:t>3.4.5验收标准和方法</w:t>
      </w:r>
    </w:p>
    <w:p>
      <w:pPr>
        <w:pStyle w:val="null3"/>
      </w:pPr>
      <w:r>
        <w:rPr/>
        <w:t>采购包1：</w:t>
      </w:r>
    </w:p>
    <w:p>
      <w:pPr>
        <w:pStyle w:val="null3"/>
      </w:pPr>
      <w:r>
        <w:rPr/>
        <w:t>1、验收分初次开箱验收和学校最终验收两个阶段，以最终验收为准。 2、货物到货后，甲方、乙方双方共同开箱验收，如属于检验检疫法检目录内货物，由甲乙双方会同海关共同开箱验收。在检查货物原产地、规格、型号、配置符合合同要求后，由乙方负责安装调试、甲方（使用单位）先进行技术验收（乙方协助），验收以国际标准或以合同文本中描述的有关技术要求为准。在用户和仪器厂家技术人员双方确认仪器的各项功能均已达到技术指标要求后方可对仪器进行验收，验收按照学校相关规定及标书要求进行。 整机自安装之日起1个月内，如果系统不能正常工作或不能达到仪器分析指标，在卖方尽快、尽力排除故障的前提下，仍不能解决问题，买方有权要求卖方更换部件或全部新品以解决问题。卖方应在接到买方书面申请（传真有效）后，应在2个月内免费从原厂运出更换部件或更换新品。新品或新部件到货3个月内，仍不能正常工作或不能满足仪器验收指标要求，买方有权利要求退换货。安装之日起4个月内，如果卖方没有更换部分或全部新品，仪器也没有明显的性能改善，系统仍不能正常工作或不能满足仪器验收指标要求的，买方可以提出要求卖方退货和返还全部预付款。 3、学校根据使用单位技术验收结果，组织有关专家进行的最终验收</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按照谈判文件和合同约定执行</w:t>
      </w:r>
    </w:p>
    <w:p>
      <w:pPr>
        <w:pStyle w:val="null3"/>
        <w:outlineLvl w:val="3"/>
      </w:pPr>
      <w:r>
        <w:rPr>
          <w:sz w:val="24"/>
          <w:b/>
        </w:rPr>
        <w:t>3.4.8违约责任及解决争议的方法</w:t>
      </w:r>
    </w:p>
    <w:p>
      <w:pPr>
        <w:pStyle w:val="null3"/>
      </w:pPr>
      <w:r>
        <w:rPr/>
        <w:t>采购包1：</w:t>
      </w:r>
    </w:p>
    <w:p>
      <w:pPr>
        <w:pStyle w:val="null3"/>
      </w:pPr>
      <w:r>
        <w:rPr/>
        <w:t>中标/成交供应商所交付服务不符合其投标承诺，存在偷工减料、以次充好情形的，采购人要求更换一次后仍不符合约定的，采购人有权解除采购合同，没收履约保证金，并将有关情况上报政府采购监管部门处理</w:t>
      </w:r>
    </w:p>
    <w:p>
      <w:pPr>
        <w:pStyle w:val="null3"/>
        <w:jc w:val="left"/>
        <w:outlineLvl w:val="3"/>
      </w:pPr>
      <w:r>
        <w:rPr>
          <w:sz w:val="24"/>
          <w:b/>
        </w:rPr>
        <w:t>3.5其他要求</w:t>
      </w:r>
    </w:p>
    <w:p>
      <w:pPr>
        <w:pStyle w:val="null3"/>
      </w:pPr>
      <w:r>
        <w:rPr/>
        <w:t>采购包1：</w:t>
      </w:r>
    </w:p>
    <w:p>
      <w:pPr>
        <w:pStyle w:val="null3"/>
      </w:pPr>
      <w:r>
        <w:rPr/>
        <w:t>1、为顺利推进政府采购电子化交易平台应用工作，供应商需要在线提交所有通过电子化交易平台实施的政府采购项目的响应文件，同时，线下提交纸质响应文件正本壹份、副本贰份。 2、纸质响应文件正、副本分别胶装，标明供应商名称密封递交，递交截止时间同在线递交响应电子文件截止时间一致，递交地址：西安市雁展路1111号莱安中心T6-15层。（纸质投标文件可邮寄（顺丰邮寄），邮件签收时间应在递交电子响应文件截止时间之前，邮寄地址：西安市雁展路1111号莱安中心T6-15层，联系人：张娜，联系电话：029-81206622/81206633-835）。 3、若电子响应文件与纸质响应文件不一致的，以电子响应文件为准。 4、响应报价包括但不限于以下费用：货物价值、安装调试费、国内外运杂费（含保险）、仓储保管费、技术培训费、检测费、施工费、人工费、进口业务相关费用（按合同金额的0.77%收取。包括外贸代理公司进口业务代理费、国内外银行手续费、报关费、商检费等）及进口货物按国家政策征收的一切税费（按国家政策规定甲方可以享受的免税部分除外）等。</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t>资格审查标准及要求如下：</w:t>
      </w:r>
    </w:p>
    <w:p>
      <w:pPr>
        <w:pStyle w:val="null3"/>
        <w:outlineLvl w:val="3"/>
      </w:pPr>
      <w:r>
        <w:rPr>
          <w:sz w:val="24"/>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响应函</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供应商需在项目电子化交易系统中按要求填写《响应函》完成承诺并进行电子签章。</w:t>
            </w:r>
          </w:p>
        </w:tc>
        <w:tc>
          <w:tcPr>
            <w:tcW w:type="dxa" w:w="1661"/>
          </w:tcPr>
          <w:p>
            <w:pPr>
              <w:pStyle w:val="null3"/>
            </w:pPr>
            <w:r>
              <w:rPr/>
              <w:t>供应商资格条件证明文件 响应函</w:t>
            </w:r>
          </w:p>
        </w:tc>
      </w:tr>
    </w:tbl>
    <w:p>
      <w:pPr>
        <w:pStyle w:val="null3"/>
        <w:outlineLvl w:val="3"/>
      </w:pPr>
      <w:r>
        <w:rPr>
          <w:sz w:val="24"/>
          <w:b/>
        </w:rPr>
        <w:t>4.2落实政府采购政策资格审查：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落实政府采购政策需满足的资格要求</w:t>
            </w:r>
          </w:p>
        </w:tc>
        <w:tc>
          <w:tcPr>
            <w:tcW w:type="dxa" w:w="3322"/>
          </w:tcPr>
          <w:p>
            <w:pPr>
              <w:pStyle w:val="null3"/>
            </w:pPr>
            <w:r>
              <w:rPr/>
              <w:t>①《国务院办公厅关于建立政府强制采购节能产品制度的通知》（国办发〔2007〕51号）； ②《财政部 司法部关于政府采购支持监狱企业发展有关问题的通知》（财库〔2014〕68号）； ③《三部门联合发布关于促进残疾人就业政府采购政策的通知》（财库〔2017〕141号）； ④《财政部 发展改革委 生态环境部 市场监管总局关于调整优化节能产品、环境标志产品政府采购执行机制的通知》（财库〔2019〕9号）； ⑤《关于运用政府采购政策支持乡村产业振兴的通知》（财库〔2021〕19号）； ⑥《政府采购促进中小企业发展管理办法》（财库〔2020〕46号）； ⑦陕西省财政厅关于印发《陕西省中小企业政府采购信用融资办法》（陕财办采〔2018〕23号）； ⑧《关于进一步加大政府采购支持中小企业力度的通知》（财库〔2022〕19号）； ⑨《关于扩大政府采购支持绿色建材促进建筑品质提升政策实施范围的通知》（财库〔2022〕35号） ⑩本项目非专门面向中小企业采购</w:t>
            </w:r>
          </w:p>
        </w:tc>
        <w:tc>
          <w:tcPr>
            <w:tcW w:type="dxa" w:w="1661"/>
          </w:tcPr>
          <w:p>
            <w:pPr>
              <w:pStyle w:val="null3"/>
            </w:pPr>
            <w:r>
              <w:rPr/>
              <w:t>供应商资格条件证明文件 中小企业声明函 残疾人福利性单位声明函 响应函 监狱企业的证明文件</w:t>
            </w:r>
          </w:p>
        </w:tc>
      </w:tr>
    </w:tbl>
    <w:p>
      <w:pPr>
        <w:pStyle w:val="null3"/>
        <w:outlineLvl w:val="3"/>
      </w:pPr>
      <w:r>
        <w:rPr>
          <w:sz w:val="24"/>
          <w:b/>
        </w:rPr>
        <w:t>4.3特殊资格审查：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营业执照</w:t>
            </w:r>
          </w:p>
        </w:tc>
        <w:tc>
          <w:tcPr>
            <w:tcW w:type="dxa" w:w="3322"/>
          </w:tcPr>
          <w:p>
            <w:pPr>
              <w:pStyle w:val="null3"/>
            </w:pPr>
            <w:r>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t>供应商资格条件证明文件</w:t>
            </w:r>
          </w:p>
        </w:tc>
      </w:tr>
      <w:tr>
        <w:tc>
          <w:tcPr>
            <w:tcW w:type="dxa" w:w="831"/>
          </w:tcPr>
          <w:p>
            <w:pPr>
              <w:pStyle w:val="null3"/>
            </w:pPr>
            <w:r>
              <w:rPr/>
              <w:t>2</w:t>
            </w:r>
          </w:p>
        </w:tc>
        <w:tc>
          <w:tcPr>
            <w:tcW w:type="dxa" w:w="2492"/>
          </w:tcPr>
          <w:p>
            <w:pPr>
              <w:pStyle w:val="null3"/>
            </w:pPr>
            <w:r>
              <w:rPr/>
              <w:t>财务状况报告</w:t>
            </w:r>
          </w:p>
        </w:tc>
        <w:tc>
          <w:tcPr>
            <w:tcW w:type="dxa" w:w="3322"/>
          </w:tcPr>
          <w:p>
            <w:pPr>
              <w:pStyle w:val="null3"/>
            </w:pPr>
            <w:r>
              <w:rPr/>
              <w:t>提供2023年度经审计的财务报告（包括审计报告、资产负债表、利润表、现金流量表、所有者权益变动表及其附注，成立时间至提交响应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t>供应商资格条件证明文件</w:t>
            </w:r>
          </w:p>
        </w:tc>
      </w:tr>
      <w:tr>
        <w:tc>
          <w:tcPr>
            <w:tcW w:type="dxa" w:w="831"/>
          </w:tcPr>
          <w:p>
            <w:pPr>
              <w:pStyle w:val="null3"/>
            </w:pPr>
            <w:r>
              <w:rPr/>
              <w:t>3</w:t>
            </w:r>
          </w:p>
        </w:tc>
        <w:tc>
          <w:tcPr>
            <w:tcW w:type="dxa" w:w="2492"/>
          </w:tcPr>
          <w:p>
            <w:pPr>
              <w:pStyle w:val="null3"/>
            </w:pPr>
            <w:r>
              <w:rPr/>
              <w:t>税收缴纳证明</w:t>
            </w:r>
          </w:p>
        </w:tc>
        <w:tc>
          <w:tcPr>
            <w:tcW w:type="dxa" w:w="3322"/>
          </w:tcPr>
          <w:p>
            <w:pPr>
              <w:pStyle w:val="null3"/>
            </w:pPr>
            <w:r>
              <w:rPr/>
              <w:t>提供2024年1月至今已缴纳至少一个月的依法缴纳税款的相关凭据（时间以税款所属日期为准、税种须包含增值税或企业所得税），凭据应有税务机关或代收机关的公章或业务专用章。依法免税或无须缴纳税款的供应商，应提供相关证明文件</w:t>
            </w:r>
          </w:p>
        </w:tc>
        <w:tc>
          <w:tcPr>
            <w:tcW w:type="dxa" w:w="1661"/>
          </w:tcPr>
          <w:p>
            <w:pPr>
              <w:pStyle w:val="null3"/>
            </w:pPr>
            <w:r>
              <w:rPr/>
              <w:t>供应商资格条件证明文件</w:t>
            </w:r>
          </w:p>
        </w:tc>
      </w:tr>
      <w:tr>
        <w:tc>
          <w:tcPr>
            <w:tcW w:type="dxa" w:w="831"/>
          </w:tcPr>
          <w:p>
            <w:pPr>
              <w:pStyle w:val="null3"/>
            </w:pPr>
            <w:r>
              <w:rPr/>
              <w:t>4</w:t>
            </w:r>
          </w:p>
        </w:tc>
        <w:tc>
          <w:tcPr>
            <w:tcW w:type="dxa" w:w="2492"/>
          </w:tcPr>
          <w:p>
            <w:pPr>
              <w:pStyle w:val="null3"/>
            </w:pPr>
            <w:r>
              <w:rPr/>
              <w:t>社会保障资金缴纳证明</w:t>
            </w:r>
          </w:p>
        </w:tc>
        <w:tc>
          <w:tcPr>
            <w:tcW w:type="dxa" w:w="3322"/>
          </w:tcPr>
          <w:p>
            <w:pPr>
              <w:pStyle w:val="null3"/>
            </w:pPr>
            <w:r>
              <w:rPr/>
              <w:t>提供2024年1月至今已缴存的至少一个月的社会保障资金缴存单据或社保机构开具的社会保险参保缴费情况证明，依法不需要缴纳社会保障资金的单位应提供相关证明材料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t>供应商资格条件证明文件</w:t>
            </w:r>
          </w:p>
        </w:tc>
      </w:tr>
      <w:tr>
        <w:tc>
          <w:tcPr>
            <w:tcW w:type="dxa" w:w="831"/>
          </w:tcPr>
          <w:p>
            <w:pPr>
              <w:pStyle w:val="null3"/>
            </w:pPr>
            <w:r>
              <w:rPr/>
              <w:t>5</w:t>
            </w:r>
          </w:p>
        </w:tc>
        <w:tc>
          <w:tcPr>
            <w:tcW w:type="dxa" w:w="2492"/>
          </w:tcPr>
          <w:p>
            <w:pPr>
              <w:pStyle w:val="null3"/>
            </w:pPr>
            <w:r>
              <w:rPr/>
              <w:t>书面声明</w:t>
            </w:r>
          </w:p>
        </w:tc>
        <w:tc>
          <w:tcPr>
            <w:tcW w:type="dxa" w:w="3322"/>
          </w:tcPr>
          <w:p>
            <w:pPr>
              <w:pStyle w:val="null3"/>
            </w:pPr>
            <w:r>
              <w:rPr/>
              <w:t>参加本次政府采购活动前三年内在经营活动中没有重大违纪，以及未被列入失信被执行人、重大税收违法失信主体、政府采购严重违法失信行为记录名单的书面声明。本项目拒绝被列入失信被执行人、重大税收违法失信主体、政府采购严重违法失信行为的供应商参与</w:t>
            </w:r>
          </w:p>
        </w:tc>
        <w:tc>
          <w:tcPr>
            <w:tcW w:type="dxa" w:w="1661"/>
          </w:tcPr>
          <w:p>
            <w:pPr>
              <w:pStyle w:val="null3"/>
            </w:pPr>
            <w:r>
              <w:rPr/>
              <w:t>供应商资格条件证明文件</w:t>
            </w:r>
          </w:p>
        </w:tc>
      </w:tr>
      <w:tr>
        <w:tc>
          <w:tcPr>
            <w:tcW w:type="dxa" w:w="831"/>
          </w:tcPr>
          <w:p>
            <w:pPr>
              <w:pStyle w:val="null3"/>
            </w:pPr>
            <w:r>
              <w:rPr/>
              <w:t>6</w:t>
            </w:r>
          </w:p>
        </w:tc>
        <w:tc>
          <w:tcPr>
            <w:tcW w:type="dxa" w:w="2492"/>
          </w:tcPr>
          <w:p>
            <w:pPr>
              <w:pStyle w:val="null3"/>
            </w:pPr>
            <w:r>
              <w:rPr/>
              <w:t>承诺函</w:t>
            </w:r>
          </w:p>
        </w:tc>
        <w:tc>
          <w:tcPr>
            <w:tcW w:type="dxa" w:w="3322"/>
          </w:tcPr>
          <w:p>
            <w:pPr>
              <w:pStyle w:val="null3"/>
            </w:pPr>
            <w:r>
              <w:rPr/>
              <w:t>提供具有履行合同所必需的设备和专业技术能力的承诺函</w:t>
            </w:r>
          </w:p>
        </w:tc>
        <w:tc>
          <w:tcPr>
            <w:tcW w:type="dxa" w:w="1661"/>
          </w:tcPr>
          <w:p>
            <w:pPr>
              <w:pStyle w:val="null3"/>
            </w:pPr>
            <w:r>
              <w:rPr/>
              <w:t>供应商资格条件证明文件</w:t>
            </w:r>
          </w:p>
        </w:tc>
      </w:tr>
      <w:tr>
        <w:tc>
          <w:tcPr>
            <w:tcW w:type="dxa" w:w="831"/>
          </w:tcPr>
          <w:p>
            <w:pPr>
              <w:pStyle w:val="null3"/>
            </w:pPr>
            <w:r>
              <w:rPr/>
              <w:t>7</w:t>
            </w:r>
          </w:p>
        </w:tc>
        <w:tc>
          <w:tcPr>
            <w:tcW w:type="dxa" w:w="2492"/>
          </w:tcPr>
          <w:p>
            <w:pPr>
              <w:pStyle w:val="null3"/>
            </w:pPr>
            <w:r>
              <w:rPr/>
              <w:t>控股管理关系</w:t>
            </w:r>
          </w:p>
        </w:tc>
        <w:tc>
          <w:tcPr>
            <w:tcW w:type="dxa" w:w="3322"/>
          </w:tcPr>
          <w:p>
            <w:pPr>
              <w:pStyle w:val="null3"/>
            </w:pPr>
            <w:r>
              <w:rPr/>
              <w:t>提供直接控股和管理关系清单。若与其他供应商存在单位负责人为同一人或者存在直接控股、管理关系的，则投标无效</w:t>
            </w:r>
          </w:p>
        </w:tc>
        <w:tc>
          <w:tcPr>
            <w:tcW w:type="dxa" w:w="1661"/>
          </w:tcPr>
          <w:p>
            <w:pPr>
              <w:pStyle w:val="null3"/>
            </w:pPr>
            <w:r>
              <w:rPr/>
              <w:t>供应商资格条件证明文件</w:t>
            </w:r>
          </w:p>
        </w:tc>
      </w:tr>
      <w:tr>
        <w:tc>
          <w:tcPr>
            <w:tcW w:type="dxa" w:w="831"/>
          </w:tcPr>
          <w:p>
            <w:pPr>
              <w:pStyle w:val="null3"/>
            </w:pPr>
            <w:r>
              <w:rPr/>
              <w:t>8</w:t>
            </w:r>
          </w:p>
        </w:tc>
        <w:tc>
          <w:tcPr>
            <w:tcW w:type="dxa" w:w="2492"/>
          </w:tcPr>
          <w:p>
            <w:pPr>
              <w:pStyle w:val="null3"/>
            </w:pPr>
            <w:r>
              <w:rPr/>
              <w:t>法定代表人授权书及被授权人身份证</w:t>
            </w:r>
          </w:p>
        </w:tc>
        <w:tc>
          <w:tcPr>
            <w:tcW w:type="dxa" w:w="3322"/>
          </w:tcPr>
          <w:p>
            <w:pPr>
              <w:pStyle w:val="null3"/>
            </w:pPr>
            <w:r>
              <w:rPr/>
              <w:t>法定代表人授权书及被授权人身份证。（法定代表人直接参与只须提交其身份证明书，被授权人参与需提供供应商为其缴纳的本年度任意一个月社保缴纳证明）</w:t>
            </w:r>
          </w:p>
        </w:tc>
        <w:tc>
          <w:tcPr>
            <w:tcW w:type="dxa" w:w="1661"/>
          </w:tcPr>
          <w:p>
            <w:pPr>
              <w:pStyle w:val="null3"/>
            </w:pPr>
            <w:r>
              <w:rPr/>
              <w:t>供应商资格条件证明文件</w:t>
            </w:r>
          </w:p>
        </w:tc>
      </w:tr>
      <w:tr>
        <w:tc>
          <w:tcPr>
            <w:tcW w:type="dxa" w:w="831"/>
          </w:tcPr>
          <w:p>
            <w:pPr>
              <w:pStyle w:val="null3"/>
            </w:pPr>
            <w:r>
              <w:rPr/>
              <w:t>9</w:t>
            </w:r>
          </w:p>
        </w:tc>
        <w:tc>
          <w:tcPr>
            <w:tcW w:type="dxa" w:w="2492"/>
          </w:tcPr>
          <w:p>
            <w:pPr>
              <w:pStyle w:val="null3"/>
            </w:pPr>
            <w:r>
              <w:rPr/>
              <w:t>进口产品授权书</w:t>
            </w:r>
          </w:p>
        </w:tc>
        <w:tc>
          <w:tcPr>
            <w:tcW w:type="dxa" w:w="3322"/>
          </w:tcPr>
          <w:p>
            <w:pPr>
              <w:pStyle w:val="null3"/>
            </w:pPr>
            <w:r>
              <w:rPr/>
              <w:t>若所响应产品为进口产品的，供应商须提供产品厂家授权书或总代理商授权书或具有授权权限的供应商对所响应进口产品的授权书。（如提供总代理商授权的须同时提供具有有效授权权限的相关证明文件，证明文件需能显示产品制造厂家对所响应产品授权链条的完整性）</w:t>
            </w:r>
          </w:p>
        </w:tc>
        <w:tc>
          <w:tcPr>
            <w:tcW w:type="dxa" w:w="1661"/>
          </w:tcPr>
          <w:p>
            <w:pPr>
              <w:pStyle w:val="null3"/>
            </w:pPr>
            <w:r>
              <w:rPr/>
              <w:t>供应商资格条件证明文件</w:t>
            </w:r>
          </w:p>
        </w:tc>
      </w:tr>
    </w:tbl>
    <w:p>
      <w:pPr>
        <w:pStyle w:val="null3"/>
      </w:pPr>
      <w:r>
        <w:rPr/>
        <w:t xml:space="preserve"> </w:t>
        <w:br/>
        <w:br w:type="page"/>
      </w:r>
    </w:p>
    <w:p>
      <w:pPr>
        <w:pStyle w:val="null3"/>
        <w:jc w:val="center"/>
        <w:outlineLvl w:val="1"/>
      </w:pPr>
      <w:r>
        <w:rPr>
          <w:sz w:val="36"/>
          <w:b/>
        </w:rPr>
        <w:t>第五章 谈判过程中可实质性变动的内容</w:t>
      </w:r>
    </w:p>
    <w:p>
      <w:pPr>
        <w:pStyle w:val="null3"/>
        <w:ind w:firstLine="480"/>
      </w:pPr>
      <w:r>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t xml:space="preserve"> </w:t>
        <w:br/>
        <w:br w:type="page"/>
      </w:r>
    </w:p>
    <w:p>
      <w:pPr>
        <w:pStyle w:val="null3"/>
        <w:jc w:val="center"/>
        <w:outlineLvl w:val="1"/>
      </w:pPr>
      <w:r>
        <w:rPr>
          <w:sz w:val="36"/>
          <w:b/>
        </w:rPr>
        <w:t>第六章 谈判办法</w:t>
      </w:r>
    </w:p>
    <w:p>
      <w:pPr>
        <w:pStyle w:val="null3"/>
        <w:outlineLvl w:val="2"/>
      </w:pPr>
      <w:r>
        <w:rPr>
          <w:sz w:val="28"/>
          <w:b/>
        </w:rPr>
        <w:t>6.1总则</w:t>
      </w:r>
    </w:p>
    <w:p>
      <w:pPr>
        <w:pStyle w:val="null3"/>
        <w:ind w:firstLine="480"/>
      </w:pPr>
      <w:r>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t>二、评审工作由代理机构组织，具体评审事务由依法组建的谈判小组负责。</w:t>
      </w:r>
    </w:p>
    <w:p>
      <w:pPr>
        <w:pStyle w:val="null3"/>
        <w:ind w:firstLine="480"/>
      </w:pPr>
      <w:r>
        <w:rPr/>
        <w:t>三、评审工作应遵循客观、公正、审慎的原则，并以相同的谈判程序和标准对待所有的供应商。</w:t>
      </w:r>
    </w:p>
    <w:p>
      <w:pPr>
        <w:pStyle w:val="null3"/>
        <w:ind w:firstLine="480"/>
      </w:pPr>
      <w:r>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sz w:val="28"/>
          <w:b/>
        </w:rPr>
        <w:t>6.2谈判小组</w:t>
      </w:r>
    </w:p>
    <w:p>
      <w:pPr>
        <w:pStyle w:val="null3"/>
        <w:ind w:firstLine="480"/>
      </w:pPr>
      <w:r>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t>三、谈判小组按照谈判文件规定的谈判程序、评审方法和标准进行评审，并独立履行下列职责：</w:t>
      </w:r>
    </w:p>
    <w:p>
      <w:pPr>
        <w:pStyle w:val="null3"/>
        <w:ind w:firstLine="480"/>
      </w:pPr>
      <w:r>
        <w:rPr/>
        <w:t>（一）熟悉和理解谈判文件；</w:t>
      </w:r>
    </w:p>
    <w:p>
      <w:pPr>
        <w:pStyle w:val="null3"/>
        <w:ind w:firstLine="480"/>
      </w:pPr>
      <w:r>
        <w:rPr/>
        <w:t>（二）审查供应商响应文件等是否满足谈判文件要求，并作出评价；</w:t>
      </w:r>
    </w:p>
    <w:p>
      <w:pPr>
        <w:pStyle w:val="null3"/>
        <w:ind w:firstLine="480"/>
      </w:pPr>
      <w:r>
        <w:rPr/>
        <w:t xml:space="preserve"> （三）根据需要要求采购组织单位对谈判文件作出解释；根据需要要求供应商对响应文件有关事项作出澄清、说明或者更正；</w:t>
      </w:r>
    </w:p>
    <w:p>
      <w:pPr>
        <w:pStyle w:val="null3"/>
        <w:ind w:firstLine="480"/>
      </w:pPr>
      <w:r>
        <w:rPr/>
        <w:t>（四）推荐成交候选供应商，或者受采购人委托确定成交供应商；</w:t>
      </w:r>
    </w:p>
    <w:p>
      <w:pPr>
        <w:pStyle w:val="null3"/>
        <w:ind w:firstLine="480"/>
      </w:pPr>
      <w:r>
        <w:rPr/>
        <w:t>（五）起草评审报告并进行签署；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6.3评审程序</w:t>
      </w:r>
    </w:p>
    <w:p>
      <w:pPr>
        <w:pStyle w:val="null3"/>
        <w:outlineLvl w:val="3"/>
      </w:pPr>
      <w:r>
        <w:rPr>
          <w:sz w:val="24"/>
          <w:b/>
        </w:rPr>
        <w:t xml:space="preserve"> 6.3.1审查谈判文件和停止评审</w:t>
      </w:r>
    </w:p>
    <w:p>
      <w:pPr>
        <w:pStyle w:val="null3"/>
        <w:ind w:firstLine="480"/>
      </w:pPr>
      <w:r>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t>二、本谈判文件有下列情形之一的，谈判小组应当停止评审：</w:t>
      </w:r>
    </w:p>
    <w:p>
      <w:pPr>
        <w:pStyle w:val="null3"/>
        <w:ind w:firstLine="480"/>
      </w:pPr>
      <w:r>
        <w:rPr/>
        <w:t>（一）谈判文件的规定存在歧义、重大缺陷的；</w:t>
      </w:r>
    </w:p>
    <w:p>
      <w:pPr>
        <w:pStyle w:val="null3"/>
        <w:ind w:firstLine="480"/>
      </w:pPr>
      <w:r>
        <w:rPr/>
        <w:t>（二）谈判文件明显以不合理条件对供应商实行差别待遇或者歧视待遇的；</w:t>
      </w:r>
    </w:p>
    <w:p>
      <w:pPr>
        <w:pStyle w:val="null3"/>
        <w:ind w:firstLine="480"/>
      </w:pPr>
      <w:r>
        <w:rPr/>
        <w:t>（三）采购项目属于国家规定的优先、强制采购范围，但是谈判文件未依法体现优先、强制采购相关规定的；</w:t>
      </w:r>
    </w:p>
    <w:p>
      <w:pPr>
        <w:pStyle w:val="null3"/>
        <w:ind w:firstLine="480"/>
      </w:pPr>
      <w:r>
        <w:rPr/>
        <w:t>（四）采购项目属于政府采购促进中小企业发展的范围，但是谈判文件未依法体现促进中小企业发展相关规定的；</w:t>
      </w:r>
    </w:p>
    <w:p>
      <w:pPr>
        <w:pStyle w:val="null3"/>
        <w:ind w:firstLine="480"/>
      </w:pPr>
      <w:r>
        <w:rPr/>
        <w:t>（五）谈判文件将供应商的资格条件列为评分因素的；</w:t>
      </w:r>
    </w:p>
    <w:p>
      <w:pPr>
        <w:pStyle w:val="null3"/>
        <w:ind w:firstLine="480"/>
      </w:pPr>
      <w:r>
        <w:rPr/>
        <w:t>（六）谈判文件载明的成交原则不合法的；</w:t>
      </w:r>
    </w:p>
    <w:p>
      <w:pPr>
        <w:pStyle w:val="null3"/>
        <w:ind w:firstLine="480"/>
        <w:jc w:val="left"/>
      </w:pPr>
      <w:r>
        <w:rPr/>
        <w:t>（七）谈判文件有违反国家其他有关强制性规定的情形。</w:t>
      </w:r>
    </w:p>
    <w:p>
      <w:pPr>
        <w:pStyle w:val="null3"/>
        <w:ind w:firstLine="480"/>
      </w:pPr>
      <w:r>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sz w:val="24"/>
          <w:b/>
        </w:rPr>
        <w:t>6.3.2符合性审查</w:t>
      </w:r>
    </w:p>
    <w:p>
      <w:pPr>
        <w:pStyle w:val="null3"/>
        <w:ind w:firstLine="480"/>
      </w:pPr>
      <w:r>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t xml:space="preserve"> 二、在符合性审查过程中，如果出现谈判小组成员意见不一致的情况，按照少数服从多数的原则确定，但不得违背政府采购基本原则和谈判文件规定。</w:t>
      </w:r>
    </w:p>
    <w:p>
      <w:pPr>
        <w:pStyle w:val="null3"/>
        <w:ind w:firstLine="480"/>
      </w:pPr>
      <w:r>
        <w:rPr/>
        <w:t>三、谈判小组对所有响应文件进行审查后，确定参加谈判的供应商名单。</w:t>
      </w:r>
    </w:p>
    <w:p>
      <w:pPr>
        <w:pStyle w:val="null3"/>
        <w:ind w:firstLine="480"/>
      </w:pPr>
      <w:r>
        <w:rPr/>
        <w:t>符合性审查标准见下表：</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t>产品技术参数表 残疾人福利性单位声明函 中小企业声明函 商务应答表 标的清单 报价表 响应函 监狱企业的证明文件</w:t>
            </w:r>
          </w:p>
        </w:tc>
      </w:tr>
      <w:tr>
        <w:tc>
          <w:tcPr>
            <w:tcW w:type="dxa" w:w="831"/>
          </w:tcPr>
          <w:p>
            <w:pPr>
              <w:pStyle w:val="null3"/>
            </w:pPr>
            <w:r>
              <w:rPr/>
              <w:t>2</w:t>
            </w:r>
          </w:p>
        </w:tc>
        <w:tc>
          <w:tcPr>
            <w:tcW w:type="dxa" w:w="2492"/>
          </w:tcPr>
          <w:p>
            <w:pPr>
              <w:pStyle w:val="null3"/>
            </w:pPr>
            <w:r>
              <w:rPr/>
              <w:t>谈判响应文件按谈判文件要求的数量、计量单位、报价货币及签字盖章</w:t>
            </w:r>
          </w:p>
        </w:tc>
        <w:tc>
          <w:tcPr>
            <w:tcW w:type="dxa" w:w="3322"/>
          </w:tcPr>
          <w:p>
            <w:pPr>
              <w:pStyle w:val="null3"/>
            </w:pPr>
            <w:r>
              <w:rPr/>
              <w:t>谈判响应文件按谈判文件要求的数量、计量单位、报价货币及签字盖章</w:t>
            </w:r>
          </w:p>
        </w:tc>
        <w:tc>
          <w:tcPr>
            <w:tcW w:type="dxa" w:w="1661"/>
          </w:tcPr>
          <w:p>
            <w:pPr>
              <w:pStyle w:val="null3"/>
            </w:pPr>
            <w:r>
              <w:rPr/>
              <w:t>响应文件封面 供应商认为有必要说明的问题 标的清单</w:t>
            </w:r>
          </w:p>
        </w:tc>
      </w:tr>
      <w:tr>
        <w:tc>
          <w:tcPr>
            <w:tcW w:type="dxa" w:w="831"/>
          </w:tcPr>
          <w:p>
            <w:pPr>
              <w:pStyle w:val="null3"/>
            </w:pPr>
            <w:r>
              <w:rPr/>
              <w:t>3</w:t>
            </w:r>
          </w:p>
        </w:tc>
        <w:tc>
          <w:tcPr>
            <w:tcW w:type="dxa" w:w="2492"/>
          </w:tcPr>
          <w:p>
            <w:pPr>
              <w:pStyle w:val="null3"/>
            </w:pPr>
            <w:r>
              <w:rPr/>
              <w:t>谈判响应文件的有效期达到谈判文件要求</w:t>
            </w:r>
          </w:p>
        </w:tc>
        <w:tc>
          <w:tcPr>
            <w:tcW w:type="dxa" w:w="3322"/>
          </w:tcPr>
          <w:p>
            <w:pPr>
              <w:pStyle w:val="null3"/>
            </w:pPr>
            <w:r>
              <w:rPr/>
              <w:t>谈判响应文件的有效期达到谈判文件要求</w:t>
            </w:r>
          </w:p>
        </w:tc>
        <w:tc>
          <w:tcPr>
            <w:tcW w:type="dxa" w:w="1661"/>
          </w:tcPr>
          <w:p>
            <w:pPr>
              <w:pStyle w:val="null3"/>
            </w:pPr>
            <w:r>
              <w:rPr/>
              <w:t>响应函</w:t>
            </w:r>
          </w:p>
        </w:tc>
      </w:tr>
      <w:tr>
        <w:tc>
          <w:tcPr>
            <w:tcW w:type="dxa" w:w="831"/>
          </w:tcPr>
          <w:p>
            <w:pPr>
              <w:pStyle w:val="null3"/>
            </w:pPr>
            <w:r>
              <w:rPr/>
              <w:t>4</w:t>
            </w:r>
          </w:p>
        </w:tc>
        <w:tc>
          <w:tcPr>
            <w:tcW w:type="dxa" w:w="2492"/>
          </w:tcPr>
          <w:p>
            <w:pPr>
              <w:pStyle w:val="null3"/>
            </w:pPr>
            <w:r>
              <w:rPr/>
              <w:t>符合法律、法规和谈判文件中规定的其他实质性要求</w:t>
            </w:r>
          </w:p>
        </w:tc>
        <w:tc>
          <w:tcPr>
            <w:tcW w:type="dxa" w:w="3322"/>
          </w:tcPr>
          <w:p>
            <w:pPr>
              <w:pStyle w:val="null3"/>
            </w:pPr>
            <w:r>
              <w:rPr/>
              <w:t>符合法律、法规和谈判文件中规定的其他实质性要求</w:t>
            </w:r>
          </w:p>
        </w:tc>
        <w:tc>
          <w:tcPr>
            <w:tcW w:type="dxa" w:w="1661"/>
          </w:tcPr>
          <w:p>
            <w:pPr>
              <w:pStyle w:val="null3"/>
            </w:pPr>
            <w:r>
              <w:rPr/>
              <w:t>响应文件封面 供应商资格条件证明文件 产品技术参数表 残疾人福利性单位声明函 中小企业声明函 商务应答表 标的清单 响应函 监狱企业的证明文件</w:t>
            </w:r>
          </w:p>
        </w:tc>
      </w:tr>
    </w:tbl>
    <w:p>
      <w:pPr>
        <w:pStyle w:val="null3"/>
        <w:outlineLvl w:val="3"/>
      </w:pPr>
      <w:r>
        <w:rPr>
          <w:sz w:val="24"/>
          <w:b/>
        </w:rPr>
        <w:t>6.3.3谈判</w:t>
      </w:r>
    </w:p>
    <w:p>
      <w:pPr>
        <w:pStyle w:val="null3"/>
        <w:ind w:firstLine="480"/>
      </w:pPr>
      <w:r>
        <w:rPr/>
        <w:t>一、谈判小组按照谈判文件的规定与邀请参加谈判的供应商分别进行谈判，谈判顺序由谈判小组确定。</w:t>
      </w:r>
    </w:p>
    <w:p>
      <w:pPr>
        <w:pStyle w:val="null3"/>
        <w:ind w:firstLine="480"/>
      </w:pPr>
      <w:r>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t>六、经最终谈判后，响应文件仍有下列情况之一的，应按照无效响应处理：</w:t>
      </w:r>
    </w:p>
    <w:p>
      <w:pPr>
        <w:pStyle w:val="null3"/>
        <w:ind w:firstLine="480"/>
      </w:pPr>
      <w:r>
        <w:rPr/>
        <w:t>（一）响应文件仍不能实质响应谈判文件可实质性变动的实质性要求的；</w:t>
      </w:r>
    </w:p>
    <w:p>
      <w:pPr>
        <w:pStyle w:val="null3"/>
        <w:ind w:firstLine="480"/>
      </w:pPr>
      <w:r>
        <w:rPr/>
        <w:t>（二）响应文件中仍有谈判文件规定的其他无效响应情形的。</w:t>
      </w:r>
    </w:p>
    <w:p>
      <w:pPr>
        <w:pStyle w:val="null3"/>
        <w:ind w:firstLine="480"/>
      </w:pPr>
      <w:r>
        <w:rPr/>
        <w:t xml:space="preserve"> 七、谈判小组对供应商在谈判、评审过程中的书面交换材料，未按要求加盖电子印章或签字的，视同未提交书面交换材料。</w:t>
      </w:r>
    </w:p>
    <w:p>
      <w:pPr>
        <w:pStyle w:val="null3"/>
        <w:ind w:firstLine="480"/>
      </w:pPr>
      <w:r>
        <w:rPr/>
        <w:t xml:space="preserve"> 八、谈判小组在最终谈判后，对所有响应文件的有效性、完整性和响应程度进行审查后，确定最后报价的供应商名单。</w:t>
      </w:r>
    </w:p>
    <w:p>
      <w:pPr>
        <w:pStyle w:val="null3"/>
        <w:ind w:firstLine="480"/>
      </w:pPr>
      <w:r>
        <w:rPr/>
        <w:t xml:space="preserve"> 九、谈判过程中，谈判的任何一方不得透露与谈判有关的其他供应商的技术资料、价格和其他信息。</w:t>
      </w:r>
    </w:p>
    <w:p>
      <w:pPr>
        <w:pStyle w:val="null3"/>
        <w:ind w:firstLine="480"/>
      </w:pPr>
      <w:r>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sz w:val="24"/>
          <w:b/>
        </w:rPr>
        <w:t>6.3.4最后报价</w:t>
      </w:r>
    </w:p>
    <w:p>
      <w:pPr>
        <w:pStyle w:val="null3"/>
        <w:ind w:firstLine="480"/>
      </w:pPr>
      <w:r>
        <w:rPr/>
        <w:t>一、方案评审</w:t>
      </w:r>
    </w:p>
    <w:p>
      <w:pPr>
        <w:pStyle w:val="null3"/>
      </w:pPr>
      <w:r>
        <w:rPr/>
        <w:t>采购包1：磋商/谈判/协商文件不能详细列明采购标的的技术、服务要求，需由供应商提供最终设计方案或解决方案的，磋商/谈判/协商结束后，磋商/谈判/协商小组应当按照少数服从多数的原则投票推荐3家实质性响应的供应商的设计方案或解决方案，进入最后报价环节；不足3家的，终止本次采购活动。</w:t>
      </w:r>
    </w:p>
    <w:p>
      <w:pPr>
        <w:pStyle w:val="null3"/>
        <w:ind w:firstLine="480"/>
      </w:pPr>
      <w:r>
        <w:rPr/>
        <w:t xml:space="preserve"> 二、谈判小组开启报价后，供应商应随时关注项目电子化交易系统信息提醒，登录项目电子化交易系统，通过“等候大厅”进行报价并签章后提交。</w:t>
      </w:r>
    </w:p>
    <w:p>
      <w:pPr>
        <w:pStyle w:val="null3"/>
        <w:ind w:firstLine="480"/>
      </w:pPr>
      <w:r>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t>四、供应商最后报价属于明显低价不正当竞争的，谈判小组应按照“供应商须知前附表”第8项规定处理。</w:t>
      </w:r>
    </w:p>
    <w:p>
      <w:pPr>
        <w:pStyle w:val="null3"/>
        <w:ind w:firstLine="480"/>
      </w:pPr>
      <w:r>
        <w:rPr/>
        <w:t xml:space="preserve"> 五、供应商未在响应文件提交截止时间内提交报价或未按要求进行报价的，视为无效响应，由供应商自行承担不利后果。</w:t>
      </w:r>
    </w:p>
    <w:p>
      <w:pPr>
        <w:pStyle w:val="null3"/>
        <w:ind w:firstLine="480"/>
      </w:pPr>
      <w:r>
        <w:rPr/>
        <w:t>六、供应商未按谈判小组要求在规定时间内提交最后报价的，视为其退出谈判。</w:t>
      </w:r>
    </w:p>
    <w:p>
      <w:pPr>
        <w:pStyle w:val="null3"/>
        <w:ind w:firstLine="480"/>
      </w:pPr>
      <w:r>
        <w:rPr/>
        <w:t>七、最后报价一旦提交后，供应商不得以任何理由撤回。</w:t>
      </w:r>
    </w:p>
    <w:p>
      <w:pPr>
        <w:pStyle w:val="null3"/>
        <w:ind w:firstLine="480"/>
        <w:jc w:val="left"/>
      </w:pPr>
      <w:r>
        <w:rPr/>
        <w:t>八、最后报价为有效报价应符合下列条件：</w:t>
      </w:r>
    </w:p>
    <w:p>
      <w:pPr>
        <w:pStyle w:val="null3"/>
        <w:ind w:firstLine="480"/>
      </w:pPr>
      <w:r>
        <w:rPr/>
        <w:t>（一）供应商所提供的最后报价是在规定的时间内提交。</w:t>
      </w:r>
    </w:p>
    <w:p>
      <w:pPr>
        <w:pStyle w:val="null3"/>
        <w:ind w:firstLine="480"/>
      </w:pPr>
      <w:r>
        <w:rPr/>
        <w:t>（二）供应商的最后报价应加盖供应商（法定名称）电子印章。</w:t>
      </w:r>
    </w:p>
    <w:p>
      <w:pPr>
        <w:pStyle w:val="null3"/>
        <w:ind w:firstLine="480"/>
      </w:pPr>
      <w:r>
        <w:rPr/>
        <w:t>（三）供应商的最后报价应符合谈判文件的要求。</w:t>
      </w:r>
    </w:p>
    <w:p>
      <w:pPr>
        <w:pStyle w:val="null3"/>
        <w:ind w:firstLine="480"/>
      </w:pPr>
      <w:r>
        <w:rPr/>
        <w:t>（四）最后报价唯一，且不高于最高限价。</w:t>
      </w:r>
    </w:p>
    <w:p>
      <w:pPr>
        <w:pStyle w:val="null3"/>
        <w:ind w:firstLine="480"/>
      </w:pPr>
      <w:r>
        <w:rPr/>
        <w:t>九、最后报价出现下列情况的，不需要供应商澄清，按以下原则处理：</w:t>
      </w:r>
    </w:p>
    <w:p>
      <w:pPr>
        <w:pStyle w:val="null3"/>
        <w:ind w:firstLine="480"/>
      </w:pPr>
      <w:r>
        <w:rPr/>
        <w:t xml:space="preserve"> （一）报价中的大写金额和小写金额不一致的，以大写金额为准，但大写金额出现文字错误，导致金额无法判断的除外；</w:t>
      </w:r>
    </w:p>
    <w:p>
      <w:pPr>
        <w:pStyle w:val="null3"/>
        <w:ind w:firstLine="480"/>
      </w:pPr>
      <w:r>
        <w:rPr/>
        <w:t>（二）单价金额小数点或者百分比有明显错位的，应以总价为准，并修改单价；</w:t>
      </w:r>
    </w:p>
    <w:p>
      <w:pPr>
        <w:pStyle w:val="null3"/>
        <w:ind w:firstLine="480"/>
      </w:pPr>
      <w:r>
        <w:rPr/>
        <w:t>（三）总价金额与按单价汇总金额不一致的，以单价汇总金额计算结果为准；</w:t>
      </w:r>
    </w:p>
    <w:p>
      <w:pPr>
        <w:pStyle w:val="null3"/>
        <w:ind w:firstLine="480"/>
      </w:pPr>
      <w:r>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sz w:val="24"/>
          <w:b/>
        </w:rPr>
        <w:t>6.3.5价格扣除</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06"/>
            <w:gridSpan w:val="6"/>
          </w:tcPr>
          <w:p>
            <w:pPr>
              <w:pStyle w:val="null3"/>
            </w:pPr>
            <w:r>
              <w:rPr/>
              <w:t xml:space="preserve"> 无</w:t>
            </w:r>
          </w:p>
        </w:tc>
      </w:tr>
    </w:tbl>
    <w:p>
      <w:pPr>
        <w:pStyle w:val="null3"/>
        <w:outlineLvl w:val="3"/>
      </w:pPr>
      <w:r>
        <w:rPr>
          <w:sz w:val="24"/>
          <w:b/>
        </w:rPr>
        <w:t>6.3.6解释、澄清、说明的有关问题</w:t>
      </w:r>
    </w:p>
    <w:p>
      <w:pPr>
        <w:pStyle w:val="null3"/>
        <w:ind w:firstLine="480"/>
      </w:pPr>
      <w:r>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t>四、谈判小组应当积极履行澄清、说明或者更正的职责，不得滥用权力。</w:t>
      </w:r>
    </w:p>
    <w:p>
      <w:pPr>
        <w:pStyle w:val="null3"/>
        <w:outlineLvl w:val="3"/>
      </w:pPr>
      <w:r>
        <w:rPr>
          <w:sz w:val="24"/>
          <w:b/>
        </w:rPr>
        <w:t>6.3.7复核</w:t>
      </w:r>
    </w:p>
    <w:p>
      <w:pPr>
        <w:pStyle w:val="null3"/>
        <w:ind w:firstLine="480"/>
      </w:pPr>
      <w:r>
        <w:rPr/>
        <w:t xml:space="preserve"> 一、评审结束后，谈判小组应当进行复核，特别要对拟推荐为成交供应商的、报价最低的、响应文件被认定为无效的进行重点复核。</w:t>
      </w:r>
    </w:p>
    <w:p>
      <w:pPr>
        <w:pStyle w:val="null3"/>
        <w:ind w:firstLine="480"/>
      </w:pPr>
      <w:r>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sz w:val="24"/>
          <w:b/>
        </w:rPr>
        <w:t>6.3.8推荐成交候选供应商</w:t>
      </w:r>
    </w:p>
    <w:p>
      <w:pPr>
        <w:pStyle w:val="null3"/>
      </w:pPr>
      <w:r>
        <w:rPr/>
        <w:t>采购包1：</w:t>
      </w:r>
      <w:r>
        <w:rPr/>
        <w:t>3家；</w:t>
      </w:r>
      <w:r>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t xml:space="preserve"> 响应文件满足谈判文件全部实质性要求且最终报价最低的供应商为排名第一的成交候选供应商。</w:t>
      </w:r>
    </w:p>
    <w:p>
      <w:pPr>
        <w:pStyle w:val="null3"/>
        <w:ind w:firstLine="480"/>
        <w:jc w:val="left"/>
      </w:pPr>
      <w:r>
        <w:rPr/>
        <w:t xml:space="preserve"> 经评审的最终报价是指对供应商最后报价完成价格修正和落实政府采购政策进行的价格扣除后的报价。</w:t>
      </w:r>
    </w:p>
    <w:p>
      <w:pPr>
        <w:pStyle w:val="null3"/>
        <w:outlineLvl w:val="3"/>
      </w:pPr>
      <w:r>
        <w:rPr>
          <w:sz w:val="24"/>
          <w:b/>
        </w:rPr>
        <w:t>6.3.9编写谈判报告</w:t>
      </w:r>
    </w:p>
    <w:p>
      <w:pPr>
        <w:pStyle w:val="null3"/>
        <w:ind w:firstLine="480"/>
      </w:pPr>
      <w:r>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t>一、邀请供应商参加采购活动的具体方式和相关情况，以及参加采购活动的供应商名单；</w:t>
      </w:r>
    </w:p>
    <w:p>
      <w:pPr>
        <w:pStyle w:val="null3"/>
        <w:ind w:firstLine="480"/>
      </w:pPr>
      <w:r>
        <w:rPr/>
        <w:t>二、谈判日期和地点，评审委员会成员名单；</w:t>
      </w:r>
    </w:p>
    <w:p>
      <w:pPr>
        <w:pStyle w:val="null3"/>
        <w:ind w:firstLine="480"/>
      </w:pPr>
      <w:r>
        <w:rPr/>
        <w:t>三、参加报价的供应商名单及报价情况和未参加报价的供应商名单及原因；</w:t>
      </w:r>
    </w:p>
    <w:p>
      <w:pPr>
        <w:pStyle w:val="null3"/>
        <w:ind w:firstLine="480"/>
      </w:pPr>
      <w:r>
        <w:rPr/>
        <w:t>四、变动谈判文件实质性内容的有关资料及记录；</w:t>
      </w:r>
    </w:p>
    <w:p>
      <w:pPr>
        <w:pStyle w:val="null3"/>
        <w:ind w:firstLine="480"/>
      </w:pPr>
      <w:r>
        <w:rPr/>
        <w:t>五、供应商响应文件响应谈判文件实质性要求情况及供应商变动响应文件有关资料及记录；</w:t>
      </w:r>
    </w:p>
    <w:p>
      <w:pPr>
        <w:pStyle w:val="null3"/>
        <w:ind w:firstLine="480"/>
      </w:pPr>
      <w:r>
        <w:rPr/>
        <w:t>六、谈判情况记录和说明，包括对供应商的资格审查情况、供应商响应文件谈判情况等；</w:t>
      </w:r>
    </w:p>
    <w:p>
      <w:pPr>
        <w:pStyle w:val="null3"/>
        <w:ind w:firstLine="480"/>
      </w:pPr>
      <w:r>
        <w:rPr/>
        <w:t>七、推荐的成交候选供应商名单及理由。</w:t>
      </w:r>
    </w:p>
    <w:p>
      <w:pPr>
        <w:pStyle w:val="null3"/>
        <w:ind w:firstLine="480"/>
      </w:pPr>
      <w:r>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sz w:val="24"/>
          <w:b/>
        </w:rPr>
        <w:t>6.3.10谈判争议处理规则</w:t>
      </w:r>
    </w:p>
    <w:p>
      <w:pPr>
        <w:pStyle w:val="null3"/>
        <w:ind w:firstLine="480"/>
      </w:pPr>
      <w:r>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sz w:val="28"/>
          <w:b/>
        </w:rPr>
        <w:t>6.4终止采购活动情形</w:t>
      </w:r>
    </w:p>
    <w:p>
      <w:pPr>
        <w:pStyle w:val="null3"/>
        <w:ind w:firstLine="480"/>
      </w:pPr>
      <w:r>
        <w:rPr/>
        <w:t>有下列情形之一的，本项目终止采购活动：</w:t>
      </w:r>
    </w:p>
    <w:p>
      <w:pPr>
        <w:pStyle w:val="null3"/>
        <w:ind w:firstLine="480"/>
      </w:pPr>
      <w:r>
        <w:rPr/>
        <w:t>（一）因情况变化，不再符合规定的竞争性谈判采购方式适用情形的；</w:t>
      </w:r>
    </w:p>
    <w:p>
      <w:pPr>
        <w:pStyle w:val="null3"/>
        <w:ind w:firstLine="480"/>
      </w:pPr>
      <w:r>
        <w:rPr/>
        <w:t>（二）出现影响采购公正的违法、违规行为的；</w:t>
      </w:r>
    </w:p>
    <w:p>
      <w:pPr>
        <w:pStyle w:val="null3"/>
        <w:ind w:firstLine="480"/>
      </w:pPr>
      <w:r>
        <w:rPr/>
        <w:t>（三）提交首次响应文件的供应商不足三家的；</w:t>
      </w:r>
    </w:p>
    <w:p>
      <w:pPr>
        <w:pStyle w:val="null3"/>
        <w:ind w:firstLine="480"/>
      </w:pPr>
      <w:r>
        <w:rPr/>
        <w:t>（四）通过资格审查的供应商不足三家的；</w:t>
      </w:r>
    </w:p>
    <w:p>
      <w:pPr>
        <w:pStyle w:val="null3"/>
        <w:ind w:firstLine="480"/>
      </w:pPr>
      <w:r>
        <w:rPr/>
        <w:t>（五）通过符合性审查的供应商不足三家的；</w:t>
      </w:r>
    </w:p>
    <w:p>
      <w:pPr>
        <w:pStyle w:val="null3"/>
        <w:ind w:firstLine="480"/>
      </w:pPr>
      <w:r>
        <w:rPr/>
        <w:t>（六）提交最后报价的供应商不足三家的；</w:t>
      </w:r>
    </w:p>
    <w:p>
      <w:pPr>
        <w:pStyle w:val="null3"/>
        <w:ind w:firstLine="480"/>
      </w:pPr>
      <w:r>
        <w:rPr/>
        <w:t>（七）通过最后报价审查的供应商不足三家的。</w:t>
      </w:r>
    </w:p>
    <w:p>
      <w:pPr>
        <w:pStyle w:val="null3"/>
        <w:ind w:firstLine="480"/>
      </w:pPr>
      <w:r>
        <w:rPr/>
        <w:t>注：公开招标转竞争性谈判只有两家供应商参与的情形除外。</w:t>
      </w:r>
    </w:p>
    <w:p>
      <w:pPr>
        <w:pStyle w:val="null3"/>
        <w:outlineLvl w:val="2"/>
      </w:pPr>
      <w:r>
        <w:rPr>
          <w:sz w:val="28"/>
          <w:b/>
        </w:rPr>
        <w:t>6.5确定成交供应商</w:t>
      </w:r>
    </w:p>
    <w:p>
      <w:pPr>
        <w:pStyle w:val="null3"/>
      </w:pPr>
      <w:r>
        <w:rPr/>
        <w:t>一、评审结束后，代理机构在评审结束之日起2个工作日内将谈判报告及有关资料送交采购人确定成交供应商。</w:t>
      </w:r>
    </w:p>
    <w:p>
      <w:pPr>
        <w:pStyle w:val="null3"/>
      </w:pPr>
      <w:r>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t>三、采购人逾期未确定成交供应商且不提出异议的，视为确定谈判报告提出的排序第一的供应商为成交供应商。</w:t>
      </w:r>
    </w:p>
    <w:p>
      <w:pPr>
        <w:pStyle w:val="null3"/>
      </w:pPr>
      <w:r>
        <w:rPr/>
        <w:t>四、根据采购人确定的成交供应商，代理机构在陕西省政府采购网上发布成交结果公告，同时向成交供应商发出成交通知书。</w:t>
      </w:r>
    </w:p>
    <w:p>
      <w:pPr>
        <w:pStyle w:val="null3"/>
        <w:outlineLvl w:val="2"/>
      </w:pPr>
      <w:r>
        <w:rPr>
          <w:sz w:val="28"/>
          <w:b/>
        </w:rPr>
        <w:t>6.6谈判小组成员义务</w:t>
      </w:r>
    </w:p>
    <w:p>
      <w:pPr>
        <w:pStyle w:val="null3"/>
        <w:ind w:firstLine="480"/>
      </w:pPr>
      <w:r>
        <w:rPr/>
        <w:t>（一）遵守评审工作纪律；</w:t>
      </w:r>
    </w:p>
    <w:p>
      <w:pPr>
        <w:pStyle w:val="null3"/>
        <w:ind w:firstLine="480"/>
      </w:pPr>
      <w:r>
        <w:rPr/>
        <w:t>（二）按照客观、公正、审慎的原则，根据竞争性谈判文件规定的评审程序、评审方法和评审标准进行独立评审；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6.7谈判纪律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第七章 响应文件格式</w:t>
      </w:r>
    </w:p>
    <w:p>
      <w:pPr>
        <w:pStyle w:val="null3"/>
        <w:ind w:firstLine="480"/>
      </w:pPr>
      <w:r>
        <w:rPr/>
        <w:t>一、本章所制响应文件格式，除格式中明确将该格式作为实质性要求的，不具有强制性。</w:t>
      </w:r>
    </w:p>
    <w:p>
      <w:pPr>
        <w:pStyle w:val="null3"/>
        <w:ind w:firstLine="480"/>
      </w:pPr>
      <w:r>
        <w:rPr/>
        <w:t>二、本章所制响应文件格式有关表格中的备注栏，由供应商根据自身响应情况作解释性说明，不作为必填项。</w:t>
      </w:r>
    </w:p>
    <w:p>
      <w:pPr>
        <w:pStyle w:val="null3"/>
      </w:pPr>
      <w:r>
        <w:rPr/>
        <w:t>采购包1：</w:t>
      </w:r>
    </w:p>
    <w:p>
      <w:pPr>
        <w:pStyle w:val="null3"/>
      </w:pPr>
      <w:r>
        <w:rPr/>
        <w:t>分册名称：投标响应文件分册</w:t>
      </w:r>
    </w:p>
    <w:p>
      <w:pPr>
        <w:pStyle w:val="null3"/>
        <w:ind w:firstLine="960"/>
      </w:pPr>
      <w:r>
        <w:rPr/>
        <w:t>详见附件：响应文件封面</w:t>
      </w:r>
    </w:p>
    <w:p>
      <w:pPr>
        <w:pStyle w:val="null3"/>
        <w:ind w:firstLine="960"/>
      </w:pPr>
      <w:r>
        <w:rPr/>
        <w:t>详见附件：响应函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详见附件：产品技术参数表</w:t>
      </w:r>
    </w:p>
    <w:p>
      <w:pPr>
        <w:pStyle w:val="null3"/>
        <w:ind w:firstLine="960"/>
      </w:pPr>
      <w:r>
        <w:rPr/>
        <w:t>详见附件：商务应答表</w:t>
      </w:r>
    </w:p>
    <w:p>
      <w:pPr>
        <w:pStyle w:val="null3"/>
        <w:ind w:firstLine="960"/>
      </w:pPr>
      <w:r>
        <w:rPr/>
        <w:t>详见附件：报价表</w:t>
      </w:r>
    </w:p>
    <w:p>
      <w:pPr>
        <w:pStyle w:val="null3"/>
        <w:ind w:firstLine="960"/>
      </w:pPr>
      <w:r>
        <w:rPr/>
        <w:t>详见附件：标的清单</w:t>
      </w:r>
    </w:p>
    <w:p>
      <w:pPr>
        <w:pStyle w:val="null3"/>
        <w:ind w:firstLine="960"/>
      </w:pPr>
      <w:r>
        <w:rPr/>
        <w:t>详见附件：供应商认为有必要说明的问题</w:t>
      </w:r>
    </w:p>
    <w:p>
      <w:pPr>
        <w:pStyle w:val="null3"/>
        <w:ind w:firstLine="960"/>
      </w:pPr>
      <w:r>
        <w:rPr/>
        <w:t>详见附件：供应商资格条件证明文件</w:t>
      </w:r>
    </w:p>
    <w:p>
      <w:pPr>
        <w:pStyle w:val="null3"/>
      </w:pPr>
      <w:r>
        <w:rPr/>
        <w:t xml:space="preserve"> </w:t>
        <w:br/>
        <w:br w:type="page"/>
      </w:r>
    </w:p>
    <w:p>
      <w:pPr>
        <w:pStyle w:val="null3"/>
        <w:jc w:val="center"/>
        <w:outlineLvl w:val="1"/>
      </w:pPr>
      <w:r>
        <w:rPr>
          <w:sz w:val="36"/>
          <w:b/>
        </w:rPr>
        <w:t>第八章 拟签订采购合同文本</w:t>
      </w:r>
    </w:p>
    <w:p>
      <w:pPr>
        <w:pStyle w:val="null3"/>
      </w:pPr>
      <w:r>
        <w:rPr/>
        <w:t>详见附件：合同.docx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