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版本号：241204001</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高功率宽调谐双通道输出全固态飞秒激光器采购项目(二次)</w:t>
      </w:r>
    </w:p>
    <w:p>
      <w:pPr>
        <w:pStyle w:val="null3"/>
        <w:jc w:val="center"/>
        <w:outlineLvl w:val="2"/>
      </w:pPr>
      <w:r>
        <w:rPr>
          <w:sz w:val="28"/>
          <w:b/>
        </w:rPr>
        <w:t>采购项目编号：</w:t>
      </w:r>
      <w:r>
        <w:rPr>
          <w:sz w:val="28"/>
          <w:b/>
        </w:rPr>
        <w:t>HZGH-2024-089</w:t>
      </w:r>
      <w:r>
        <w:br/>
      </w:r>
      <w:r>
        <w:br/>
      </w:r>
      <w:r>
        <w:br/>
      </w:r>
    </w:p>
    <w:p>
      <w:pPr>
        <w:pStyle w:val="null3"/>
        <w:jc w:val="center"/>
        <w:outlineLvl w:val="2"/>
      </w:pPr>
      <w:r>
        <w:rPr>
          <w:sz w:val="28"/>
          <w:b/>
        </w:rPr>
        <w:t>西北大学</w:t>
      </w:r>
    </w:p>
    <w:p>
      <w:pPr>
        <w:pStyle w:val="null3"/>
        <w:jc w:val="center"/>
        <w:outlineLvl w:val="2"/>
      </w:pPr>
      <w:r>
        <w:rPr>
          <w:sz w:val="28"/>
          <w:b/>
        </w:rPr>
        <w:t>华招广和项目管理有限公司</w:t>
      </w:r>
      <w:r>
        <w:rPr>
          <w:sz w:val="28"/>
          <w:b/>
        </w:rPr>
        <w:t>共同编制</w:t>
      </w:r>
    </w:p>
    <w:p>
      <w:pPr>
        <w:pStyle w:val="null3"/>
        <w:jc w:val="center"/>
        <w:outlineLvl w:val="2"/>
      </w:pPr>
      <w:r>
        <w:rPr>
          <w:sz w:val="28"/>
          <w:b/>
        </w:rPr>
        <w:t>2024年12月04日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华招广和项目管理有限公司</w:t>
      </w:r>
      <w:r>
        <w:rPr/>
        <w:t>（以下简称“代理机构”）受</w:t>
      </w:r>
      <w:r>
        <w:rPr/>
        <w:t>西北大学</w:t>
      </w:r>
      <w:r>
        <w:rPr/>
        <w:t>委托，拟对</w:t>
      </w:r>
      <w:r>
        <w:rPr/>
        <w:t>高功率宽调谐双通道输出全固态飞秒激光器采购项目(二次)</w:t>
      </w:r>
      <w:r>
        <w:rPr/>
        <w:t>采用竞争性谈判采购方式进行采购，兹邀请供应商参加本项目的竞争性谈判。</w:t>
      </w:r>
    </w:p>
    <w:p>
      <w:pPr>
        <w:pStyle w:val="null3"/>
        <w:outlineLvl w:val="2"/>
      </w:pPr>
      <w:r>
        <w:rPr>
          <w:sz w:val="28"/>
          <w:b/>
        </w:rPr>
        <w:t>一、项目编号：</w:t>
      </w:r>
      <w:r>
        <w:rPr>
          <w:sz w:val="28"/>
          <w:b/>
        </w:rPr>
        <w:t>HZGH-2024-089</w:t>
      </w:r>
    </w:p>
    <w:p>
      <w:pPr>
        <w:pStyle w:val="null3"/>
        <w:outlineLvl w:val="2"/>
      </w:pPr>
      <w:r>
        <w:rPr>
          <w:sz w:val="28"/>
          <w:b/>
        </w:rPr>
        <w:t>二、项目名称：</w:t>
      </w:r>
      <w:r>
        <w:rPr>
          <w:sz w:val="28"/>
          <w:b/>
        </w:rPr>
        <w:t>高功率宽调谐双通道输出全固态飞秒激光器采购项目(二次)</w:t>
      </w:r>
    </w:p>
    <w:p>
      <w:pPr>
        <w:pStyle w:val="null3"/>
        <w:outlineLvl w:val="2"/>
      </w:pPr>
      <w:r>
        <w:rPr>
          <w:sz w:val="28"/>
          <w:b/>
        </w:rPr>
        <w:t>三、谈判项目简介：</w:t>
      </w:r>
    </w:p>
    <w:p>
      <w:pPr>
        <w:pStyle w:val="null3"/>
        <w:ind w:firstLine="480"/>
      </w:pPr>
      <w:r>
        <w:rPr/>
        <w:t>高功率宽调谐双通道输出全固态飞秒激光器，1套，本项目已通过进口产品采购核准，允许采购进口产品。简要技术要求、用途：科研实验，具体详见采购文件。</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1、营业执照：具有独立承担民事责任能力的法人、其他组织或自然人，并出具合法有效的营业执照或事业单位法人证书等国家规定的相关证明，自然人参与的提供其身份证明；</w:t>
      </w:r>
    </w:p>
    <w:p>
      <w:pPr>
        <w:pStyle w:val="null3"/>
      </w:pPr>
      <w:r>
        <w:rPr/>
        <w:t>2、财务状况报告：提供具有财务审计资质单位出具的2022年度或2023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null3"/>
      </w:pPr>
      <w:r>
        <w:rPr/>
        <w:t>3、税收缴纳证明：提供2024年1月1日至今任意一个月已缴纳的纳税证明或完税证明（时间以税款所属日期为准）；（依法免税的供应商应提供相关文件证明）</w:t>
      </w:r>
    </w:p>
    <w:p>
      <w:pPr>
        <w:pStyle w:val="null3"/>
      </w:pPr>
      <w:r>
        <w:rPr/>
        <w:t>4、社会保障资金缴纳证明：提供2024年1月1日至今任意一个月的社保缴费凭据或社保机构开具的社会保险参保缴费情况证明；（依法不需要缴纳社会保障资金的供应商应提供相关证明）</w:t>
      </w:r>
    </w:p>
    <w:p>
      <w:pPr>
        <w:pStyle w:val="null3"/>
      </w:pPr>
      <w:r>
        <w:rPr/>
        <w:t>5、具有履行本合同所必需的设备和专业技术能力的说明及承诺：提供具有履行本合同所必需的设备和专业技术能力的说明及承诺；（格式自拟，加盖供应商公章）</w:t>
      </w:r>
    </w:p>
    <w:p>
      <w:pPr>
        <w:pStyle w:val="null3"/>
      </w:pPr>
      <w:r>
        <w:rPr/>
        <w:t>6、参加政府采购活动前三年内在经营活动中没有重大违法记录的书面声明：提供参加政府采购活动前三年内在经营活动中没有重大违法记录的书面声明。（格式自拟，加盖供应商公章）</w:t>
      </w:r>
    </w:p>
    <w:p>
      <w:pPr>
        <w:pStyle w:val="null3"/>
      </w:pPr>
      <w:r>
        <w:rPr/>
        <w:t>7、法定代表人或负责人资格证明书：法定代表人或负责人参与投标时需提供法定代表人或负责人资格证明书（附法定代表人或负责人身份证复印件）；</w:t>
      </w:r>
    </w:p>
    <w:p>
      <w:pPr>
        <w:pStyle w:val="null3"/>
      </w:pPr>
      <w:r>
        <w:rPr/>
        <w:t>8、法定代表人或负责人授权委托书：被授权人参与投标时需提供法定代表人或负责人授权委托书（附法定代表人或负责人及被授权人身份证复印件）；</w:t>
      </w:r>
    </w:p>
    <w:p>
      <w:pPr>
        <w:pStyle w:val="null3"/>
      </w:pPr>
      <w:r>
        <w:rPr/>
        <w:t>9、谈判保证金交纳凭证或担保函：谈判保证金交纳凭证或担保函；（保证金交纳凭证复印件或担保函复印件加盖公章）</w:t>
      </w:r>
    </w:p>
    <w:p>
      <w:pPr>
        <w:pStyle w:val="null3"/>
      </w:pPr>
      <w:r>
        <w:rPr/>
        <w:t>10、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p>
      <w:pPr>
        <w:pStyle w:val="null3"/>
      </w:pPr>
      <w:r>
        <w:rPr/>
        <w:t>11、单位负责人为同一人或者存在直接控股、管理关系的不同供应商，不得参加同一合同项下的政府采购活动：单位负责人为同一人或者存在直接控股、管理关系的不同供应商，不得参加同一合同项下的政府采购活动；（提供书面承诺函，格式自拟加盖供应商公章）</w:t>
      </w:r>
    </w:p>
    <w:p>
      <w:pPr>
        <w:pStyle w:val="null3"/>
      </w:pPr>
      <w:r>
        <w:rPr/>
        <w:t>12、本项目不接受联合体谈判：本项目不接受联合体谈判。（提供书面承诺函，格式自拟加盖供应商公章）</w:t>
      </w:r>
    </w:p>
    <w:p>
      <w:pPr>
        <w:pStyle w:val="null3"/>
      </w:pPr>
      <w:r>
        <w:rPr/>
        <w:t>13、进口产品授权书：若所响应产品为进口产品的，供应商须提供产品厂家授权书或总代理商授权书或具有授权权限的供应商对所响应进口产品的授权书。（如提供总代理商授权的须同时提供具有有效授权权限的相关证明文件，证明文件需能显示产品制造厂家对所响应产品授权链条的完整性）</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西北大学</w:t>
      </w:r>
    </w:p>
    <w:p>
      <w:pPr>
        <w:pStyle w:val="null3"/>
      </w:pPr>
      <w:r>
        <w:rPr/>
        <w:t xml:space="preserve"> 地址： </w:t>
      </w:r>
      <w:r>
        <w:rPr/>
        <w:t>太白北路229号</w:t>
      </w:r>
    </w:p>
    <w:p>
      <w:pPr>
        <w:pStyle w:val="null3"/>
      </w:pPr>
      <w:r>
        <w:rPr/>
        <w:t xml:space="preserve"> 邮编： </w:t>
      </w:r>
      <w:r>
        <w:rPr/>
        <w:t>710000</w:t>
      </w:r>
    </w:p>
    <w:p>
      <w:pPr>
        <w:pStyle w:val="null3"/>
      </w:pPr>
      <w:r>
        <w:rPr/>
        <w:t xml:space="preserve"> 联系人： </w:t>
      </w:r>
      <w:r>
        <w:rPr/>
        <w:t>薛老师</w:t>
      </w:r>
    </w:p>
    <w:p>
      <w:pPr>
        <w:pStyle w:val="null3"/>
      </w:pPr>
      <w:r>
        <w:rPr/>
        <w:t xml:space="preserve"> 联系电话： </w:t>
      </w:r>
      <w:r>
        <w:rPr/>
        <w:t>029-88302974</w:t>
      </w:r>
    </w:p>
    <w:p>
      <w:pPr>
        <w:pStyle w:val="null3"/>
        <w:outlineLvl w:val="3"/>
      </w:pPr>
      <w:r>
        <w:rPr>
          <w:sz w:val="24"/>
          <w:b/>
        </w:rPr>
        <w:t>代理机构：</w:t>
      </w:r>
      <w:r>
        <w:rPr>
          <w:sz w:val="24"/>
          <w:b/>
        </w:rPr>
        <w:t>华招广和项目管理有限公司</w:t>
      </w:r>
    </w:p>
    <w:p>
      <w:pPr>
        <w:pStyle w:val="null3"/>
      </w:pPr>
      <w:r>
        <w:rPr/>
        <w:t xml:space="preserve"> 地址： </w:t>
      </w:r>
      <w:r>
        <w:rPr/>
        <w:t>西安市朱雀大街南段1号汇成天玺C座18层</w:t>
      </w:r>
    </w:p>
    <w:p>
      <w:pPr>
        <w:pStyle w:val="null3"/>
      </w:pPr>
      <w:r>
        <w:rPr/>
        <w:t xml:space="preserve"> 邮编： </w:t>
      </w:r>
      <w:r>
        <w:rPr/>
        <w:t>710000</w:t>
      </w:r>
    </w:p>
    <w:p>
      <w:pPr>
        <w:pStyle w:val="null3"/>
      </w:pPr>
      <w:r>
        <w:rPr/>
        <w:t xml:space="preserve"> 联系人： </w:t>
      </w:r>
      <w:r>
        <w:rPr/>
        <w:t>秦工</w:t>
      </w:r>
    </w:p>
    <w:p>
      <w:pPr>
        <w:pStyle w:val="null3"/>
      </w:pPr>
      <w:r>
        <w:rPr/>
        <w:t xml:space="preserve"> 联系电话： </w:t>
      </w:r>
      <w:r>
        <w:rPr/>
        <w:t>029-87592321</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采购包1：1,440,000.00元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采购包1保证金金额：20,000.00元</w:t>
            </w:r>
          </w:p>
          <w:p>
            <w:pPr>
              <w:pStyle w:val="null3"/>
            </w:pPr>
            <w:r>
              <w:rPr/>
              <w:t>缴交渠道：电子保函,转账、支票、汇票等（需通过实体账户、户名及开户行信息）</w:t>
            </w:r>
          </w:p>
          <w:p>
            <w:pPr>
              <w:pStyle w:val="null3"/>
            </w:pPr>
            <w:r>
              <w:rPr/>
              <w:t>开户名称：华招广和项目管理有限公司</w:t>
            </w:r>
          </w:p>
          <w:p>
            <w:pPr>
              <w:pStyle w:val="null3"/>
            </w:pPr>
            <w:r>
              <w:rPr/>
              <w:t>开户银行：中信银行西安朱雀南路支行</w:t>
            </w:r>
          </w:p>
          <w:p>
            <w:pPr>
              <w:pStyle w:val="null3"/>
            </w:pPr>
            <w:r>
              <w:rPr/>
              <w:t>银行账号：8111 7010 1190 0609 835</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1、成交后，成交供应商与采购人洽谈合同条款，并签订供货合同，同时送代理机构归档，谈判文件及成交供应商响应文件均作为合同的组成部分；供应商成交后（无论整体或部分成交），须向学校交纳合同履约保证金，履约保证金金额为成交金额的5%。 转账账号：西北大学 611301015018001145006 交通银行太白路支行 转账金额到账后，可持银行回执到西北大学采购与招标办公室换取收据。 待合同执行完毕、货物验收合格后凭验收单和缴款收据，合同履约保证金予以退还。如遇下列情况之一者，合同履约保证金不予退还，作为对采购人的赔偿： （1）合同签订后不能按合同时限要求供货或安装调试的； （2）所供货物与合同不符或验收不合格的； （3）不能按合同履约的。 2、根据需要，代理机构应协助采购人监督、协调和处理履约过程中出现的问题； 3、陕西省财政厅政府采购管理处在合同履行期间以及履行期后，可以随时检查项目的执行情况，对采购标准、采购内容进行调查核实，并对发现的问题进行处理。</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成交人在领取成交通知书时，参照原《国家计委关于印发&lt;招标代理服务收费管理暂行办法&gt;的通知》(计价格〔2002〕1980号)、《国家发展改革委关于降低部分建设项目收费标准规范收费行为等有关问题的通知》(发改价格〔2011〕534号)以及财政部关于印发&lt;政府采购代理机构管理暂行办法&gt;的通知》（财库〔2018〕2号）规定，下浮20%，向华招广和项目管理有限公司交纳招标服务费。 2、招标代理服务费应采用转账形式交纳。3、收款账户如下：收款单位：华招广和项目管理有限公司 开户银行：中国建设银行股份有限公司西安金泰假日花城支行 银行账号：6105 0186 5800 0000 0059。</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允许。本项目允许采购进口产品，进口产品的清单详见第3章。</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西北大学</w:t>
      </w:r>
      <w:r>
        <w:rPr/>
        <w:t>和</w:t>
      </w:r>
      <w:r>
        <w:rPr/>
        <w:t>华招广和项目管理有限公司</w:t>
      </w:r>
      <w:r>
        <w:rPr/>
        <w:t>享有。竞争性谈判文件中供应商参加本次政府采购活动应当具备的条件、技术清单、参数、商务及其他要求由</w:t>
      </w:r>
      <w:r>
        <w:rPr/>
        <w:t>西北大学</w:t>
      </w:r>
      <w:r>
        <w:rPr/>
        <w:t>负责解释。除上述竞争性谈判文件内容，其他内容由</w:t>
      </w:r>
      <w:r>
        <w:rPr/>
        <w:t>华招广和项目管理有限公司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西北大学</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华招广和项目管理有限公司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一、响应文件应当根据谈判通知书进行编制。供应商应通过陕西省政府采购网-办事指南-CA及签章服务下载投标（响应）客户端，使用客户端编制响应文件。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sz w:val="28"/>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sz w:val="28"/>
          <w:b/>
        </w:rPr>
        <w:t>2.6.7履约验收方案</w:t>
      </w:r>
    </w:p>
    <w:p>
      <w:pPr>
        <w:pStyle w:val="null3"/>
      </w:pPr>
      <w:r>
        <w:rPr/>
        <w:t>采购包1：</w:t>
      </w:r>
    </w:p>
    <w:p>
      <w:pPr>
        <w:pStyle w:val="null3"/>
      </w:pPr>
      <w:r>
        <w:rPr/>
        <w:t>按采购文件、响应文件及合同约定执行</w:t>
      </w:r>
    </w:p>
    <w:p>
      <w:pPr>
        <w:pStyle w:val="null3"/>
        <w:outlineLvl w:val="2"/>
      </w:pPr>
      <w:r>
        <w:rPr>
          <w:sz w:val="28"/>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华招广和项目管理有限公司</w:t>
      </w:r>
      <w:r>
        <w:rPr/>
        <w:t xml:space="preserve"> 负责答复；供应商对除采购需求外的采购文件的询问、质疑由</w:t>
      </w:r>
      <w:r>
        <w:rPr/>
        <w:t>华招广和项目管理有限公司</w:t>
      </w:r>
      <w:r>
        <w:rPr/>
        <w:t xml:space="preserve"> 负责答复；供应商对采购过程、采购结果的询问、质疑由 </w:t>
      </w:r>
      <w:r>
        <w:rPr/>
        <w:t>华招广和项目管理有限公司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联系人：秦工</w:t>
      </w:r>
    </w:p>
    <w:p>
      <w:pPr>
        <w:pStyle w:val="null3"/>
      </w:pPr>
      <w:r>
        <w:rPr/>
        <w:t>联系电话：029-87592321</w:t>
      </w:r>
    </w:p>
    <w:p>
      <w:pPr>
        <w:pStyle w:val="null3"/>
      </w:pPr>
      <w:r>
        <w:rPr/>
        <w:t>地址：西安市朱雀大街南段1号汇成天玺C座18层</w:t>
      </w:r>
    </w:p>
    <w:p>
      <w:pPr>
        <w:pStyle w:val="null3"/>
      </w:pPr>
      <w:r>
        <w:rPr/>
        <w:t>邮编：710000</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br/>
        <w:br w:type="page"/>
      </w:r>
    </w:p>
    <w:p>
      <w:pPr>
        <w:pStyle w:val="null3"/>
        <w:jc w:val="center"/>
        <w:outlineLvl w:val="1"/>
      </w:pPr>
      <w:r>
        <w:rPr>
          <w:sz w:val="36"/>
          <w:b/>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高功率宽调谐双通道输出全固态飞秒激光器，1套，本项目已通过进口产品采购核准，允许采购进口产品。简要技术要求、用途：科研实验，具体详见采购文件。</w:t>
      </w:r>
    </w:p>
    <w:p>
      <w:pPr>
        <w:pStyle w:val="null3"/>
        <w:outlineLvl w:val="2"/>
      </w:pPr>
      <w:r>
        <w:rPr>
          <w:sz w:val="28"/>
          <w:b/>
        </w:rPr>
        <w:t>3.2采购内容</w:t>
      </w:r>
    </w:p>
    <w:p>
      <w:pPr>
        <w:pStyle w:val="null3"/>
      </w:pPr>
      <w:r>
        <w:rPr/>
        <w:t>采购包1：</w:t>
      </w:r>
    </w:p>
    <w:p>
      <w:pPr>
        <w:pStyle w:val="null3"/>
      </w:pPr>
      <w:r>
        <w:rPr/>
        <w:t>采购包预算金额（元）: 1,440,000.00</w:t>
      </w:r>
    </w:p>
    <w:p>
      <w:pPr>
        <w:pStyle w:val="null3"/>
      </w:pPr>
      <w:r>
        <w:rPr/>
        <w:t>采购包最高限价（元）: 1,440,000.00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高功率宽调谐双通道输出全固态飞秒激光器</w:t>
            </w:r>
          </w:p>
        </w:tc>
        <w:tc>
          <w:tcPr>
            <w:tcW w:type="dxa" w:w="831"/>
          </w:tcPr>
          <w:p>
            <w:pPr>
              <w:pStyle w:val="null3"/>
              <w:jc w:val="right"/>
            </w:pPr>
            <w:r>
              <w:rPr/>
              <w:t>1.00</w:t>
            </w:r>
          </w:p>
        </w:tc>
        <w:tc>
          <w:tcPr>
            <w:tcW w:type="dxa" w:w="831"/>
          </w:tcPr>
          <w:p>
            <w:pPr>
              <w:pStyle w:val="null3"/>
              <w:jc w:val="right"/>
            </w:pPr>
            <w:r>
              <w:rPr/>
              <w:t>1,440,000.00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是</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标的名称：高功率宽调谐双通道输出全固态飞秒激光器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29"/>
              <w:gridCol w:w="239"/>
              <w:gridCol w:w="1986"/>
            </w:tblGrid>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rPr>
                    <w:t>参数性质</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rPr>
                    <w:t>序号</w:t>
                  </w:r>
                </w:p>
              </w:tc>
              <w:tc>
                <w:tcPr>
                  <w:tcW w:type="dxa" w:w="1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9"/>
                    </w:rPr>
                    <w:t>技术参数与性能指标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1</w:t>
                  </w:r>
                </w:p>
              </w:tc>
              <w:tc>
                <w:tcPr>
                  <w:tcW w:type="dxa" w:w="1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1.波长可调谐脉冲激光输出端口数：1个</w:t>
                  </w:r>
                </w:p>
                <w:p>
                  <w:pPr>
                    <w:pStyle w:val="null3"/>
                    <w:jc w:val="both"/>
                  </w:pPr>
                  <w:r>
                    <w:rPr>
                      <w:rFonts w:ascii="宋体" w:hAnsi="宋体" w:cs="宋体" w:eastAsia="宋体"/>
                      <w:sz w:val="21"/>
                    </w:rPr>
                    <w:t>1.1波长调谐范围：680 nm ~ 960 nm；</w:t>
                  </w:r>
                </w:p>
                <w:p>
                  <w:pPr>
                    <w:pStyle w:val="null3"/>
                    <w:jc w:val="both"/>
                  </w:pPr>
                  <w:r>
                    <w:rPr>
                      <w:rFonts w:ascii="宋体" w:hAnsi="宋体" w:cs="宋体" w:eastAsia="宋体"/>
                      <w:sz w:val="21"/>
                    </w:rPr>
                    <w:t>1.2平均输出功率：≥1.5 W；</w:t>
                  </w:r>
                </w:p>
                <w:p>
                  <w:pPr>
                    <w:pStyle w:val="null3"/>
                    <w:jc w:val="both"/>
                  </w:pPr>
                  <w:r>
                    <w:rPr>
                      <w:rFonts w:ascii="宋体" w:hAnsi="宋体" w:cs="宋体" w:eastAsia="宋体"/>
                      <w:sz w:val="21"/>
                    </w:rPr>
                    <w:t>1.3脉冲宽度：≤160 fs；</w:t>
                  </w:r>
                </w:p>
                <w:p>
                  <w:pPr>
                    <w:pStyle w:val="null3"/>
                    <w:jc w:val="both"/>
                  </w:pPr>
                  <w:r>
                    <w:rPr>
                      <w:rFonts w:ascii="宋体" w:hAnsi="宋体" w:cs="宋体" w:eastAsia="宋体"/>
                      <w:sz w:val="21"/>
                    </w:rPr>
                    <w:t>1.4重复频率：80±0.5 MHz；</w:t>
                  </w:r>
                </w:p>
                <w:p>
                  <w:pPr>
                    <w:pStyle w:val="null3"/>
                    <w:jc w:val="both"/>
                  </w:pPr>
                  <w:r>
                    <w:rPr>
                      <w:rFonts w:ascii="宋体" w:hAnsi="宋体" w:cs="宋体" w:eastAsia="宋体"/>
                      <w:sz w:val="21"/>
                    </w:rPr>
                    <w:t>1.5 M2因子：＜1.2；</w:t>
                  </w:r>
                </w:p>
                <w:p>
                  <w:pPr>
                    <w:pStyle w:val="null3"/>
                    <w:jc w:val="both"/>
                  </w:pPr>
                  <w:r>
                    <w:rPr>
                      <w:rFonts w:ascii="宋体" w:hAnsi="宋体" w:cs="宋体" w:eastAsia="宋体"/>
                      <w:sz w:val="21"/>
                    </w:rPr>
                    <w:t>1.6像散：＜20%；</w:t>
                  </w:r>
                </w:p>
                <w:p>
                  <w:pPr>
                    <w:pStyle w:val="null3"/>
                    <w:jc w:val="both"/>
                  </w:pPr>
                  <w:r>
                    <w:rPr>
                      <w:rFonts w:ascii="宋体" w:hAnsi="宋体" w:cs="宋体" w:eastAsia="宋体"/>
                      <w:sz w:val="21"/>
                    </w:rPr>
                    <w:t>1.7光斑椭圆度：1.0 ±0.2；</w:t>
                  </w:r>
                </w:p>
                <w:p>
                  <w:pPr>
                    <w:pStyle w:val="null3"/>
                    <w:jc w:val="both"/>
                  </w:pPr>
                  <w:r>
                    <w:rPr>
                      <w:rFonts w:ascii="宋体" w:hAnsi="宋体" w:cs="宋体" w:eastAsia="宋体"/>
                      <w:sz w:val="21"/>
                    </w:rPr>
                    <w:t>1.8功率稳定性：≤±1%；</w:t>
                  </w:r>
                </w:p>
                <w:p>
                  <w:pPr>
                    <w:pStyle w:val="null3"/>
                    <w:jc w:val="both"/>
                  </w:pPr>
                  <w:r>
                    <w:rPr>
                      <w:rFonts w:ascii="宋体" w:hAnsi="宋体" w:cs="宋体" w:eastAsia="宋体"/>
                      <w:sz w:val="21"/>
                    </w:rPr>
                    <w:t>1.9 光束指向精度：≤350 µrad；</w:t>
                  </w:r>
                </w:p>
                <w:p>
                  <w:pPr>
                    <w:pStyle w:val="null3"/>
                    <w:jc w:val="both"/>
                  </w:pPr>
                  <w:r>
                    <w:rPr>
                      <w:rFonts w:ascii="宋体" w:hAnsi="宋体" w:cs="宋体" w:eastAsia="宋体"/>
                      <w:sz w:val="21"/>
                    </w:rPr>
                    <w:t>1.10 具有色散补偿功能</w:t>
                  </w:r>
                </w:p>
                <w:p>
                  <w:pPr>
                    <w:pStyle w:val="null3"/>
                    <w:jc w:val="both"/>
                  </w:pPr>
                  <w:r>
                    <w:rPr>
                      <w:rFonts w:ascii="宋体" w:hAnsi="宋体" w:cs="宋体" w:eastAsia="宋体"/>
                      <w:sz w:val="21"/>
                    </w:rPr>
                    <w:t>2. 固定波长脉冲激光输出端口数：1个</w:t>
                  </w:r>
                </w:p>
                <w:p>
                  <w:pPr>
                    <w:pStyle w:val="null3"/>
                    <w:jc w:val="both"/>
                  </w:pPr>
                  <w:r>
                    <w:rPr>
                      <w:rFonts w:ascii="宋体" w:hAnsi="宋体" w:cs="宋体" w:eastAsia="宋体"/>
                      <w:sz w:val="21"/>
                    </w:rPr>
                    <w:t>2.1 波长：1040 nm ±10 nm；</w:t>
                  </w:r>
                </w:p>
                <w:p>
                  <w:pPr>
                    <w:pStyle w:val="null3"/>
                    <w:jc w:val="both"/>
                  </w:pPr>
                  <w:r>
                    <w:rPr>
                      <w:rFonts w:ascii="宋体" w:hAnsi="宋体" w:cs="宋体" w:eastAsia="宋体"/>
                      <w:sz w:val="21"/>
                    </w:rPr>
                    <w:t>2.2 平均输出功率：≥2.5W；</w:t>
                  </w:r>
                </w:p>
                <w:p>
                  <w:pPr>
                    <w:pStyle w:val="null3"/>
                    <w:jc w:val="both"/>
                  </w:pPr>
                  <w:r>
                    <w:rPr>
                      <w:rFonts w:ascii="宋体" w:hAnsi="宋体" w:cs="宋体" w:eastAsia="宋体"/>
                      <w:sz w:val="21"/>
                    </w:rPr>
                    <w:t>2.3 脉冲宽度：≤160fs；</w:t>
                  </w:r>
                </w:p>
                <w:p>
                  <w:pPr>
                    <w:pStyle w:val="null3"/>
                    <w:jc w:val="both"/>
                  </w:pPr>
                  <w:r>
                    <w:rPr>
                      <w:rFonts w:ascii="宋体" w:hAnsi="宋体" w:cs="宋体" w:eastAsia="宋体"/>
                      <w:sz w:val="21"/>
                    </w:rPr>
                    <w:t>2.4 重复频率：80±10 MHz；</w:t>
                  </w:r>
                </w:p>
                <w:p>
                  <w:pPr>
                    <w:pStyle w:val="null3"/>
                    <w:jc w:val="both"/>
                  </w:pPr>
                  <w:r>
                    <w:rPr>
                      <w:rFonts w:ascii="宋体" w:hAnsi="宋体" w:cs="宋体" w:eastAsia="宋体"/>
                      <w:sz w:val="21"/>
                    </w:rPr>
                    <w:t>2.5 M2因子：＜1.2；</w:t>
                  </w:r>
                </w:p>
                <w:p>
                  <w:pPr>
                    <w:pStyle w:val="null3"/>
                    <w:jc w:val="both"/>
                  </w:pPr>
                  <w:r>
                    <w:rPr>
                      <w:rFonts w:ascii="宋体" w:hAnsi="宋体" w:cs="宋体" w:eastAsia="宋体"/>
                      <w:sz w:val="21"/>
                    </w:rPr>
                    <w:t>2.6 光斑椭圆度：0.8-1.2；</w:t>
                  </w:r>
                </w:p>
                <w:p>
                  <w:pPr>
                    <w:pStyle w:val="null3"/>
                    <w:jc w:val="both"/>
                  </w:pPr>
                  <w:r>
                    <w:rPr>
                      <w:rFonts w:ascii="宋体" w:hAnsi="宋体" w:cs="宋体" w:eastAsia="宋体"/>
                      <w:sz w:val="21"/>
                    </w:rPr>
                    <w:t>2.7 功率稳定性：≤±1%</w:t>
                  </w:r>
                </w:p>
                <w:p>
                  <w:pPr>
                    <w:pStyle w:val="null3"/>
                    <w:jc w:val="both"/>
                  </w:pPr>
                  <w:r>
                    <w:rPr>
                      <w:rFonts w:ascii="宋体" w:hAnsi="宋体" w:cs="宋体" w:eastAsia="宋体"/>
                      <w:sz w:val="21"/>
                    </w:rPr>
                    <w:t>3. 激光器运行环境温度范围：15-35°C</w:t>
                  </w:r>
                </w:p>
                <w:p>
                  <w:pPr>
                    <w:pStyle w:val="null3"/>
                    <w:jc w:val="both"/>
                  </w:pPr>
                  <w:r>
                    <w:rPr>
                      <w:rFonts w:ascii="宋体" w:hAnsi="宋体" w:cs="宋体" w:eastAsia="宋体"/>
                      <w:sz w:val="21"/>
                    </w:rPr>
                    <w:t>4. 配备空气微循环器，控制激光腔的洁净度及相对湿度</w:t>
                  </w:r>
                </w:p>
                <w:p>
                  <w:pPr>
                    <w:pStyle w:val="null3"/>
                  </w:pPr>
                  <w:r>
                    <w:rPr>
                      <w:rFonts w:ascii="宋体" w:hAnsi="宋体" w:cs="宋体" w:eastAsia="宋体"/>
                      <w:sz w:val="20"/>
                      <w:b/>
                    </w:rPr>
                    <w:t>（</w:t>
                  </w:r>
                  <w:r>
                    <w:rPr>
                      <w:rFonts w:ascii="宋体" w:hAnsi="宋体" w:cs="宋体" w:eastAsia="宋体"/>
                      <w:sz w:val="20"/>
                      <w:b/>
                    </w:rPr>
                    <w:t>注：所有技术参数均须满足采购要求，不得负偏离，所有技术参数均须提供官方支撑材料，</w:t>
                  </w:r>
                  <w:r>
                    <w:rPr>
                      <w:rFonts w:ascii="宋体" w:hAnsi="宋体" w:cs="宋体" w:eastAsia="宋体"/>
                      <w:sz w:val="20"/>
                      <w:b/>
                    </w:rPr>
                    <w:t>不限于官网截图、产品彩页、技术白皮书等</w:t>
                  </w:r>
                  <w:r>
                    <w:rPr>
                      <w:rFonts w:ascii="宋体" w:hAnsi="宋体" w:cs="宋体" w:eastAsia="宋体"/>
                      <w:sz w:val="20"/>
                      <w:b/>
                    </w:rPr>
                    <w:t>任意一种</w:t>
                  </w:r>
                  <w:r>
                    <w:rPr>
                      <w:rFonts w:ascii="宋体" w:hAnsi="宋体" w:cs="宋体" w:eastAsia="宋体"/>
                      <w:sz w:val="20"/>
                      <w:b/>
                    </w:rPr>
                    <w:t>。）</w:t>
                  </w:r>
                </w:p>
              </w:tc>
            </w:tr>
          </w:tbl>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自合同签订之日起6个月内到货，7天内安装调试并交付使用；</w:t>
      </w:r>
    </w:p>
    <w:p>
      <w:pPr>
        <w:pStyle w:val="null3"/>
        <w:outlineLvl w:val="3"/>
      </w:pPr>
      <w:r>
        <w:rPr>
          <w:sz w:val="24"/>
          <w:b/>
        </w:rPr>
        <w:t>3.4.2交货地点和方式</w:t>
      </w:r>
    </w:p>
    <w:p>
      <w:pPr>
        <w:pStyle w:val="null3"/>
      </w:pPr>
      <w:r>
        <w:rPr/>
        <w:t>采购包1：</w:t>
      </w:r>
    </w:p>
    <w:p>
      <w:pPr>
        <w:pStyle w:val="null3"/>
      </w:pPr>
      <w:r>
        <w:rPr/>
        <w:t>西北大学光子学与光子技术研究所实验室</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 xml:space="preserve"> 【进口设备】：合同生效后，由甲方通过进出口业务代理公司向乙方开出100%信用证，待货物到货、安装调试、并经学校组织验收合格后，由甲方通知进出口业务代理公司向乙方解付； 【国产设备】：合同生效后，中标供应商开具合同金额等额银行保函，采购人收到银行保函正本后预付合同货款，待货物到达指定地点、安装调试验收合格后，采购人退还银行保函正本 </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sz w:val="24"/>
          <w:b/>
        </w:rPr>
        <w:t>3.4.6包装方式及运输</w:t>
      </w:r>
    </w:p>
    <w:p>
      <w:pPr>
        <w:pStyle w:val="null3"/>
      </w:pPr>
      <w:r>
        <w:rPr/>
        <w:t>采购包1：</w:t>
      </w:r>
    </w:p>
    <w:p>
      <w:pPr>
        <w:pStyle w:val="null3"/>
      </w:pPr>
      <w:r>
        <w:rPr/>
        <w:t>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sz w:val="24"/>
          <w:b/>
        </w:rPr>
        <w:t>3.4.7质量保修范围和保修期</w:t>
      </w:r>
    </w:p>
    <w:p>
      <w:pPr>
        <w:pStyle w:val="null3"/>
      </w:pPr>
      <w:r>
        <w:rPr/>
        <w:t>采购包1：</w:t>
      </w:r>
    </w:p>
    <w:p>
      <w:pPr>
        <w:pStyle w:val="null3"/>
      </w:pPr>
      <w:r>
        <w:rPr/>
        <w:t>1、质保期：自学校验收合格之日起1年；2、即时响应（包括电话响应）；电话响应无法解决时， 24 小时内到达现场，修复时间 8 小时内；如8小时内无法修复，应提供相应解决方案。</w:t>
      </w:r>
    </w:p>
    <w:p>
      <w:pPr>
        <w:pStyle w:val="null3"/>
        <w:outlineLvl w:val="3"/>
      </w:pPr>
      <w:r>
        <w:rPr>
          <w:sz w:val="24"/>
          <w:b/>
        </w:rPr>
        <w:t>3.4.8违约责任及解决争议的方法</w:t>
      </w:r>
    </w:p>
    <w:p>
      <w:pPr>
        <w:pStyle w:val="null3"/>
      </w:pPr>
      <w:r>
        <w:rPr/>
        <w:t>采购包1：</w:t>
      </w:r>
    </w:p>
    <w:p>
      <w:pPr>
        <w:pStyle w:val="null3"/>
      </w:pPr>
      <w:r>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sz w:val="24"/>
          <w:b/>
        </w:rPr>
        <w:t>3.5其他要求</w:t>
      </w:r>
    </w:p>
    <w:p>
      <w:pPr>
        <w:pStyle w:val="null3"/>
      </w:pPr>
      <w:r>
        <w:rPr/>
        <w:t>采购包1：</w:t>
      </w:r>
    </w:p>
    <w:p>
      <w:pPr>
        <w:pStyle w:val="null3"/>
      </w:pPr>
      <w:r>
        <w:rPr/>
        <w:t>响应报价包括但不限于以下费用：货物价值、安装调试费、国内外运杂费（含保险）、仓储保管费、技术培训费、检测费、施工费、人工费、进口业务相关费用（按合同金额的0.77%收取。包括外贸代理公司进口业务代理费、国内外银行手续费、报关费、商检费等）及进口货物按国家政策征收的一切税费（按国家政策规定甲方可以享受的免税部分除外）等。</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单位负责人为同一人或者存在直接控股、管理关系的不同供应商不得参加同一合同项下的政府采购活动；供应商需在项目电子化交易系统中按要求填写《响应函》完成承诺并进行电子签章。</w:t>
            </w:r>
          </w:p>
        </w:tc>
        <w:tc>
          <w:tcPr>
            <w:tcW w:type="dxa" w:w="1661"/>
          </w:tcPr>
          <w:p>
            <w:pPr>
              <w:pStyle w:val="null3"/>
            </w:pPr>
            <w:r>
              <w:rPr/>
              <w:t>资格证明文件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落实政府采购政策资格审查</w:t>
            </w:r>
          </w:p>
        </w:tc>
        <w:tc>
          <w:tcPr>
            <w:tcW w:type="dxa" w:w="3322"/>
          </w:tcPr>
          <w:p>
            <w:pPr>
              <w:pStyle w:val="null3"/>
            </w:pPr>
            <w:r>
              <w:rPr/>
              <w:t>（1）、《政府采购促进中小企业发展管理办法》的通知--财库[2020]46号、《关于进一步加大政府采购支持中小企业力度的通知》（财库【2022】19号）、《财政部司法部关于政府采购支持监狱企业发展有关问题的通知》（财库〔2014〕68号）、《财政部民政部中国残疾人联合会关于促进残疾人就业政府采购政策的通知》（财库〔2017〕141号）； （2）、《陕西省财政厅关于加快推进我省中小企业政府采购信用融资工作的通知》（陕财办采〔2020〕15号）、陕西省财政厅关于印发《陕西省中小企业政府采购信用融资办法》(陕财办采[2018]23号)； （3）、《国务院办公厅关于建立政府强制采购节能产品制度的通知》（国办发〔2007〕51号）、《财政部发展改革委生态环境部市场监督总局关于调整优化节能产品、环境标志产品政府采购执行机制的通知》（财库[2019]9号）、《关于印发环境标志产品政府采购品目清单的通知》（财库〔2019〕18号）、《关于印发节能产品政府采购品目清单的通知》（财库〔2019〕19号）、《市场监督总局关于发布参与实施政府采购节能产品、环境标志产品认证机构名录的公告》（2019年第16号）； （4）、《陕西省财政厅关于进一步加大政府采购支持中小企业力度的通知》（陕财办采〔2022〕5号）、《陕西省财政厅关于落实政府采购支持中小企业政策有关事项的通知》（陕财办采函〔2022〕10号） （5）、《财政部 农业农村部 国家乡村振兴局关于运用政府采购政策支持乡村产业振兴的通知》（财库〔2021〕19 号）、《财政部农业农村部国家乡村振兴局 中华全国供销合作总社关于印发&lt;关于深入开展政府采购脱贫地区农副产品工作推进乡村产业振兴的实施意见&gt;的通知》（财库〔2021〕20 号）、《财政部国务院扶贫办关于运用政府采购政策支持脱贫攻坚的通知》（财库〔2019〕27号）； （6）《关于进一步加强政府绿色采购有关问题的通知》（陕财办采〔2021〕29号）； （7）如有最新颁布的政府采购政策，按最新的文件执行。</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具有财务审计资质单位出具的2022年度或2023年度财务报告（成立时间至开标时间不足一年的可提供成立后任意时段的资产负债表）或开标前六个月内其基本账户银行出具的资信证明（附开户许可证或基本账户证明）或政府采购信用担保机构出具的投标担保函；</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提供2024年1月1日至今任意一个月已缴纳的纳税证明或完税证明（时间以税款所属日期为准）；（依法免税的供应商应提供相关文件证明）</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提供2024年1月1日至今任意一个月的社保缴费凭据或社保机构开具的社会保险参保缴费情况证明；（依法不需要缴纳社会保障资金的供应商应提供相关证明）</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具有履行本合同所必需的设备和专业技术能力的说明及承诺</w:t>
            </w:r>
          </w:p>
        </w:tc>
        <w:tc>
          <w:tcPr>
            <w:tcW w:type="dxa" w:w="3322"/>
          </w:tcPr>
          <w:p>
            <w:pPr>
              <w:pStyle w:val="null3"/>
            </w:pPr>
            <w:r>
              <w:rPr/>
              <w:t>提供具有履行本合同所必需的设备和专业技术能力的说明及承诺；（格式自拟，加盖供应商公章）</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参加政府采购活动前三年内在经营活动中没有重大违法记录的书面声明</w:t>
            </w:r>
          </w:p>
        </w:tc>
        <w:tc>
          <w:tcPr>
            <w:tcW w:type="dxa" w:w="3322"/>
          </w:tcPr>
          <w:p>
            <w:pPr>
              <w:pStyle w:val="null3"/>
            </w:pPr>
            <w:r>
              <w:rPr/>
              <w:t>提供参加政府采购活动前三年内在经营活动中没有重大违法记录的书面声明。（格式自拟，加盖供应商公章）</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法定代表人或负责人资格证明书</w:t>
            </w:r>
          </w:p>
        </w:tc>
        <w:tc>
          <w:tcPr>
            <w:tcW w:type="dxa" w:w="3322"/>
          </w:tcPr>
          <w:p>
            <w:pPr>
              <w:pStyle w:val="null3"/>
            </w:pPr>
            <w:r>
              <w:rPr/>
              <w:t>法定代表人或负责人参与投标时需提供法定代表人或负责人资格证明书（附法定代表人或负责人身份证复印件）；</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法定代表人或负责人授权委托书</w:t>
            </w:r>
          </w:p>
        </w:tc>
        <w:tc>
          <w:tcPr>
            <w:tcW w:type="dxa" w:w="3322"/>
          </w:tcPr>
          <w:p>
            <w:pPr>
              <w:pStyle w:val="null3"/>
            </w:pPr>
            <w:r>
              <w:rPr/>
              <w:t>被授权人参与投标时需提供法定代表人或负责人授权委托书（附法定代表人或负责人及被授权人身份证复印件）；</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谈判保证金交纳凭证或担保函</w:t>
            </w:r>
          </w:p>
        </w:tc>
        <w:tc>
          <w:tcPr>
            <w:tcW w:type="dxa" w:w="3322"/>
          </w:tcPr>
          <w:p>
            <w:pPr>
              <w:pStyle w:val="null3"/>
            </w:pPr>
            <w:r>
              <w:rPr/>
              <w:t>谈判保证金交纳凭证或担保函；（保证金交纳凭证复印件或担保函复印件加盖公章）</w:t>
            </w:r>
          </w:p>
        </w:tc>
        <w:tc>
          <w:tcPr>
            <w:tcW w:type="dxa" w:w="1661"/>
          </w:tcPr>
          <w:p>
            <w:pPr>
              <w:pStyle w:val="null3"/>
            </w:pPr>
            <w:r>
              <w:rPr/>
              <w:t>资格证明文件</w:t>
            </w:r>
          </w:p>
        </w:tc>
      </w:tr>
      <w:tr>
        <w:tc>
          <w:tcPr>
            <w:tcW w:type="dxa" w:w="831"/>
          </w:tcPr>
          <w:p>
            <w:pPr>
              <w:pStyle w:val="null3"/>
            </w:pPr>
            <w:r>
              <w:rPr/>
              <w:t>10</w:t>
            </w:r>
          </w:p>
        </w:tc>
        <w:tc>
          <w:tcPr>
            <w:tcW w:type="dxa" w:w="2492"/>
          </w:tcPr>
          <w:p>
            <w:pPr>
              <w:pStyle w:val="null3"/>
            </w:pPr>
            <w:r>
              <w:rPr/>
              <w:t>信用查询</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书面承诺函，格式自拟加盖供应商公章）</w:t>
            </w:r>
          </w:p>
        </w:tc>
        <w:tc>
          <w:tcPr>
            <w:tcW w:type="dxa" w:w="1661"/>
          </w:tcPr>
          <w:p>
            <w:pPr>
              <w:pStyle w:val="null3"/>
            </w:pPr>
            <w:r>
              <w:rPr/>
              <w:t>资格证明文件</w:t>
            </w:r>
          </w:p>
        </w:tc>
      </w:tr>
      <w:tr>
        <w:tc>
          <w:tcPr>
            <w:tcW w:type="dxa" w:w="831"/>
          </w:tcPr>
          <w:p>
            <w:pPr>
              <w:pStyle w:val="null3"/>
            </w:pPr>
            <w:r>
              <w:rPr/>
              <w:t>11</w:t>
            </w:r>
          </w:p>
        </w:tc>
        <w:tc>
          <w:tcPr>
            <w:tcW w:type="dxa" w:w="2492"/>
          </w:tcPr>
          <w:p>
            <w:pPr>
              <w:pStyle w:val="null3"/>
            </w:pPr>
            <w:r>
              <w:rPr/>
              <w:t>单位负责人为同一人或者存在直接控股、管理关系的不同供应商，不得参加同一合同项下的政府采购活动</w:t>
            </w:r>
          </w:p>
        </w:tc>
        <w:tc>
          <w:tcPr>
            <w:tcW w:type="dxa" w:w="3322"/>
          </w:tcPr>
          <w:p>
            <w:pPr>
              <w:pStyle w:val="null3"/>
            </w:pPr>
            <w:r>
              <w:rPr/>
              <w:t>单位负责人为同一人或者存在直接控股、管理关系的不同供应商，不得参加同一合同项下的政府采购活动；（提供书面承诺函，格式自拟加盖供应商公章）</w:t>
            </w:r>
          </w:p>
        </w:tc>
        <w:tc>
          <w:tcPr>
            <w:tcW w:type="dxa" w:w="1661"/>
          </w:tcPr>
          <w:p>
            <w:pPr>
              <w:pStyle w:val="null3"/>
            </w:pPr>
            <w:r>
              <w:rPr/>
              <w:t>资格证明文件</w:t>
            </w:r>
          </w:p>
        </w:tc>
      </w:tr>
      <w:tr>
        <w:tc>
          <w:tcPr>
            <w:tcW w:type="dxa" w:w="831"/>
          </w:tcPr>
          <w:p>
            <w:pPr>
              <w:pStyle w:val="null3"/>
            </w:pPr>
            <w:r>
              <w:rPr/>
              <w:t>12</w:t>
            </w:r>
          </w:p>
        </w:tc>
        <w:tc>
          <w:tcPr>
            <w:tcW w:type="dxa" w:w="2492"/>
          </w:tcPr>
          <w:p>
            <w:pPr>
              <w:pStyle w:val="null3"/>
            </w:pPr>
            <w:r>
              <w:rPr/>
              <w:t>本项目不接受联合体谈判</w:t>
            </w:r>
          </w:p>
        </w:tc>
        <w:tc>
          <w:tcPr>
            <w:tcW w:type="dxa" w:w="3322"/>
          </w:tcPr>
          <w:p>
            <w:pPr>
              <w:pStyle w:val="null3"/>
            </w:pPr>
            <w:r>
              <w:rPr/>
              <w:t>本项目不接受联合体谈判。（提供书面承诺函，格式自拟加盖供应商公章）</w:t>
            </w:r>
          </w:p>
        </w:tc>
        <w:tc>
          <w:tcPr>
            <w:tcW w:type="dxa" w:w="1661"/>
          </w:tcPr>
          <w:p>
            <w:pPr>
              <w:pStyle w:val="null3"/>
            </w:pPr>
            <w:r>
              <w:rPr/>
              <w:t>资格证明文件</w:t>
            </w:r>
          </w:p>
        </w:tc>
      </w:tr>
      <w:tr>
        <w:tc>
          <w:tcPr>
            <w:tcW w:type="dxa" w:w="831"/>
          </w:tcPr>
          <w:p>
            <w:pPr>
              <w:pStyle w:val="null3"/>
            </w:pPr>
            <w:r>
              <w:rPr/>
              <w:t>13</w:t>
            </w:r>
          </w:p>
        </w:tc>
        <w:tc>
          <w:tcPr>
            <w:tcW w:type="dxa" w:w="2492"/>
          </w:tcPr>
          <w:p>
            <w:pPr>
              <w:pStyle w:val="null3"/>
            </w:pPr>
            <w:r>
              <w:rPr/>
              <w:t>进口产品授权书</w:t>
            </w:r>
          </w:p>
        </w:tc>
        <w:tc>
          <w:tcPr>
            <w:tcW w:type="dxa" w:w="3322"/>
          </w:tcPr>
          <w:p>
            <w:pPr>
              <w:pStyle w:val="null3"/>
            </w:pPr>
            <w:r>
              <w:rPr/>
              <w:t>若所响应产品为进口产品的，供应商须提供产品厂家授权书或总代理商授权书或具有授权权限的供应商对所响应进口产品的授权书。（如提供总代理商授权的须同时提供具有有效授权权限的相关证明文件，证明文件需能显示产品制造厂家对所响应产品授权链条的完整性）</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t xml:space="preserve"> </w:t>
        <w:br/>
        <w:br w:type="page"/>
      </w:r>
    </w:p>
    <w:p>
      <w:pPr>
        <w:pStyle w:val="null3"/>
        <w:jc w:val="center"/>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谈判响应文件按谈判文件要求的数量、计量单位、报价货币及签字盖章</w:t>
            </w:r>
          </w:p>
        </w:tc>
        <w:tc>
          <w:tcPr>
            <w:tcW w:type="dxa" w:w="3322"/>
          </w:tcPr>
          <w:p>
            <w:pPr>
              <w:pStyle w:val="null3"/>
            </w:pPr>
            <w:r>
              <w:rPr/>
              <w:t>谈判响应文件按谈判文件要求的数量、计量单位、报价货币及签字盖章</w:t>
            </w:r>
          </w:p>
        </w:tc>
        <w:tc>
          <w:tcPr>
            <w:tcW w:type="dxa" w:w="1661"/>
          </w:tcPr>
          <w:p>
            <w:pPr>
              <w:pStyle w:val="null3"/>
            </w:pPr>
            <w:r>
              <w:rPr/>
              <w:t>标的清单 报价表 封面 供应商承诺书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分项报价表 业绩 标的清单 报价表 响应函</w:t>
            </w:r>
          </w:p>
        </w:tc>
      </w:tr>
      <w:tr>
        <w:tc>
          <w:tcPr>
            <w:tcW w:type="dxa" w:w="831"/>
          </w:tcPr>
          <w:p>
            <w:pPr>
              <w:pStyle w:val="null3"/>
            </w:pPr>
            <w:r>
              <w:rPr/>
              <w:t>3</w:t>
            </w:r>
          </w:p>
        </w:tc>
        <w:tc>
          <w:tcPr>
            <w:tcW w:type="dxa" w:w="2492"/>
          </w:tcPr>
          <w:p>
            <w:pPr>
              <w:pStyle w:val="null3"/>
            </w:pPr>
            <w:r>
              <w:rPr/>
              <w:t>有效期</w:t>
            </w:r>
          </w:p>
        </w:tc>
        <w:tc>
          <w:tcPr>
            <w:tcW w:type="dxa" w:w="3322"/>
          </w:tcPr>
          <w:p>
            <w:pPr>
              <w:pStyle w:val="null3"/>
            </w:pPr>
            <w:r>
              <w:rPr/>
              <w:t>谈判响应文件的有效期达到谈判文件要求</w:t>
            </w:r>
          </w:p>
        </w:tc>
        <w:tc>
          <w:tcPr>
            <w:tcW w:type="dxa" w:w="1661"/>
          </w:tcPr>
          <w:p>
            <w:pPr>
              <w:pStyle w:val="null3"/>
            </w:pPr>
            <w:r>
              <w:rPr/>
              <w:t>分项报价表 响应函</w:t>
            </w:r>
          </w:p>
        </w:tc>
      </w:tr>
      <w:tr>
        <w:tc>
          <w:tcPr>
            <w:tcW w:type="dxa" w:w="831"/>
          </w:tcPr>
          <w:p>
            <w:pPr>
              <w:pStyle w:val="null3"/>
            </w:pPr>
            <w:r>
              <w:rPr/>
              <w:t>4</w:t>
            </w:r>
          </w:p>
        </w:tc>
        <w:tc>
          <w:tcPr>
            <w:tcW w:type="dxa" w:w="2492"/>
          </w:tcPr>
          <w:p>
            <w:pPr>
              <w:pStyle w:val="null3"/>
            </w:pPr>
            <w:r>
              <w:rPr/>
              <w:t>其他实质性要求</w:t>
            </w:r>
          </w:p>
        </w:tc>
        <w:tc>
          <w:tcPr>
            <w:tcW w:type="dxa" w:w="3322"/>
          </w:tcPr>
          <w:p>
            <w:pPr>
              <w:pStyle w:val="null3"/>
            </w:pPr>
            <w:r>
              <w:rPr/>
              <w:t>符合法律、法规和谈判文件中规定的其他实质性要求</w:t>
            </w:r>
          </w:p>
        </w:tc>
        <w:tc>
          <w:tcPr>
            <w:tcW w:type="dxa" w:w="1661"/>
          </w:tcPr>
          <w:p>
            <w:pPr>
              <w:pStyle w:val="null3"/>
            </w:pPr>
            <w:r>
              <w:rPr/>
              <w:t>产品的技术文件 供应商认为需要提供的其他资料 分项报价表 售后服务 标的清单 报价表 项目实施方案 质量保证承诺 技术规格响应偏离表 商务条款响应偏离表</w:t>
            </w:r>
          </w:p>
        </w:tc>
      </w:tr>
    </w:tbl>
    <w:p>
      <w:pPr>
        <w:pStyle w:val="null3"/>
        <w:outlineLvl w:val="3"/>
      </w:pPr>
      <w:r>
        <w:rPr>
          <w:sz w:val="24"/>
          <w:b/>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outlineLvl w:val="3"/>
      </w:pPr>
      <w:r>
        <w:rPr>
          <w:sz w:val="24"/>
          <w:b/>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sz w:val="24"/>
          <w:b/>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sz w:val="24"/>
          <w:b/>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sz w:val="28"/>
          <w:b/>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详见附件：封面</w:t>
      </w:r>
    </w:p>
    <w:p>
      <w:pPr>
        <w:pStyle w:val="null3"/>
        <w:ind w:firstLine="960"/>
      </w:pPr>
      <w:r>
        <w:rPr/>
        <w:t>详见附件：响应函</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详见附件：商务条款响应偏离表</w:t>
      </w:r>
    </w:p>
    <w:p>
      <w:pPr>
        <w:pStyle w:val="null3"/>
        <w:ind w:firstLine="960"/>
      </w:pPr>
      <w:r>
        <w:rPr/>
        <w:t>详见附件：技术规格响应偏离表</w:t>
      </w:r>
    </w:p>
    <w:p>
      <w:pPr>
        <w:pStyle w:val="null3"/>
        <w:ind w:firstLine="960"/>
      </w:pPr>
      <w:r>
        <w:rPr/>
        <w:t>详见附件：资格证明文件</w:t>
      </w:r>
    </w:p>
    <w:p>
      <w:pPr>
        <w:pStyle w:val="null3"/>
        <w:ind w:firstLine="960"/>
      </w:pPr>
      <w:r>
        <w:rPr/>
        <w:t>详见附件：业绩</w:t>
      </w:r>
    </w:p>
    <w:p>
      <w:pPr>
        <w:pStyle w:val="null3"/>
        <w:ind w:firstLine="960"/>
      </w:pPr>
      <w:r>
        <w:rPr/>
        <w:t>详见附件：产品的技术文件</w:t>
      </w:r>
    </w:p>
    <w:p>
      <w:pPr>
        <w:pStyle w:val="null3"/>
        <w:ind w:firstLine="960"/>
      </w:pPr>
      <w:r>
        <w:rPr/>
        <w:t>详见附件：项目实施方案</w:t>
      </w:r>
    </w:p>
    <w:p>
      <w:pPr>
        <w:pStyle w:val="null3"/>
        <w:ind w:firstLine="960"/>
      </w:pPr>
      <w:r>
        <w:rPr/>
        <w:t>详见附件：质量保证承诺</w:t>
      </w:r>
    </w:p>
    <w:p>
      <w:pPr>
        <w:pStyle w:val="null3"/>
        <w:ind w:firstLine="960"/>
      </w:pPr>
      <w:r>
        <w:rPr/>
        <w:t>详见附件：售后服务</w:t>
      </w:r>
    </w:p>
    <w:p>
      <w:pPr>
        <w:pStyle w:val="null3"/>
        <w:ind w:firstLine="960"/>
      </w:pPr>
      <w:r>
        <w:rPr/>
        <w:t>详见附件：供应商认为需要提供的其他资料</w:t>
      </w:r>
    </w:p>
    <w:p>
      <w:pPr>
        <w:pStyle w:val="null3"/>
        <w:ind w:firstLine="960"/>
      </w:pPr>
      <w:r>
        <w:rPr/>
        <w:t>详见附件：供应商承诺书</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详见附件：合同范本.docx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