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9083F">
      <w:pPr>
        <w:spacing w:before="202" w:line="800" w:lineRule="exact"/>
        <w:jc w:val="center"/>
        <w:rPr>
          <w:rFonts w:hint="eastAsia" w:ascii="仿宋_GB2312" w:hAnsi="仿宋_GB2312" w:eastAsia="仿宋_GB2312" w:cs="仿宋_GB2312"/>
          <w:b/>
          <w:bCs/>
          <w:spacing w:val="-24"/>
          <w:sz w:val="96"/>
          <w:szCs w:val="96"/>
          <w:highlight w:val="none"/>
          <w:lang w:eastAsia="zh-CN"/>
        </w:rPr>
      </w:pPr>
      <w:bookmarkStart w:id="0" w:name="_Toc475451542"/>
      <w:bookmarkStart w:id="1" w:name="_Toc475451789"/>
    </w:p>
    <w:p w14:paraId="449AED2D">
      <w:pPr>
        <w:tabs>
          <w:tab w:val="left" w:pos="5670"/>
        </w:tabs>
        <w:spacing w:line="360" w:lineRule="auto"/>
        <w:ind w:firstLine="300"/>
        <w:outlineLvl w:val="0"/>
        <w:rPr>
          <w:rFonts w:ascii="宋体" w:hAnsi="宋体" w:cs="宋体"/>
          <w:b/>
          <w:bCs/>
          <w:sz w:val="32"/>
          <w:szCs w:val="32"/>
          <w:highlight w:val="none"/>
          <w:lang w:val="zh-CN" w:eastAsia="zh-CN"/>
        </w:rPr>
      </w:pPr>
      <w:bookmarkStart w:id="2" w:name="_Toc19752"/>
      <w:r>
        <w:rPr>
          <w:rFonts w:hint="eastAsia" w:ascii="宋体" w:hAnsi="宋体" w:cs="宋体"/>
          <w:b/>
          <w:bCs/>
          <w:sz w:val="32"/>
          <w:szCs w:val="32"/>
          <w:highlight w:val="none"/>
          <w:lang w:val="zh-CN" w:eastAsia="zh-CN"/>
        </w:rPr>
        <w:t>政府采购项目</w:t>
      </w:r>
      <w:bookmarkEnd w:id="2"/>
    </w:p>
    <w:p w14:paraId="025763B9">
      <w:pPr>
        <w:tabs>
          <w:tab w:val="left" w:pos="5670"/>
        </w:tabs>
        <w:spacing w:line="360" w:lineRule="auto"/>
        <w:ind w:firstLine="300"/>
        <w:outlineLvl w:val="0"/>
        <w:rPr>
          <w:rFonts w:ascii="宋体" w:hAnsi="宋体" w:cs="宋体"/>
          <w:b/>
          <w:bCs/>
          <w:sz w:val="32"/>
          <w:szCs w:val="32"/>
          <w:highlight w:val="none"/>
          <w:lang w:val="zh-CN" w:eastAsia="zh-CN"/>
        </w:rPr>
      </w:pPr>
      <w:bookmarkStart w:id="3" w:name="_Toc16489"/>
      <w:r>
        <w:rPr>
          <w:rFonts w:hint="eastAsia" w:ascii="宋体" w:hAnsi="宋体" w:cs="宋体"/>
          <w:b/>
          <w:bCs/>
          <w:sz w:val="32"/>
          <w:szCs w:val="32"/>
          <w:highlight w:val="none"/>
          <w:lang w:val="zh-CN" w:eastAsia="zh-CN"/>
        </w:rPr>
        <w:t>项目编号：</w:t>
      </w:r>
      <w:bookmarkEnd w:id="3"/>
      <w:r>
        <w:rPr>
          <w:rFonts w:hint="eastAsia" w:ascii="宋体" w:hAnsi="宋体" w:cs="宋体"/>
          <w:b/>
          <w:bCs/>
          <w:sz w:val="32"/>
          <w:szCs w:val="32"/>
          <w:highlight w:val="none"/>
          <w:lang w:val="zh-CN" w:eastAsia="zh-CN"/>
        </w:rPr>
        <w:t>SXHC2024-273</w:t>
      </w:r>
    </w:p>
    <w:p w14:paraId="4F04BADB">
      <w:pPr>
        <w:pStyle w:val="14"/>
        <w:rPr>
          <w:rFonts w:ascii="宋体" w:hAnsi="宋体" w:cs="宋体"/>
          <w:b/>
          <w:bCs/>
          <w:sz w:val="32"/>
          <w:szCs w:val="32"/>
          <w:highlight w:val="none"/>
          <w:lang w:val="zh-CN" w:eastAsia="zh-CN"/>
        </w:rPr>
      </w:pPr>
    </w:p>
    <w:p w14:paraId="1BAAFB6A">
      <w:pPr>
        <w:pStyle w:val="14"/>
        <w:rPr>
          <w:rFonts w:ascii="宋体" w:hAnsi="宋体" w:cs="宋体"/>
          <w:b/>
          <w:bCs/>
          <w:sz w:val="32"/>
          <w:szCs w:val="32"/>
          <w:highlight w:val="none"/>
          <w:lang w:val="zh-CN" w:eastAsia="zh-CN"/>
        </w:rPr>
      </w:pPr>
    </w:p>
    <w:p w14:paraId="62396926">
      <w:pPr>
        <w:spacing w:before="68" w:line="360" w:lineRule="auto"/>
        <w:jc w:val="center"/>
        <w:rPr>
          <w:rFonts w:ascii="宋体" w:hAnsi="宋体" w:cs="宋体"/>
          <w:b/>
          <w:bCs/>
          <w:sz w:val="44"/>
          <w:szCs w:val="44"/>
          <w:highlight w:val="none"/>
          <w:lang w:eastAsia="zh-CN"/>
        </w:rPr>
      </w:pPr>
    </w:p>
    <w:p w14:paraId="5DDF3842">
      <w:pPr>
        <w:spacing w:before="68" w:line="360" w:lineRule="auto"/>
        <w:jc w:val="center"/>
        <w:outlineLvl w:val="0"/>
        <w:rPr>
          <w:rFonts w:ascii="宋体" w:hAnsi="宋体" w:cs="宋体"/>
          <w:b/>
          <w:bCs/>
          <w:sz w:val="44"/>
          <w:szCs w:val="44"/>
          <w:highlight w:val="none"/>
          <w:lang w:eastAsia="zh-CN"/>
        </w:rPr>
      </w:pPr>
      <w:r>
        <w:rPr>
          <w:rFonts w:hint="eastAsia" w:ascii="宋体" w:hAnsi="宋体" w:cs="宋体"/>
          <w:b/>
          <w:bCs/>
          <w:sz w:val="44"/>
          <w:szCs w:val="44"/>
          <w:highlight w:val="none"/>
          <w:lang w:eastAsia="zh-CN"/>
        </w:rPr>
        <w:t>秦始皇帝陵博物院</w:t>
      </w:r>
    </w:p>
    <w:p w14:paraId="039811A6">
      <w:pPr>
        <w:spacing w:before="68" w:line="360" w:lineRule="auto"/>
        <w:jc w:val="center"/>
        <w:outlineLvl w:val="0"/>
        <w:rPr>
          <w:rFonts w:ascii="宋体" w:hAnsi="宋体" w:cs="宋体"/>
          <w:b/>
          <w:bCs/>
          <w:sz w:val="44"/>
          <w:szCs w:val="44"/>
          <w:highlight w:val="none"/>
          <w:lang w:eastAsia="zh-CN"/>
        </w:rPr>
      </w:pPr>
      <w:r>
        <w:rPr>
          <w:rFonts w:hint="eastAsia" w:ascii="宋体" w:hAnsi="宋体" w:cs="宋体"/>
          <w:b/>
          <w:bCs/>
          <w:sz w:val="44"/>
          <w:szCs w:val="44"/>
          <w:highlight w:val="none"/>
          <w:lang w:eastAsia="zh-CN"/>
        </w:rPr>
        <w:t>一号坑主展厅参观环境提升改造（</w:t>
      </w:r>
      <w:r>
        <w:rPr>
          <w:rFonts w:hint="eastAsia" w:ascii="宋体" w:hAnsi="宋体" w:cs="宋体"/>
          <w:b/>
          <w:bCs/>
          <w:sz w:val="44"/>
          <w:szCs w:val="44"/>
          <w:highlight w:val="none"/>
          <w:lang w:val="en-US" w:eastAsia="zh-CN"/>
        </w:rPr>
        <w:t>二次</w:t>
      </w:r>
      <w:r>
        <w:rPr>
          <w:rFonts w:hint="eastAsia" w:ascii="宋体" w:hAnsi="宋体" w:cs="宋体"/>
          <w:b/>
          <w:bCs/>
          <w:sz w:val="44"/>
          <w:szCs w:val="44"/>
          <w:highlight w:val="none"/>
          <w:lang w:eastAsia="zh-CN"/>
        </w:rPr>
        <w:t>）</w:t>
      </w:r>
    </w:p>
    <w:p w14:paraId="408955A4">
      <w:pPr>
        <w:rPr>
          <w:rFonts w:ascii="宋体" w:hAnsi="宋体" w:cs="宋体"/>
          <w:highlight w:val="none"/>
          <w:lang w:eastAsia="zh-CN"/>
        </w:rPr>
      </w:pPr>
    </w:p>
    <w:p w14:paraId="17A32F0E">
      <w:pPr>
        <w:spacing w:line="360" w:lineRule="auto"/>
        <w:jc w:val="center"/>
        <w:rPr>
          <w:rFonts w:hint="eastAsia" w:ascii="宋体" w:hAnsi="宋体" w:eastAsia="宋体" w:cs="宋体"/>
          <w:b/>
          <w:bCs/>
          <w:sz w:val="44"/>
          <w:szCs w:val="44"/>
          <w:highlight w:val="none"/>
          <w:lang w:eastAsia="zh-CN"/>
        </w:rPr>
      </w:pPr>
    </w:p>
    <w:p w14:paraId="199583A6">
      <w:pPr>
        <w:pStyle w:val="2"/>
        <w:rPr>
          <w:highlight w:val="none"/>
        </w:rPr>
      </w:pPr>
    </w:p>
    <w:p w14:paraId="4FA56A15">
      <w:pPr>
        <w:spacing w:line="360" w:lineRule="auto"/>
        <w:jc w:val="center"/>
        <w:rPr>
          <w:rFonts w:hint="eastAsia" w:ascii="宋体" w:hAnsi="宋体" w:eastAsia="宋体" w:cs="宋体"/>
          <w:b/>
          <w:bCs/>
          <w:sz w:val="44"/>
          <w:szCs w:val="44"/>
          <w:highlight w:val="none"/>
          <w:lang w:eastAsia="zh-CN"/>
        </w:rPr>
      </w:pPr>
      <w:r>
        <w:rPr>
          <w:rFonts w:hint="eastAsia" w:ascii="宋体" w:hAnsi="宋体" w:eastAsia="宋体" w:cs="宋体"/>
          <w:b/>
          <w:bCs/>
          <w:sz w:val="44"/>
          <w:szCs w:val="44"/>
          <w:highlight w:val="none"/>
          <w:lang w:eastAsia="zh-CN"/>
        </w:rPr>
        <w:t>招标文件</w:t>
      </w:r>
    </w:p>
    <w:p w14:paraId="446B4614">
      <w:pPr>
        <w:pStyle w:val="2"/>
        <w:rPr>
          <w:rFonts w:hint="eastAsia"/>
          <w:highlight w:val="none"/>
        </w:rPr>
      </w:pPr>
    </w:p>
    <w:p w14:paraId="797F8E24">
      <w:pPr>
        <w:pStyle w:val="2"/>
        <w:rPr>
          <w:rFonts w:hint="eastAsia"/>
          <w:highlight w:val="none"/>
        </w:rPr>
      </w:pPr>
    </w:p>
    <w:p w14:paraId="181F808A">
      <w:pPr>
        <w:pStyle w:val="2"/>
        <w:rPr>
          <w:rFonts w:hint="eastAsia"/>
          <w:highlight w:val="none"/>
        </w:rPr>
      </w:pPr>
    </w:p>
    <w:p w14:paraId="0EC849B5">
      <w:pPr>
        <w:pStyle w:val="2"/>
        <w:rPr>
          <w:rFonts w:hint="eastAsia"/>
          <w:highlight w:val="none"/>
        </w:rPr>
      </w:pPr>
    </w:p>
    <w:p w14:paraId="39C90143">
      <w:pPr>
        <w:rPr>
          <w:highlight w:val="none"/>
          <w:lang w:eastAsia="zh-CN"/>
        </w:rPr>
      </w:pPr>
    </w:p>
    <w:p w14:paraId="5CF9C416">
      <w:pPr>
        <w:pStyle w:val="2"/>
        <w:rPr>
          <w:rFonts w:hint="eastAsia"/>
          <w:highlight w:val="none"/>
        </w:rPr>
      </w:pPr>
    </w:p>
    <w:p w14:paraId="224BB6E7">
      <w:pPr>
        <w:pStyle w:val="2"/>
        <w:rPr>
          <w:rFonts w:hint="eastAsia"/>
          <w:highlight w:val="none"/>
        </w:rPr>
      </w:pPr>
    </w:p>
    <w:p w14:paraId="0FF69C5C">
      <w:pPr>
        <w:tabs>
          <w:tab w:val="left" w:pos="5670"/>
        </w:tabs>
        <w:spacing w:line="360" w:lineRule="auto"/>
        <w:ind w:firstLine="300"/>
        <w:jc w:val="center"/>
        <w:rPr>
          <w:rFonts w:ascii="宋体" w:hAnsi="宋体" w:cs="宋体"/>
          <w:b/>
          <w:bCs/>
          <w:sz w:val="32"/>
          <w:szCs w:val="32"/>
          <w:highlight w:val="none"/>
          <w:lang w:val="zh-CN" w:eastAsia="zh-CN"/>
        </w:rPr>
      </w:pPr>
      <w:r>
        <w:rPr>
          <w:rFonts w:hint="eastAsia" w:ascii="宋体" w:hAnsi="宋体" w:eastAsia="宋体" w:cs="宋体"/>
          <w:b/>
          <w:bCs/>
          <w:sz w:val="32"/>
          <w:szCs w:val="32"/>
          <w:highlight w:val="none"/>
          <w:lang w:val="zh-CN" w:eastAsia="zh-CN"/>
        </w:rPr>
        <w:t>秦</w:t>
      </w:r>
      <w:r>
        <w:rPr>
          <w:rFonts w:hint="eastAsia" w:ascii="宋体" w:hAnsi="宋体" w:cs="宋体"/>
          <w:b/>
          <w:bCs/>
          <w:sz w:val="32"/>
          <w:szCs w:val="32"/>
          <w:highlight w:val="none"/>
          <w:lang w:val="zh-CN" w:eastAsia="zh-CN"/>
        </w:rPr>
        <w:t>始皇帝陵博物院</w:t>
      </w:r>
    </w:p>
    <w:p w14:paraId="1061FB1C">
      <w:pPr>
        <w:tabs>
          <w:tab w:val="left" w:pos="5670"/>
        </w:tabs>
        <w:spacing w:line="360" w:lineRule="auto"/>
        <w:ind w:firstLine="300"/>
        <w:jc w:val="center"/>
        <w:outlineLvl w:val="0"/>
        <w:rPr>
          <w:rFonts w:ascii="宋体" w:hAnsi="宋体" w:cs="宋体"/>
          <w:b/>
          <w:bCs/>
          <w:sz w:val="32"/>
          <w:szCs w:val="32"/>
          <w:highlight w:val="none"/>
          <w:lang w:val="zh-CN" w:eastAsia="zh-CN"/>
        </w:rPr>
      </w:pPr>
      <w:bookmarkStart w:id="4" w:name="_Toc25783"/>
      <w:r>
        <w:rPr>
          <w:rFonts w:hint="eastAsia" w:ascii="宋体" w:hAnsi="宋体" w:cs="宋体"/>
          <w:b/>
          <w:bCs/>
          <w:sz w:val="32"/>
          <w:szCs w:val="32"/>
          <w:highlight w:val="none"/>
          <w:lang w:val="zh-CN" w:eastAsia="zh-CN"/>
        </w:rPr>
        <w:t>陕西华采招标有限公司共同编制</w:t>
      </w:r>
      <w:bookmarkEnd w:id="4"/>
    </w:p>
    <w:p w14:paraId="7AAA45EE">
      <w:pPr>
        <w:spacing w:line="320" w:lineRule="exact"/>
        <w:ind w:firstLine="2954" w:firstLineChars="800"/>
        <w:rPr>
          <w:rFonts w:hint="eastAsia" w:ascii="仿宋_GB2312" w:hAnsi="仿宋_GB2312" w:eastAsia="仿宋_GB2312" w:cs="仿宋_GB2312"/>
          <w:b/>
          <w:bCs/>
          <w:color w:val="auto"/>
          <w:spacing w:val="24"/>
          <w:sz w:val="32"/>
          <w:szCs w:val="32"/>
          <w:highlight w:val="none"/>
          <w:lang w:eastAsia="zh-CN"/>
        </w:rPr>
      </w:pPr>
    </w:p>
    <w:bookmarkEnd w:id="0"/>
    <w:bookmarkEnd w:id="1"/>
    <w:p w14:paraId="0BDB0C7C">
      <w:pPr>
        <w:tabs>
          <w:tab w:val="left" w:pos="5670"/>
        </w:tabs>
        <w:spacing w:line="360" w:lineRule="auto"/>
        <w:ind w:firstLine="300"/>
        <w:jc w:val="center"/>
        <w:rPr>
          <w:rFonts w:ascii="宋体" w:hAnsi="宋体" w:cs="宋体"/>
          <w:b/>
          <w:bCs/>
          <w:sz w:val="32"/>
          <w:szCs w:val="32"/>
          <w:highlight w:val="none"/>
          <w:lang w:eastAsia="zh-CN"/>
        </w:rPr>
      </w:pPr>
      <w:r>
        <w:rPr>
          <w:rFonts w:hint="eastAsia" w:ascii="宋体" w:hAnsi="宋体" w:cs="宋体"/>
          <w:b/>
          <w:bCs/>
          <w:sz w:val="32"/>
          <w:szCs w:val="32"/>
          <w:highlight w:val="none"/>
          <w:lang w:eastAsia="zh-CN"/>
        </w:rPr>
        <w:t>2024</w:t>
      </w:r>
      <w:r>
        <w:rPr>
          <w:rFonts w:hint="eastAsia" w:ascii="宋体" w:hAnsi="宋体" w:cs="宋体"/>
          <w:b/>
          <w:bCs/>
          <w:sz w:val="32"/>
          <w:szCs w:val="32"/>
          <w:highlight w:val="none"/>
          <w:lang w:val="zh-CN" w:eastAsia="zh-CN"/>
        </w:rPr>
        <w:t>年</w:t>
      </w:r>
      <w:r>
        <w:rPr>
          <w:rFonts w:hint="eastAsia" w:ascii="宋体" w:hAnsi="宋体" w:cs="宋体"/>
          <w:b/>
          <w:bCs/>
          <w:sz w:val="32"/>
          <w:szCs w:val="32"/>
          <w:highlight w:val="none"/>
          <w:lang w:eastAsia="zh-CN"/>
        </w:rPr>
        <w:t>1</w:t>
      </w:r>
      <w:r>
        <w:rPr>
          <w:rFonts w:hint="eastAsia" w:ascii="宋体" w:hAnsi="宋体" w:cs="宋体"/>
          <w:b/>
          <w:bCs/>
          <w:sz w:val="32"/>
          <w:szCs w:val="32"/>
          <w:highlight w:val="none"/>
          <w:lang w:val="en-US" w:eastAsia="zh-CN"/>
        </w:rPr>
        <w:t>2</w:t>
      </w:r>
      <w:r>
        <w:rPr>
          <w:rFonts w:hint="eastAsia" w:ascii="宋体" w:hAnsi="宋体" w:cs="宋体"/>
          <w:b/>
          <w:bCs/>
          <w:sz w:val="32"/>
          <w:szCs w:val="32"/>
          <w:highlight w:val="none"/>
          <w:lang w:eastAsia="zh-CN"/>
        </w:rPr>
        <w:t>月</w:t>
      </w:r>
    </w:p>
    <w:sdt>
      <w:sdtPr>
        <w:rPr>
          <w:rFonts w:ascii="宋体" w:hAnsi="宋体" w:eastAsia="宋体"/>
          <w:highlight w:val="none"/>
        </w:rPr>
        <w:id w:val="147473190"/>
        <w15:color w:val="DBDBDB"/>
        <w:docPartObj>
          <w:docPartGallery w:val="Table of Contents"/>
          <w:docPartUnique/>
        </w:docPartObj>
      </w:sdtPr>
      <w:sdtEndPr>
        <w:rPr>
          <w:rFonts w:ascii="Calibri" w:hAnsi="Calibri" w:eastAsia="Calibri" w:cs="Calibri"/>
          <w:szCs w:val="28"/>
          <w:highlight w:val="none"/>
        </w:rPr>
      </w:sdtEndPr>
      <w:sdtContent>
        <w:p w14:paraId="4109E88C">
          <w:pPr>
            <w:jc w:val="center"/>
            <w:rPr>
              <w:rFonts w:hint="eastAsia" w:ascii="宋体" w:hAnsi="宋体" w:eastAsia="宋体"/>
              <w:highlight w:val="none"/>
            </w:rPr>
          </w:pPr>
        </w:p>
        <w:p w14:paraId="7BB2C7CF">
          <w:pPr>
            <w:rPr>
              <w:rFonts w:hint="eastAsia" w:ascii="宋体" w:hAnsi="宋体" w:eastAsia="宋体"/>
              <w:highlight w:val="none"/>
            </w:rPr>
          </w:pPr>
          <w:r>
            <w:rPr>
              <w:rFonts w:ascii="宋体" w:hAnsi="宋体" w:eastAsia="宋体"/>
              <w:highlight w:val="none"/>
            </w:rPr>
            <w:br w:type="page"/>
          </w:r>
        </w:p>
        <w:p w14:paraId="37889BDF">
          <w:pPr>
            <w:jc w:val="center"/>
            <w:rPr>
              <w:rFonts w:hint="eastAsia" w:ascii="宋体" w:hAnsi="宋体" w:eastAsia="宋体" w:cs="宋体"/>
              <w:b/>
              <w:bCs/>
              <w:sz w:val="36"/>
              <w:szCs w:val="36"/>
              <w:highlight w:val="none"/>
            </w:rPr>
          </w:pPr>
        </w:p>
        <w:p w14:paraId="21527349">
          <w:pPr>
            <w:jc w:val="center"/>
            <w:rPr>
              <w:rFonts w:hint="eastAsia" w:ascii="宋体" w:hAnsi="宋体" w:eastAsia="宋体" w:cs="宋体"/>
              <w:b/>
              <w:bCs/>
              <w:sz w:val="36"/>
              <w:szCs w:val="36"/>
              <w:highlight w:val="none"/>
            </w:rPr>
          </w:pPr>
        </w:p>
        <w:p w14:paraId="4EC0EF9C">
          <w:pPr>
            <w:jc w:val="center"/>
            <w:rPr>
              <w:rFonts w:hint="eastAsia" w:ascii="宋体" w:hAnsi="宋体" w:eastAsia="宋体" w:cs="宋体"/>
              <w:b/>
              <w:bCs/>
              <w:sz w:val="36"/>
              <w:szCs w:val="36"/>
              <w:highlight w:val="none"/>
            </w:rPr>
          </w:pPr>
        </w:p>
        <w:p w14:paraId="5015D089">
          <w:pPr>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目</w:t>
          </w:r>
          <w:r>
            <w:rPr>
              <w:rFonts w:hint="eastAsia" w:ascii="宋体" w:hAnsi="宋体" w:eastAsia="宋体" w:cs="宋体"/>
              <w:b/>
              <w:bCs/>
              <w:sz w:val="36"/>
              <w:szCs w:val="36"/>
              <w:highlight w:val="none"/>
              <w:lang w:eastAsia="zh-CN"/>
            </w:rPr>
            <w:t xml:space="preserve">   </w:t>
          </w:r>
          <w:r>
            <w:rPr>
              <w:rFonts w:hint="eastAsia" w:ascii="宋体" w:hAnsi="宋体" w:eastAsia="宋体" w:cs="宋体"/>
              <w:b/>
              <w:bCs/>
              <w:sz w:val="36"/>
              <w:szCs w:val="36"/>
              <w:highlight w:val="none"/>
            </w:rPr>
            <w:t>录</w:t>
          </w:r>
        </w:p>
        <w:p w14:paraId="33ACE5AC">
          <w:pPr>
            <w:pStyle w:val="28"/>
            <w:tabs>
              <w:tab w:val="right" w:leader="dot" w:pos="9252"/>
            </w:tabs>
            <w:rPr>
              <w:highlight w:val="none"/>
            </w:rPr>
          </w:pPr>
          <w:r>
            <w:rPr>
              <w:rFonts w:ascii="Calibri" w:hAnsi="Calibri" w:eastAsia="Calibri" w:cs="Calibri"/>
              <w:sz w:val="28"/>
              <w:szCs w:val="28"/>
              <w:highlight w:val="none"/>
            </w:rPr>
            <w:fldChar w:fldCharType="begin"/>
          </w:r>
          <w:r>
            <w:rPr>
              <w:rFonts w:ascii="Calibri" w:hAnsi="Calibri" w:eastAsia="Calibri" w:cs="Calibri"/>
              <w:sz w:val="28"/>
              <w:szCs w:val="28"/>
              <w:highlight w:val="none"/>
            </w:rPr>
            <w:instrText xml:space="preserve">TOC \o "1-3" \h \u </w:instrText>
          </w:r>
          <w:r>
            <w:rPr>
              <w:rFonts w:ascii="Calibri" w:hAnsi="Calibri" w:eastAsia="Calibri" w:cs="Calibri"/>
              <w:sz w:val="28"/>
              <w:szCs w:val="28"/>
              <w:highlight w:val="none"/>
            </w:rPr>
            <w:fldChar w:fldCharType="separate"/>
          </w:r>
        </w:p>
        <w:p w14:paraId="405F10CF">
          <w:pPr>
            <w:pStyle w:val="28"/>
            <w:tabs>
              <w:tab w:val="right" w:leader="dot" w:pos="9252"/>
            </w:tabs>
            <w:spacing w:line="360" w:lineRule="auto"/>
            <w:rPr>
              <w:highlight w:val="none"/>
            </w:rPr>
          </w:pPr>
          <w:r>
            <w:rPr>
              <w:highlight w:val="none"/>
            </w:rPr>
            <w:fldChar w:fldCharType="begin"/>
          </w:r>
          <w:r>
            <w:rPr>
              <w:highlight w:val="none"/>
            </w:rPr>
            <w:instrText xml:space="preserve"> HYPERLINK \l "_Toc5850" </w:instrText>
          </w:r>
          <w:r>
            <w:rPr>
              <w:highlight w:val="none"/>
            </w:rPr>
            <w:fldChar w:fldCharType="separate"/>
          </w:r>
          <w:r>
            <w:rPr>
              <w:rFonts w:ascii="宋体" w:hAnsi="宋体" w:cs="宋体"/>
              <w:spacing w:val="8"/>
              <w:szCs w:val="36"/>
              <w:highlight w:val="none"/>
              <w14:textOutline w14:w="6540" w14:cap="sq" w14:cmpd="sng" w14:algn="ctr">
                <w14:solidFill>
                  <w14:srgbClr w14:val="121212"/>
                </w14:solidFill>
                <w14:prstDash w14:val="solid"/>
                <w14:bevel/>
              </w14:textOutline>
            </w:rPr>
            <w:t>第一章</w:t>
          </w:r>
          <w:r>
            <w:rPr>
              <w:rFonts w:ascii="宋体" w:hAnsi="宋体" w:cs="宋体"/>
              <w:spacing w:val="8"/>
              <w:szCs w:val="36"/>
              <w:highlight w:val="none"/>
            </w:rPr>
            <w:t xml:space="preserve">  </w:t>
          </w:r>
          <w:r>
            <w:rPr>
              <w:rFonts w:ascii="宋体" w:hAnsi="宋体" w:cs="宋体"/>
              <w:spacing w:val="8"/>
              <w:szCs w:val="36"/>
              <w:highlight w:val="none"/>
              <w14:textOutline w14:w="6540" w14:cap="sq" w14:cmpd="sng" w14:algn="ctr">
                <w14:solidFill>
                  <w14:srgbClr w14:val="121212"/>
                </w14:solidFill>
                <w14:prstDash w14:val="solid"/>
                <w14:bevel/>
              </w14:textOutline>
            </w:rPr>
            <w:t>投标邀请</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_Toc5850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58D1258F">
          <w:pPr>
            <w:pStyle w:val="28"/>
            <w:tabs>
              <w:tab w:val="right" w:leader="dot" w:pos="9252"/>
            </w:tabs>
            <w:spacing w:line="360" w:lineRule="auto"/>
            <w:rPr>
              <w:highlight w:val="none"/>
            </w:rPr>
          </w:pPr>
          <w:r>
            <w:rPr>
              <w:highlight w:val="none"/>
            </w:rPr>
            <w:fldChar w:fldCharType="begin"/>
          </w:r>
          <w:r>
            <w:rPr>
              <w:highlight w:val="none"/>
            </w:rPr>
            <w:instrText xml:space="preserve"> HYPERLINK \l "_Toc16192" </w:instrText>
          </w:r>
          <w:r>
            <w:rPr>
              <w:highlight w:val="none"/>
            </w:rPr>
            <w:fldChar w:fldCharType="separate"/>
          </w:r>
          <w:r>
            <w:rPr>
              <w:rFonts w:hint="eastAsia" w:ascii="宋体" w:hAnsi="宋体" w:cs="宋体"/>
              <w:spacing w:val="8"/>
              <w:szCs w:val="36"/>
              <w:highlight w:val="none"/>
              <w14:textOutline w14:w="6540" w14:cap="sq" w14:cmpd="sng" w14:algn="ctr">
                <w14:solidFill>
                  <w14:srgbClr w14:val="121212"/>
                </w14:solidFill>
                <w14:prstDash w14:val="solid"/>
                <w14:bevel/>
              </w14:textOutline>
            </w:rPr>
            <w:t>第二章  投标人须知</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_Toc16192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5</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7890C167">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"_Toc9295"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2.1 投标人须知前附表</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_Toc9295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5</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1E9944C5">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"_Toc2618"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2.2 总则</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_Toc2618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9</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57644D62">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"_Toc18705"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2.3 招标文件</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_Toc18705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9</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30FC2C13">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"_Toc24475"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2.4 投标文件</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_Toc24475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10</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2B7CE862">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"_Toc10295"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2.5 开标、资格审查、评标和中标</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_Toc10295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12</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706BB2BC">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"_Toc31166"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2.6 签订及履行合同和验收</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_Toc31166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13</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6AA66D02">
          <w:pPr>
            <w:pStyle w:val="29"/>
            <w:tabs>
              <w:tab w:val="right" w:leader="dot" w:pos="9252"/>
            </w:tabs>
            <w:spacing w:line="360" w:lineRule="auto"/>
            <w:ind w:left="420"/>
            <w:rPr>
              <w:rFonts w:hint="eastAsia" w:ascii="仿宋" w:hAnsi="仿宋" w:eastAsia="仿宋" w:cs="仿宋"/>
              <w:spacing w:val="6"/>
              <w:highlight w:val="none"/>
              <w14:textOutline w14:w="5791" w14:cap="sq" w14:cmpd="sng" w14:algn="ctr">
                <w14:solidFill>
                  <w14:srgbClr w14:val="000000"/>
                </w14:solidFill>
                <w14:prstDash w14:val="solid"/>
                <w14:bevel/>
              </w14:textOutline>
            </w:rPr>
          </w:pPr>
          <w:r>
            <w:rPr>
              <w:highlight w:val="none"/>
            </w:rPr>
            <w:fldChar w:fldCharType="begin"/>
          </w:r>
          <w:r>
            <w:rPr>
              <w:highlight w:val="none"/>
            </w:rPr>
            <w:instrText xml:space="preserve"> HYPERLINK \l "_Toc2577"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2.7 纪律要求</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_Toc2577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14</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46732363">
          <w:pPr>
            <w:pStyle w:val="29"/>
            <w:tabs>
              <w:tab w:val="right" w:leader="dot" w:pos="9252"/>
            </w:tabs>
            <w:spacing w:line="360" w:lineRule="auto"/>
            <w:ind w:left="420"/>
            <w:rPr>
              <w:highlight w:val="none"/>
            </w:rPr>
          </w:pPr>
          <w:r>
            <w:rPr>
              <w:highlight w:val="none"/>
            </w:rPr>
            <w:fldChar w:fldCharType="begin"/>
          </w:r>
          <w:r>
            <w:rPr>
              <w:highlight w:val="none"/>
            </w:rPr>
            <w:instrText xml:space="preserve"> HYPERLINK \l "_Toc13979" </w:instrText>
          </w:r>
          <w:r>
            <w:rPr>
              <w:highlight w:val="no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2.8 询问、质疑和投诉</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_Toc13979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15</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30D1ECA1">
          <w:pPr>
            <w:pStyle w:val="28"/>
            <w:tabs>
              <w:tab w:val="right" w:leader="dot" w:pos="9252"/>
            </w:tabs>
            <w:spacing w:line="360" w:lineRule="auto"/>
            <w:rPr>
              <w:highlight w:val="none"/>
            </w:rPr>
          </w:pPr>
          <w:r>
            <w:rPr>
              <w:highlight w:val="none"/>
            </w:rPr>
            <w:fldChar w:fldCharType="begin"/>
          </w:r>
          <w:r>
            <w:rPr>
              <w:highlight w:val="none"/>
            </w:rPr>
            <w:instrText xml:space="preserve"> HYPERLINK \l "_Toc20330" </w:instrText>
          </w:r>
          <w:r>
            <w:rPr>
              <w:highlight w:val="none"/>
            </w:rPr>
            <w:fldChar w:fldCharType="separate"/>
          </w:r>
          <w:r>
            <w:rPr>
              <w:rFonts w:hint="eastAsia" w:ascii="宋体" w:hAnsi="宋体" w:cs="宋体"/>
              <w:spacing w:val="8"/>
              <w:szCs w:val="36"/>
              <w:highlight w:val="none"/>
              <w14:textOutline w14:w="6540" w14:cap="sq" w14:cmpd="sng" w14:algn="ctr">
                <w14:solidFill>
                  <w14:srgbClr w14:val="121212"/>
                </w14:solidFill>
                <w14:prstDash w14:val="solid"/>
                <w14:bevel/>
              </w14:textOutline>
            </w:rPr>
            <w:t>第三章 招标内容及要求</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_Toc20330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17</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7202757D">
          <w:pPr>
            <w:pStyle w:val="28"/>
            <w:tabs>
              <w:tab w:val="right" w:leader="dot" w:pos="9252"/>
            </w:tabs>
            <w:spacing w:line="360" w:lineRule="auto"/>
            <w:rPr>
              <w:highlight w:val="none"/>
            </w:rPr>
          </w:pPr>
          <w:r>
            <w:rPr>
              <w:highlight w:val="none"/>
            </w:rPr>
            <w:fldChar w:fldCharType="begin"/>
          </w:r>
          <w:r>
            <w:rPr>
              <w:highlight w:val="none"/>
            </w:rPr>
            <w:instrText xml:space="preserve"> HYPERLINK \l "_Toc21342" </w:instrText>
          </w:r>
          <w:r>
            <w:rPr>
              <w:highlight w:val="none"/>
            </w:rPr>
            <w:fldChar w:fldCharType="separate"/>
          </w:r>
          <w:r>
            <w:rPr>
              <w:rFonts w:hint="eastAsia" w:ascii="宋体" w:hAnsi="宋体" w:cs="宋体"/>
              <w:spacing w:val="8"/>
              <w:szCs w:val="36"/>
              <w:highlight w:val="none"/>
              <w14:textOutline w14:w="6540" w14:cap="sq" w14:cmpd="sng" w14:algn="ctr">
                <w14:solidFill>
                  <w14:srgbClr w14:val="121212"/>
                </w14:solidFill>
                <w14:prstDash w14:val="solid"/>
                <w14:bevel/>
              </w14:textOutline>
            </w:rPr>
            <w:t>第四章 资格审查</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_Toc21342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20</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553C392F">
          <w:pPr>
            <w:pStyle w:val="28"/>
            <w:tabs>
              <w:tab w:val="right" w:leader="dot" w:pos="9252"/>
            </w:tabs>
            <w:spacing w:line="360" w:lineRule="auto"/>
            <w:rPr>
              <w:highlight w:val="none"/>
            </w:rPr>
          </w:pPr>
          <w:r>
            <w:rPr>
              <w:highlight w:val="none"/>
            </w:rPr>
            <w:fldChar w:fldCharType="begin"/>
          </w:r>
          <w:r>
            <w:rPr>
              <w:highlight w:val="none"/>
            </w:rPr>
            <w:instrText xml:space="preserve"> HYPERLINK \l "_Toc24948" </w:instrText>
          </w:r>
          <w:r>
            <w:rPr>
              <w:highlight w:val="none"/>
            </w:rPr>
            <w:fldChar w:fldCharType="separate"/>
          </w:r>
          <w:r>
            <w:rPr>
              <w:rFonts w:hint="eastAsia" w:ascii="宋体" w:hAnsi="宋体" w:cs="宋体"/>
              <w:spacing w:val="8"/>
              <w:szCs w:val="36"/>
              <w:highlight w:val="none"/>
              <w14:textOutline w14:w="6540" w14:cap="sq" w14:cmpd="sng" w14:algn="ctr">
                <w14:solidFill>
                  <w14:srgbClr w14:val="121212"/>
                </w14:solidFill>
                <w14:prstDash w14:val="solid"/>
                <w14:bevel/>
              </w14:textOutline>
            </w:rPr>
            <w:t>第五章 评标办法</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_Toc24948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22</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134ECA74">
          <w:pPr>
            <w:pStyle w:val="28"/>
            <w:tabs>
              <w:tab w:val="right" w:leader="dot" w:pos="9252"/>
            </w:tabs>
            <w:spacing w:line="360" w:lineRule="auto"/>
            <w:rPr>
              <w:highlight w:val="none"/>
            </w:rPr>
          </w:pPr>
          <w:r>
            <w:rPr>
              <w:highlight w:val="none"/>
            </w:rPr>
            <w:fldChar w:fldCharType="begin"/>
          </w:r>
          <w:r>
            <w:rPr>
              <w:highlight w:val="none"/>
            </w:rPr>
            <w:instrText xml:space="preserve"> HYPERLINK \l "_Toc13157" </w:instrText>
          </w:r>
          <w:r>
            <w:rPr>
              <w:highlight w:val="none"/>
            </w:rPr>
            <w:fldChar w:fldCharType="separate"/>
          </w:r>
          <w:r>
            <w:rPr>
              <w:rFonts w:ascii="宋体" w:hAnsi="宋体" w:cs="宋体"/>
              <w:spacing w:val="8"/>
              <w:szCs w:val="36"/>
              <w:highlight w:val="none"/>
              <w14:textOutline w14:w="6540" w14:cap="sq" w14:cmpd="sng" w14:algn="ctr">
                <w14:solidFill>
                  <w14:srgbClr w14:val="121212"/>
                </w14:solidFill>
                <w14:prstDash w14:val="solid"/>
                <w14:bevel/>
              </w14:textOutline>
            </w:rPr>
            <w:t>第</w:t>
          </w:r>
          <w:r>
            <w:rPr>
              <w:rFonts w:hint="eastAsia" w:ascii="宋体" w:hAnsi="宋体" w:cs="宋体"/>
              <w:spacing w:val="8"/>
              <w:szCs w:val="36"/>
              <w:highlight w:val="none"/>
              <w14:textOutline w14:w="6540" w14:cap="sq" w14:cmpd="sng" w14:algn="ctr">
                <w14:solidFill>
                  <w14:srgbClr w14:val="121212"/>
                </w14:solidFill>
                <w14:prstDash w14:val="solid"/>
                <w14:bevel/>
              </w14:textOutline>
            </w:rPr>
            <w:t>六</w:t>
          </w:r>
          <w:r>
            <w:rPr>
              <w:rFonts w:ascii="宋体" w:hAnsi="宋体" w:cs="宋体"/>
              <w:spacing w:val="8"/>
              <w:szCs w:val="36"/>
              <w:highlight w:val="none"/>
              <w14:textOutline w14:w="6540" w14:cap="sq" w14:cmpd="sng" w14:algn="ctr">
                <w14:solidFill>
                  <w14:srgbClr w14:val="121212"/>
                </w14:solidFill>
                <w14:prstDash w14:val="solid"/>
                <w14:bevel/>
              </w14:textOutline>
            </w:rPr>
            <w:t>章 拟签订合同文本</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_Toc13157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32</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543CBAA8">
          <w:pPr>
            <w:pStyle w:val="28"/>
            <w:tabs>
              <w:tab w:val="right" w:leader="dot" w:pos="9252"/>
            </w:tabs>
            <w:spacing w:line="360" w:lineRule="auto"/>
            <w:rPr>
              <w:highlight w:val="none"/>
            </w:rPr>
          </w:pPr>
          <w:r>
            <w:rPr>
              <w:highlight w:val="none"/>
            </w:rPr>
            <w:fldChar w:fldCharType="begin"/>
          </w:r>
          <w:r>
            <w:rPr>
              <w:highlight w:val="none"/>
            </w:rPr>
            <w:instrText xml:space="preserve"> HYPERLINK \l "_Toc11367" </w:instrText>
          </w:r>
          <w:r>
            <w:rPr>
              <w:highlight w:val="none"/>
            </w:rPr>
            <w:fldChar w:fldCharType="separate"/>
          </w:r>
          <w:r>
            <w:rPr>
              <w:rFonts w:ascii="宋体" w:hAnsi="宋体" w:cs="宋体"/>
              <w:spacing w:val="8"/>
              <w:szCs w:val="36"/>
              <w:highlight w:val="none"/>
              <w14:textOutline w14:w="6540" w14:cap="sq" w14:cmpd="sng" w14:algn="ctr">
                <w14:solidFill>
                  <w14:srgbClr w14:val="121212"/>
                </w14:solidFill>
                <w14:prstDash w14:val="solid"/>
                <w14:bevel/>
              </w14:textOutline>
            </w:rPr>
            <w:t>第</w:t>
          </w:r>
          <w:r>
            <w:rPr>
              <w:rFonts w:hint="eastAsia" w:ascii="宋体" w:hAnsi="宋体" w:cs="宋体"/>
              <w:spacing w:val="8"/>
              <w:szCs w:val="36"/>
              <w:highlight w:val="none"/>
              <w14:textOutline w14:w="6540" w14:cap="sq" w14:cmpd="sng" w14:algn="ctr">
                <w14:solidFill>
                  <w14:srgbClr w14:val="121212"/>
                </w14:solidFill>
                <w14:prstDash w14:val="solid"/>
                <w14:bevel/>
              </w14:textOutline>
            </w:rPr>
            <w:t>七</w:t>
          </w:r>
          <w:r>
            <w:rPr>
              <w:rFonts w:ascii="宋体" w:hAnsi="宋体" w:cs="宋体"/>
              <w:spacing w:val="8"/>
              <w:szCs w:val="36"/>
              <w:highlight w:val="none"/>
              <w14:textOutline w14:w="6540" w14:cap="sq" w14:cmpd="sng" w14:algn="ctr">
                <w14:solidFill>
                  <w14:srgbClr w14:val="121212"/>
                </w14:solidFill>
                <w14:prstDash w14:val="solid"/>
                <w14:bevel/>
              </w14:textOutline>
            </w:rPr>
            <w:t>章 投标文件格式</w:t>
          </w:r>
          <w:r>
            <w:rPr>
              <w:highlight w:val="none"/>
            </w:rPr>
            <w:tab/>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begin"/>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instrText xml:space="preserve"> PAGEREF _Toc11367 \h </w:instrTex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separate"/>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t>57</w:t>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r>
            <w:rPr>
              <w:rFonts w:hint="eastAsia" w:ascii="仿宋" w:hAnsi="仿宋" w:eastAsia="仿宋" w:cs="仿宋"/>
              <w:spacing w:val="6"/>
              <w:highlight w:val="none"/>
              <w14:textOutline w14:w="5791" w14:cap="sq" w14:cmpd="sng" w14:algn="ctr">
                <w14:solidFill>
                  <w14:srgbClr w14:val="000000"/>
                </w14:solidFill>
                <w14:prstDash w14:val="solid"/>
                <w14:bevel/>
              </w14:textOutline>
            </w:rPr>
            <w:fldChar w:fldCharType="end"/>
          </w:r>
        </w:p>
        <w:p w14:paraId="50BBCCFB">
          <w:pPr>
            <w:spacing w:line="219" w:lineRule="auto"/>
            <w:rPr>
              <w:rFonts w:ascii="Calibri" w:hAnsi="Calibri" w:eastAsia="Calibri" w:cs="Calibri"/>
              <w:sz w:val="28"/>
              <w:szCs w:val="28"/>
              <w:highlight w:val="none"/>
            </w:rPr>
            <w:sectPr>
              <w:footerReference r:id="rId3" w:type="default"/>
              <w:pgSz w:w="11900" w:h="16839"/>
              <w:pgMar w:top="1406" w:right="1242" w:bottom="896" w:left="1406" w:header="0" w:footer="731" w:gutter="0"/>
              <w:cols w:space="0" w:num="1"/>
            </w:sectPr>
          </w:pPr>
          <w:r>
            <w:rPr>
              <w:rFonts w:ascii="Calibri" w:hAnsi="Calibri" w:eastAsia="Calibri" w:cs="Calibri"/>
              <w:szCs w:val="28"/>
              <w:highlight w:val="none"/>
            </w:rPr>
            <w:fldChar w:fldCharType="end"/>
          </w:r>
        </w:p>
      </w:sdtContent>
    </w:sdt>
    <w:p w14:paraId="07ABE189">
      <w:pPr>
        <w:spacing w:before="71" w:line="224" w:lineRule="auto"/>
        <w:jc w:val="center"/>
        <w:outlineLvl w:val="0"/>
        <w:rPr>
          <w:rFonts w:hint="eastAsia" w:ascii="宋体" w:hAnsi="宋体" w:eastAsia="宋体" w:cs="宋体"/>
          <w:sz w:val="36"/>
          <w:szCs w:val="36"/>
          <w:highlight w:val="none"/>
          <w:lang w:eastAsia="zh-CN"/>
        </w:rPr>
      </w:pPr>
      <w:bookmarkStart w:id="5" w:name="_Toc5850"/>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第一章</w:t>
      </w:r>
      <w:r>
        <w:rPr>
          <w:rFonts w:ascii="宋体" w:hAnsi="宋体" w:eastAsia="宋体" w:cs="宋体"/>
          <w:color w:val="121212"/>
          <w:spacing w:val="8"/>
          <w:sz w:val="36"/>
          <w:szCs w:val="36"/>
          <w:highlight w:val="none"/>
          <w:lang w:eastAsia="zh-CN"/>
        </w:rPr>
        <w:t xml:space="preserve">  </w:t>
      </w:r>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投标邀请</w:t>
      </w:r>
      <w:bookmarkEnd w:id="5"/>
    </w:p>
    <w:p w14:paraId="018285F2">
      <w:pPr>
        <w:pStyle w:val="2"/>
        <w:rPr>
          <w:highlight w:val="none"/>
        </w:rPr>
      </w:pPr>
    </w:p>
    <w:p w14:paraId="59FC0992">
      <w:pPr>
        <w:pStyle w:val="2"/>
        <w:rPr>
          <w:highlight w:val="none"/>
        </w:rPr>
      </w:pPr>
    </w:p>
    <w:p w14:paraId="5CD712D2">
      <w:pPr>
        <w:pStyle w:val="17"/>
        <w:widowControl w:val="0"/>
        <w:kinsoku/>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陕西华采招标有限公司（以下简称“代理机构”）受秦始皇帝陵博物院委托，拟对秦始皇帝陵博物院一号坑主展厅参观环境提升改造（二次）采用公开招标采购方式进行采购，兹邀请投标人参加本项目的公开招标。</w:t>
      </w:r>
    </w:p>
    <w:p w14:paraId="444E630E">
      <w:pPr>
        <w:pStyle w:val="17"/>
        <w:widowControl w:val="0"/>
        <w:kinsoku/>
        <w:autoSpaceDE/>
        <w:autoSpaceDN/>
        <w:spacing w:before="0" w:beforeAutospacing="0" w:after="0" w:afterAutospacing="0" w:line="360" w:lineRule="auto"/>
        <w:ind w:firstLine="482" w:firstLineChars="200"/>
        <w:textAlignment w:val="auto"/>
        <w:rPr>
          <w:rFonts w:hint="eastAsia" w:ascii="仿宋" w:hAnsi="仿宋" w:eastAsia="仿宋" w:cs="仿宋"/>
          <w:b/>
          <w:bCs/>
          <w:snapToGrid/>
          <w:color w:val="auto"/>
          <w:highlight w:val="none"/>
          <w:lang w:eastAsia="zh-CN"/>
        </w:rPr>
      </w:pPr>
      <w:r>
        <w:rPr>
          <w:rFonts w:hint="eastAsia" w:ascii="仿宋" w:hAnsi="仿宋" w:eastAsia="仿宋" w:cs="仿宋"/>
          <w:b/>
          <w:bCs/>
          <w:snapToGrid/>
          <w:color w:val="auto"/>
          <w:highlight w:val="none"/>
          <w:lang w:eastAsia="zh-CN"/>
        </w:rPr>
        <w:t>一、项目编号：SXHC2024-273</w:t>
      </w:r>
    </w:p>
    <w:p w14:paraId="78006C1B">
      <w:pPr>
        <w:pStyle w:val="17"/>
        <w:widowControl w:val="0"/>
        <w:kinsoku/>
        <w:autoSpaceDE/>
        <w:autoSpaceDN/>
        <w:spacing w:before="0" w:beforeAutospacing="0" w:after="0" w:afterAutospacing="0" w:line="360" w:lineRule="auto"/>
        <w:ind w:firstLine="482" w:firstLineChars="200"/>
        <w:textAlignment w:val="auto"/>
        <w:rPr>
          <w:rFonts w:hint="eastAsia" w:ascii="仿宋" w:hAnsi="仿宋" w:eastAsia="仿宋" w:cs="仿宋"/>
          <w:b/>
          <w:bCs/>
          <w:snapToGrid/>
          <w:color w:val="auto"/>
          <w:highlight w:val="yellow"/>
          <w:lang w:eastAsia="zh-CN"/>
        </w:rPr>
      </w:pPr>
      <w:r>
        <w:rPr>
          <w:rFonts w:hint="eastAsia" w:ascii="仿宋" w:hAnsi="仿宋" w:eastAsia="仿宋" w:cs="仿宋"/>
          <w:b/>
          <w:bCs/>
          <w:snapToGrid/>
          <w:color w:val="auto"/>
          <w:highlight w:val="none"/>
          <w:lang w:eastAsia="zh-CN"/>
        </w:rPr>
        <w:t>二、项目名称：秦始皇帝陵博物院一号坑主展厅参观环境提升改造（二次）</w:t>
      </w:r>
    </w:p>
    <w:p w14:paraId="0D48016A">
      <w:pPr>
        <w:pStyle w:val="17"/>
        <w:widowControl w:val="0"/>
        <w:kinsoku/>
        <w:autoSpaceDE/>
        <w:autoSpaceDN/>
        <w:spacing w:before="0" w:beforeAutospacing="0" w:after="0" w:afterAutospacing="0" w:line="360" w:lineRule="auto"/>
        <w:ind w:firstLine="482" w:firstLineChars="200"/>
        <w:textAlignment w:val="auto"/>
        <w:rPr>
          <w:rFonts w:hint="eastAsia" w:ascii="仿宋" w:hAnsi="仿宋" w:eastAsia="仿宋" w:cs="仿宋"/>
          <w:b/>
          <w:bCs/>
          <w:snapToGrid/>
          <w:color w:val="auto"/>
          <w:highlight w:val="none"/>
          <w:lang w:eastAsia="zh-CN"/>
        </w:rPr>
      </w:pPr>
      <w:r>
        <w:rPr>
          <w:rFonts w:hint="eastAsia" w:ascii="仿宋" w:hAnsi="仿宋" w:eastAsia="仿宋" w:cs="仿宋"/>
          <w:b/>
          <w:bCs/>
          <w:snapToGrid/>
          <w:color w:val="auto"/>
          <w:highlight w:val="none"/>
          <w:lang w:eastAsia="zh-CN"/>
        </w:rPr>
        <w:t>三、招标项目简介</w:t>
      </w:r>
    </w:p>
    <w:p w14:paraId="24D11F61">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秦始皇帝陵博物院一号坑主展厅参观环境提升改造（二次）约 1951.4㎡，包括更换门窗、地面找平、地面装修、墙柱面装修，参观通道栏杆扶手。</w:t>
      </w:r>
    </w:p>
    <w:p w14:paraId="37AC6334">
      <w:pPr>
        <w:pStyle w:val="17"/>
        <w:widowControl w:val="0"/>
        <w:kinsoku/>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bookmarkStart w:id="6" w:name="_Toc16217"/>
      <w:r>
        <w:rPr>
          <w:rFonts w:hint="eastAsia" w:ascii="仿宋" w:hAnsi="仿宋" w:eastAsia="仿宋" w:cs="仿宋"/>
          <w:b/>
          <w:bCs/>
          <w:snapToGrid/>
          <w:color w:val="auto"/>
          <w:highlight w:val="none"/>
          <w:lang w:eastAsia="zh-CN"/>
        </w:rPr>
        <w:t>四、邀请投标人</w:t>
      </w:r>
      <w:bookmarkEnd w:id="6"/>
    </w:p>
    <w:p w14:paraId="56EAD23A">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本次采购采取公告征集邀请的投标人。</w:t>
      </w:r>
    </w:p>
    <w:p w14:paraId="55051E97">
      <w:pPr>
        <w:pStyle w:val="17"/>
        <w:widowControl w:val="0"/>
        <w:kinsoku/>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公告征集：本次公开招标在“ 陕西省政府采购网（www.ccgp-shaanxi.gov.cn）”上以公告形式发布，兹邀请符合本次采购要求的投标人参加本项目的公开招标。</w:t>
      </w:r>
    </w:p>
    <w:p w14:paraId="13AB4325">
      <w:pPr>
        <w:pStyle w:val="17"/>
        <w:widowControl w:val="0"/>
        <w:kinsoku/>
        <w:autoSpaceDE/>
        <w:autoSpaceDN/>
        <w:spacing w:before="0" w:beforeAutospacing="0" w:after="0" w:afterAutospacing="0" w:line="360" w:lineRule="auto"/>
        <w:ind w:firstLine="482" w:firstLineChars="200"/>
        <w:textAlignment w:val="auto"/>
        <w:outlineLvl w:val="1"/>
        <w:rPr>
          <w:rFonts w:hint="eastAsia" w:ascii="仿宋" w:hAnsi="仿宋" w:eastAsia="仿宋" w:cs="仿宋"/>
          <w:snapToGrid/>
          <w:color w:val="auto"/>
          <w:highlight w:val="none"/>
          <w:lang w:eastAsia="zh-CN"/>
        </w:rPr>
      </w:pPr>
      <w:bookmarkStart w:id="7" w:name="_Toc9177"/>
      <w:r>
        <w:rPr>
          <w:rFonts w:hint="eastAsia" w:ascii="仿宋" w:hAnsi="仿宋" w:eastAsia="仿宋" w:cs="仿宋"/>
          <w:b/>
          <w:bCs/>
          <w:snapToGrid/>
          <w:color w:val="auto"/>
          <w:highlight w:val="none"/>
          <w:lang w:eastAsia="zh-CN"/>
        </w:rPr>
        <w:t>五、投标人参加本次政府采购活动应具备的条件</w:t>
      </w:r>
      <w:bookmarkEnd w:id="7"/>
    </w:p>
    <w:p w14:paraId="7F6D3490">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（一）满足《中华人民共和国政府采购法》第二十二条规定；</w:t>
      </w:r>
    </w:p>
    <w:p w14:paraId="2086C7D2">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（二）落实政府采购政策需满足的资格要求：</w:t>
      </w:r>
    </w:p>
    <w:p w14:paraId="707C2505">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执行政府采购促进中小企业发展的相关政策：</w:t>
      </w:r>
    </w:p>
    <w:p w14:paraId="41730CC3">
      <w:pPr>
        <w:pStyle w:val="17"/>
        <w:widowControl w:val="0"/>
        <w:kinsoku/>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采购包1（秦始皇帝陵博物院一号坑主展厅参观环境提升改造（二次））：属于专门面向中小企业采购。</w:t>
      </w:r>
    </w:p>
    <w:p w14:paraId="266014E8">
      <w:pPr>
        <w:pStyle w:val="17"/>
        <w:widowControl w:val="0"/>
        <w:kinsoku/>
        <w:autoSpaceDE/>
        <w:autoSpaceDN/>
        <w:spacing w:before="0" w:beforeAutospacing="0" w:after="0" w:afterAutospacing="0" w:line="360" w:lineRule="auto"/>
        <w:ind w:firstLine="480" w:firstLineChars="200"/>
        <w:textAlignment w:val="auto"/>
        <w:outlineLvl w:val="2"/>
        <w:rPr>
          <w:rFonts w:hint="eastAsia" w:ascii="仿宋" w:hAnsi="仿宋" w:eastAsia="仿宋" w:cs="仿宋"/>
          <w:snapToGrid/>
          <w:color w:val="auto"/>
          <w:highlight w:val="none"/>
          <w:lang w:eastAsia="zh-CN"/>
        </w:rPr>
      </w:pPr>
      <w:bookmarkStart w:id="8" w:name="_Toc19543"/>
      <w:r>
        <w:rPr>
          <w:rFonts w:hint="eastAsia" w:ascii="仿宋" w:hAnsi="仿宋" w:eastAsia="仿宋" w:cs="仿宋"/>
          <w:snapToGrid/>
          <w:color w:val="auto"/>
          <w:highlight w:val="none"/>
          <w:lang w:eastAsia="zh-CN"/>
        </w:rPr>
        <w:t>（三）本项目的特定资格要求：</w:t>
      </w:r>
      <w:bookmarkEnd w:id="8"/>
    </w:p>
    <w:p w14:paraId="2A3D89B3">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1、具有独立承担民事责任能力：企业法人应提供标识有统一社会信用代码的营业执照；事业法人应提供事业单位法人证书；其他组织应提供合法登记证明文件，自然人提供身份证；</w:t>
      </w:r>
    </w:p>
    <w:p w14:paraId="2B61BC28">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2、施工资质要求：投标人具有建设行政主管部门颁发的建筑工程施工总承包三级及以上资质，且具有合法有效的安全生产许可证；</w:t>
      </w:r>
    </w:p>
    <w:p w14:paraId="16EF8729">
      <w:pPr>
        <w:pStyle w:val="17"/>
        <w:widowControl w:val="0"/>
        <w:kinsoku/>
        <w:autoSpaceDE/>
        <w:autoSpaceDN/>
        <w:spacing w:before="0" w:beforeAutospacing="0" w:after="0" w:afterAutospacing="0" w:line="360" w:lineRule="auto"/>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 xml:space="preserve">    3、拟派施工项目经理资质和专业要求：须具有本单位注册的建筑工程专业二级及以上注册建造师证书及有效的安全生产考核合格证书（B证），且无在建工程（提供承诺书)；</w:t>
      </w:r>
    </w:p>
    <w:p w14:paraId="105E286B">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4、</w:t>
      </w:r>
      <w:bookmarkStart w:id="9" w:name="_Toc16657"/>
      <w:r>
        <w:rPr>
          <w:rFonts w:hint="eastAsia" w:ascii="仿宋" w:hAnsi="仿宋" w:eastAsia="仿宋" w:cs="仿宋"/>
          <w:snapToGrid/>
          <w:color w:val="auto"/>
          <w:highlight w:val="none"/>
          <w:lang w:eastAsia="zh-CN"/>
        </w:rPr>
        <w:t>投标人关联关系声明，包括：①控股管理关系（不得与参加本项目的其他供应商单位负责人为同一人或者存在直接控股、管理关系），②未为本项目提供整体设计、规范编制或者项目管理、监理、检测等服务；</w:t>
      </w:r>
    </w:p>
    <w:p w14:paraId="79512EB3">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5、信誉要求：</w:t>
      </w:r>
    </w:p>
    <w:p w14:paraId="1CD56FE1">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①投标人“全国建筑市场监管公共服务平台”可查询且无不良记录。</w:t>
      </w:r>
    </w:p>
    <w:p w14:paraId="3C6FC495">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②投标人未被“信用中国”网站（www.creditchina.gov.cn）列入失信被执行人和重大税收违法失信主体，未被中国政府采购网（www.ccgp.gov.cn）列入政府采购严重违法失信行为记录名单。</w:t>
      </w:r>
    </w:p>
    <w:p w14:paraId="119A6E45">
      <w:pPr>
        <w:pStyle w:val="17"/>
        <w:widowControl w:val="0"/>
        <w:kinsoku/>
        <w:wordWrap w:val="0"/>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r>
        <w:rPr>
          <w:rFonts w:hint="eastAsia" w:ascii="仿宋" w:hAnsi="仿宋" w:eastAsia="仿宋" w:cs="仿宋"/>
          <w:b/>
          <w:bCs/>
          <w:snapToGrid/>
          <w:color w:val="auto"/>
          <w:highlight w:val="none"/>
          <w:lang w:eastAsia="zh-CN"/>
        </w:rPr>
        <w:t>六、 电子化采购相关事项</w:t>
      </w:r>
      <w:bookmarkEnd w:id="9"/>
    </w:p>
    <w:p w14:paraId="0D11B47F">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本项目实行电子化采购，使用的电子化交易系统为：陕西省政府采购综合管理平台的项目电子化交易系统（以下简称“项目电子化交易系统”），登录方式及地址：通过陕西省政府采购网（http://www.ccgp-shaanxi.gov.cn/）首页投标人用户登录陕西省政府采购综合管理平台（以下简称“政府采购平台”），进入项目电子化交易系统。投标人应当按照以下要求，参与本次电子化采购活动。</w:t>
      </w:r>
    </w:p>
    <w:p w14:paraId="34AECE52">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(一)投标人应当自行在陕西省政府采购网-服务专区查看相应的系统操作指南，并严格按照操作指南要求进行系统操作。</w:t>
      </w:r>
    </w:p>
    <w:p w14:paraId="5EFEBB57">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在登录、使用政府采购平台前，应当按照要求完成供应商注册和信息完善，加入政府采购平台供应商库。</w:t>
      </w:r>
    </w:p>
    <w:p w14:paraId="31998890">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二)投标人应当使用纳入陕西省政府采购综合管理平台数字证书互认范围的数字证书及签章（以下简称“互认的证书及签章”）进行系统操作。投标人使用互认的证书及签章登录政府采购平台进行的一切操作和资料传递，以及加盖电子签章确认采购过程中制作、交换的电子数据，均属于投标人真实意思表示，由投标人对其系统操作行为和电子签章确认的事项承担法律责任。</w:t>
      </w:r>
    </w:p>
    <w:p w14:paraId="161FC834">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已办理互认的证书及签章的投标人，校验互认的证书及签章有效性后，即可按照系统操作要求进行身份信息绑定、权限设置和系统操作；未办理互认的证书及签章的投标人，按要求办理互认的证书及签章并校验有效性后，按照系统操作要求进行身份信息绑定、权限设置和系统操作。互认的证书及签章的办理与校验，可查看陕西省政府采购网-服务专区-CA及签章服务。</w:t>
      </w:r>
    </w:p>
    <w:p w14:paraId="5E1719BA">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投标人应当加强互认的证书及签章日常校验和妥善保管，确保在参加采购活动期间互认的证书及签章能够正常使用；投标人应当严格互认的证书及签章的内部授权管理，防止非授权操作。</w:t>
      </w:r>
    </w:p>
    <w:p w14:paraId="5B8330F3">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（三）投标人应当自行准备电子化采购所需的计算机终端、软硬件及网络环境，承担因准备不足产生的不利后果。</w:t>
      </w:r>
    </w:p>
    <w:p w14:paraId="53742F58">
      <w:pPr>
        <w:pStyle w:val="17"/>
        <w:widowControl w:val="0"/>
        <w:kinsoku/>
        <w:wordWrap w:val="0"/>
        <w:autoSpaceDE/>
        <w:autoSpaceDN/>
        <w:spacing w:before="0" w:beforeAutospacing="0" w:after="0" w:afterAutospacing="0" w:line="360" w:lineRule="auto"/>
        <w:ind w:firstLine="480" w:firstLineChars="200"/>
        <w:textAlignment w:val="auto"/>
        <w:outlineLvl w:val="2"/>
        <w:rPr>
          <w:rFonts w:hint="eastAsia" w:ascii="仿宋" w:hAnsi="仿宋" w:eastAsia="仿宋" w:cs="仿宋"/>
          <w:snapToGrid/>
          <w:color w:val="auto"/>
          <w:highlight w:val="none"/>
          <w:lang w:eastAsia="zh-CN"/>
        </w:rPr>
      </w:pPr>
      <w:bookmarkStart w:id="10" w:name="_Toc1972"/>
      <w:r>
        <w:rPr>
          <w:rFonts w:hint="eastAsia" w:ascii="仿宋" w:hAnsi="仿宋" w:eastAsia="仿宋" w:cs="仿宋"/>
          <w:snapToGrid/>
          <w:color w:val="auto"/>
          <w:highlight w:val="none"/>
          <w:lang w:eastAsia="zh-CN"/>
        </w:rPr>
        <w:t>（四）政府采购平台技术支持：</w:t>
      </w:r>
      <w:bookmarkEnd w:id="10"/>
    </w:p>
    <w:p w14:paraId="25AC81B5">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在线客服：通过陕西省政府采购网-在线客服进行咨询</w:t>
      </w:r>
    </w:p>
    <w:p w14:paraId="6CB7A799">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技术服务电话：029-96702</w:t>
      </w:r>
    </w:p>
    <w:p w14:paraId="77C2755B">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CA及签章服务：通过陕西省政府采购网-服务专区-CA及签章服务进行查询</w:t>
      </w:r>
    </w:p>
    <w:p w14:paraId="4B246696">
      <w:pPr>
        <w:pStyle w:val="17"/>
        <w:widowControl w:val="0"/>
        <w:kinsoku/>
        <w:wordWrap w:val="0"/>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bookmarkStart w:id="11" w:name="_Toc14088"/>
      <w:r>
        <w:rPr>
          <w:rFonts w:hint="eastAsia" w:ascii="仿宋" w:hAnsi="仿宋" w:eastAsia="仿宋" w:cs="仿宋"/>
          <w:b/>
          <w:bCs/>
          <w:snapToGrid/>
          <w:color w:val="auto"/>
          <w:highlight w:val="none"/>
          <w:lang w:eastAsia="zh-CN"/>
        </w:rPr>
        <w:t>七、公开招标文件获取时间、方式及地址</w:t>
      </w:r>
      <w:bookmarkEnd w:id="11"/>
    </w:p>
    <w:p w14:paraId="0703CC0D">
      <w:pPr>
        <w:pStyle w:val="17"/>
        <w:widowControl w:val="0"/>
        <w:kinsoku/>
        <w:wordWrap w:val="0"/>
        <w:autoSpaceDE/>
        <w:autoSpaceDN/>
        <w:spacing w:before="0" w:beforeAutospacing="0" w:after="0" w:afterAutospacing="0" w:line="360" w:lineRule="auto"/>
        <w:ind w:firstLine="480" w:firstLineChars="200"/>
        <w:textAlignment w:val="auto"/>
        <w:outlineLvl w:val="2"/>
        <w:rPr>
          <w:rFonts w:hint="eastAsia" w:ascii="仿宋" w:hAnsi="仿宋" w:eastAsia="仿宋" w:cs="仿宋"/>
          <w:snapToGrid/>
          <w:color w:val="auto"/>
          <w:highlight w:val="none"/>
          <w:lang w:eastAsia="zh-CN"/>
        </w:rPr>
      </w:pPr>
      <w:bookmarkStart w:id="12" w:name="_Toc2626"/>
      <w:r>
        <w:rPr>
          <w:rFonts w:hint="eastAsia" w:ascii="仿宋" w:hAnsi="仿宋" w:eastAsia="仿宋" w:cs="仿宋"/>
          <w:snapToGrid/>
          <w:color w:val="auto"/>
          <w:highlight w:val="none"/>
          <w:lang w:eastAsia="zh-CN"/>
        </w:rPr>
        <w:t>（一）招标文件获取时间：详见本项目招标公告。</w:t>
      </w:r>
      <w:bookmarkEnd w:id="12"/>
    </w:p>
    <w:p w14:paraId="15AAF0C2">
      <w:pPr>
        <w:pStyle w:val="17"/>
        <w:widowControl w:val="0"/>
        <w:kinsoku/>
        <w:wordWrap w:val="0"/>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二）在招标文件获取开始时间前，采购人或代理机构将本项目招标文件上传至项目电子化交易系统，向投标人提供。投标人通过项目电子化交易系统获取招标文件。成功获取招标文件的，投标人将收到已获取招标文件的回执函。未成功获取招标文件的投标人，不得参与本次采购活动，不得对招标文件提起质疑。</w:t>
      </w:r>
    </w:p>
    <w:p w14:paraId="37839E0A">
      <w:pPr>
        <w:pStyle w:val="17"/>
        <w:widowControl w:val="0"/>
        <w:kinsoku/>
        <w:wordWrap w:val="0"/>
        <w:topLinePunct/>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成功获取招标文件后，采购人或代理机构进行澄清或者修改的，澄清或者修改的内容可能影响响应文件编制的，采购人或代理机构将通过项目电子化交易系统发布澄清或者修改后的招标文件，投标人应当重新获取招标文件；澄清或者修改后的招标文件发布日期距提交投标文件截止日期不足15日的，采购人或代理机构顺延提交响应文件的截止时间。投标人未重新获取招标文件或者未按照澄清或者修改后的招标文件编制响应文件进行响应的，自行承担不利后果。</w:t>
      </w:r>
    </w:p>
    <w:p w14:paraId="66AFAEB8">
      <w:pPr>
        <w:pStyle w:val="17"/>
        <w:widowControl w:val="0"/>
        <w:kinsoku/>
        <w:wordWrap w:val="0"/>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注：获取的招标文件主体格式包括pdf、word两种格式版本，其中以pdf格式为准。</w:t>
      </w:r>
    </w:p>
    <w:p w14:paraId="3BA49364">
      <w:pPr>
        <w:pStyle w:val="17"/>
        <w:widowControl w:val="0"/>
        <w:kinsoku/>
        <w:wordWrap w:val="0"/>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bookmarkStart w:id="13" w:name="_Toc27681"/>
      <w:r>
        <w:rPr>
          <w:rFonts w:hint="eastAsia" w:ascii="仿宋" w:hAnsi="仿宋" w:eastAsia="仿宋" w:cs="仿宋"/>
          <w:b/>
          <w:bCs/>
          <w:snapToGrid/>
          <w:color w:val="auto"/>
          <w:highlight w:val="none"/>
          <w:lang w:eastAsia="zh-CN"/>
        </w:rPr>
        <w:t>八、首次投标文件提交截止时间及开启时间、地点、方式</w:t>
      </w:r>
      <w:bookmarkEnd w:id="13"/>
    </w:p>
    <w:p w14:paraId="7700F643">
      <w:pPr>
        <w:pStyle w:val="17"/>
        <w:widowControl w:val="0"/>
        <w:kinsoku/>
        <w:wordWrap w:val="0"/>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（一）提交首次投标文件截止时间及开启时间：详见本项目招标公告。</w:t>
      </w:r>
    </w:p>
    <w:p w14:paraId="1298481A">
      <w:pPr>
        <w:pStyle w:val="17"/>
        <w:widowControl w:val="0"/>
        <w:kinsoku/>
        <w:wordWrap w:val="0"/>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（二）投标文件提交方式、地点：投标人应当在提交首次投标文件截止时间前，通过项目电子化交易系统提交投标文件。成功提交的，投标人将收到已提交投标文件的回执函。</w:t>
      </w:r>
    </w:p>
    <w:p w14:paraId="73A2AE77">
      <w:pPr>
        <w:pStyle w:val="17"/>
        <w:widowControl w:val="0"/>
        <w:kinsoku/>
        <w:wordWrap w:val="0"/>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bookmarkStart w:id="14" w:name="_Toc30284"/>
      <w:r>
        <w:rPr>
          <w:rFonts w:hint="eastAsia" w:ascii="仿宋" w:hAnsi="仿宋" w:eastAsia="仿宋" w:cs="仿宋"/>
          <w:b/>
          <w:bCs/>
          <w:snapToGrid/>
          <w:color w:val="auto"/>
          <w:highlight w:val="none"/>
          <w:lang w:eastAsia="zh-CN"/>
        </w:rPr>
        <w:t>九、投标人信用融资</w:t>
      </w:r>
      <w:bookmarkEnd w:id="14"/>
    </w:p>
    <w:p w14:paraId="68B1A634">
      <w:pPr>
        <w:pStyle w:val="17"/>
        <w:widowControl w:val="0"/>
        <w:kinsoku/>
        <w:wordWrap w:val="0"/>
        <w:autoSpaceDE/>
        <w:autoSpaceDN/>
        <w:spacing w:before="0" w:beforeAutospacing="0" w:after="0" w:afterAutospacing="0" w:line="360" w:lineRule="auto"/>
        <w:ind w:firstLine="480" w:firstLineChars="200"/>
        <w:jc w:val="both"/>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根据《陕西省财政厅关于加快推进我省中小企业政府采购信用融资工作的通知》（陕财办采〔2020〕15 号）和《陕西省中小企业政府采购信用融资办法》（陕财办采〔2018〕23 号）文件要求，为助力解决政府采购成交投标人资金不足、融资难、融资贵的困难，促进投标人依法诚信参加政府采购活动，有融资需求的投标人可登录陕西省政府釆购网—信用融资平台（</w:t>
      </w:r>
      <w:r>
        <w:rPr>
          <w:rFonts w:hint="eastAsia" w:ascii="仿宋" w:hAnsi="仿宋" w:eastAsia="仿宋" w:cs="仿宋"/>
          <w:snapToGrid/>
          <w:color w:val="auto"/>
          <w:highlight w:val="none"/>
          <w:lang w:eastAsia="zh-CN"/>
        </w:rPr>
        <w:fldChar w:fldCharType="begin"/>
      </w:r>
      <w:r>
        <w:rPr>
          <w:rFonts w:hint="eastAsia" w:ascii="仿宋" w:hAnsi="仿宋" w:eastAsia="仿宋" w:cs="仿宋"/>
          <w:snapToGrid/>
          <w:color w:val="auto"/>
          <w:highlight w:val="none"/>
          <w:lang w:eastAsia="zh-CN"/>
        </w:rPr>
        <w:instrText xml:space="preserve"> HYPERLINK "http://www.ccgp-shaanxi.gov.cn/zcdservice/zcd/shanxi/" </w:instrText>
      </w:r>
      <w:r>
        <w:rPr>
          <w:rFonts w:hint="eastAsia" w:ascii="仿宋" w:hAnsi="仿宋" w:eastAsia="仿宋" w:cs="仿宋"/>
          <w:snapToGrid/>
          <w:color w:val="auto"/>
          <w:highlight w:val="none"/>
          <w:lang w:eastAsia="zh-CN"/>
        </w:rPr>
        <w:fldChar w:fldCharType="separate"/>
      </w:r>
      <w:r>
        <w:rPr>
          <w:rFonts w:hint="eastAsia" w:ascii="仿宋" w:hAnsi="仿宋" w:eastAsia="仿宋" w:cs="仿宋"/>
          <w:snapToGrid/>
          <w:color w:val="auto"/>
          <w:highlight w:val="none"/>
          <w:lang w:eastAsia="zh-CN"/>
        </w:rPr>
        <w:t>http://www.ccgp-shaanxi.gov.cn/zcdservice/zcd/shanxi/</w:t>
      </w:r>
      <w:r>
        <w:rPr>
          <w:rFonts w:hint="eastAsia" w:ascii="仿宋" w:hAnsi="仿宋" w:eastAsia="仿宋" w:cs="仿宋"/>
          <w:snapToGrid/>
          <w:color w:val="auto"/>
          <w:highlight w:val="none"/>
          <w:lang w:eastAsia="zh-CN"/>
        </w:rPr>
        <w:fldChar w:fldCharType="end"/>
      </w:r>
      <w:r>
        <w:rPr>
          <w:rFonts w:hint="eastAsia" w:ascii="仿宋" w:hAnsi="仿宋" w:eastAsia="仿宋" w:cs="仿宋"/>
          <w:snapToGrid/>
          <w:color w:val="auto"/>
          <w:highlight w:val="none"/>
          <w:lang w:eastAsia="zh-CN"/>
        </w:rPr>
        <w:t>），选择符合自身情况的“政采贷”银行及其产品，凭项目成交结果、成交通知书等信息在线向银行提出贷款意向申请、查看贷款审批情况等。</w:t>
      </w:r>
    </w:p>
    <w:p w14:paraId="7827A9A3">
      <w:pPr>
        <w:pStyle w:val="17"/>
        <w:widowControl w:val="0"/>
        <w:kinsoku/>
        <w:wordWrap w:val="0"/>
        <w:autoSpaceDE/>
        <w:autoSpaceDN/>
        <w:spacing w:before="0" w:beforeAutospacing="0" w:after="0" w:afterAutospacing="0" w:line="360" w:lineRule="auto"/>
        <w:ind w:firstLine="482" w:firstLineChars="200"/>
        <w:textAlignment w:val="auto"/>
        <w:outlineLvl w:val="1"/>
        <w:rPr>
          <w:rFonts w:hint="eastAsia" w:ascii="仿宋" w:hAnsi="仿宋" w:eastAsia="仿宋" w:cs="仿宋"/>
          <w:b/>
          <w:bCs/>
          <w:snapToGrid/>
          <w:color w:val="auto"/>
          <w:highlight w:val="none"/>
          <w:lang w:eastAsia="zh-CN"/>
        </w:rPr>
      </w:pPr>
      <w:bookmarkStart w:id="15" w:name="_Toc16680"/>
      <w:r>
        <w:rPr>
          <w:rFonts w:hint="eastAsia" w:ascii="仿宋" w:hAnsi="仿宋" w:eastAsia="仿宋" w:cs="仿宋"/>
          <w:b/>
          <w:bCs/>
          <w:snapToGrid/>
          <w:color w:val="auto"/>
          <w:highlight w:val="none"/>
          <w:lang w:eastAsia="zh-CN"/>
        </w:rPr>
        <w:t>十、联系方式</w:t>
      </w:r>
      <w:bookmarkEnd w:id="15"/>
    </w:p>
    <w:p w14:paraId="60AD7BB5">
      <w:pPr>
        <w:pStyle w:val="17"/>
        <w:widowControl w:val="0"/>
        <w:kinsoku/>
        <w:autoSpaceDE/>
        <w:autoSpaceDN/>
        <w:spacing w:before="0" w:beforeAutospacing="0" w:after="0" w:afterAutospacing="0" w:line="360" w:lineRule="auto"/>
        <w:ind w:firstLine="482" w:firstLineChars="200"/>
        <w:textAlignment w:val="auto"/>
        <w:rPr>
          <w:rFonts w:hint="eastAsia" w:ascii="仿宋" w:hAnsi="仿宋" w:eastAsia="仿宋" w:cs="仿宋"/>
          <w:b/>
          <w:bCs/>
          <w:snapToGrid/>
          <w:color w:val="auto"/>
          <w:highlight w:val="none"/>
          <w:lang w:eastAsia="zh-CN"/>
        </w:rPr>
      </w:pPr>
      <w:r>
        <w:rPr>
          <w:rFonts w:hint="eastAsia" w:ascii="仿宋" w:hAnsi="仿宋" w:eastAsia="仿宋" w:cs="仿宋"/>
          <w:b/>
          <w:bCs/>
          <w:snapToGrid/>
          <w:color w:val="auto"/>
          <w:highlight w:val="none"/>
          <w:lang w:eastAsia="zh-CN"/>
        </w:rPr>
        <w:t>采购人：秦始皇帝陵博物院</w:t>
      </w:r>
    </w:p>
    <w:p w14:paraId="16CD3F40">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地址：西安市临潼区秦陵街办</w:t>
      </w:r>
    </w:p>
    <w:p w14:paraId="36D0BD93">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 xml:space="preserve">邮编：710699 </w:t>
      </w:r>
    </w:p>
    <w:p w14:paraId="437FDE1C">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联系人：李工</w:t>
      </w:r>
    </w:p>
    <w:p w14:paraId="0489741B">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联系电话：029-88406015</w:t>
      </w:r>
    </w:p>
    <w:p w14:paraId="69D4ED47">
      <w:pPr>
        <w:pStyle w:val="17"/>
        <w:widowControl w:val="0"/>
        <w:kinsoku/>
        <w:autoSpaceDE/>
        <w:autoSpaceDN/>
        <w:spacing w:before="0" w:beforeAutospacing="0" w:after="0" w:afterAutospacing="0" w:line="360" w:lineRule="auto"/>
        <w:ind w:firstLine="482" w:firstLineChars="200"/>
        <w:textAlignment w:val="auto"/>
        <w:outlineLvl w:val="0"/>
        <w:rPr>
          <w:rFonts w:hint="eastAsia" w:ascii="仿宋" w:hAnsi="仿宋" w:eastAsia="仿宋" w:cs="仿宋"/>
          <w:b/>
          <w:bCs/>
          <w:snapToGrid/>
          <w:color w:val="auto"/>
          <w:highlight w:val="none"/>
          <w:lang w:eastAsia="zh-CN"/>
        </w:rPr>
      </w:pPr>
      <w:bookmarkStart w:id="16" w:name="_Toc31341"/>
      <w:r>
        <w:rPr>
          <w:rFonts w:hint="eastAsia" w:ascii="仿宋" w:hAnsi="仿宋" w:eastAsia="仿宋" w:cs="仿宋"/>
          <w:b/>
          <w:bCs/>
          <w:snapToGrid/>
          <w:color w:val="auto"/>
          <w:highlight w:val="none"/>
          <w:lang w:eastAsia="zh-CN"/>
        </w:rPr>
        <w:t>代理机构：陕西华采招标有限公司</w:t>
      </w:r>
      <w:bookmarkEnd w:id="16"/>
    </w:p>
    <w:p w14:paraId="783785DB">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地址：西安高新区锦业路1号绿地领海大厦B座10楼1006室</w:t>
      </w:r>
    </w:p>
    <w:p w14:paraId="32F3C199">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邮编：710000</w:t>
      </w:r>
    </w:p>
    <w:p w14:paraId="06BA683B">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联系人：孙立博、张聪聪</w:t>
      </w:r>
    </w:p>
    <w:p w14:paraId="46BF7E48">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联系电话：029-68255920-807</w:t>
      </w:r>
    </w:p>
    <w:p w14:paraId="5E0BD5B9">
      <w:pPr>
        <w:pStyle w:val="17"/>
        <w:widowControl w:val="0"/>
        <w:kinsoku/>
        <w:autoSpaceDE/>
        <w:autoSpaceDN/>
        <w:spacing w:before="0" w:beforeAutospacing="0" w:after="0" w:afterAutospacing="0" w:line="360" w:lineRule="auto"/>
        <w:ind w:firstLine="482" w:firstLineChars="200"/>
        <w:textAlignment w:val="auto"/>
        <w:rPr>
          <w:rFonts w:hint="eastAsia" w:ascii="仿宋" w:hAnsi="仿宋" w:eastAsia="仿宋" w:cs="仿宋"/>
          <w:b/>
          <w:bCs/>
          <w:snapToGrid/>
          <w:color w:val="auto"/>
          <w:highlight w:val="none"/>
          <w:lang w:eastAsia="zh-CN"/>
        </w:rPr>
      </w:pPr>
      <w:r>
        <w:rPr>
          <w:rFonts w:hint="eastAsia" w:ascii="仿宋" w:hAnsi="仿宋" w:eastAsia="仿宋" w:cs="仿宋"/>
          <w:b/>
          <w:bCs/>
          <w:snapToGrid/>
          <w:color w:val="auto"/>
          <w:highlight w:val="none"/>
          <w:lang w:eastAsia="zh-CN"/>
        </w:rPr>
        <w:t>采购监督机构：财政厅政府采购管理处</w:t>
      </w:r>
    </w:p>
    <w:p w14:paraId="538FAF02">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联系人：柴老师、张老师</w:t>
      </w:r>
    </w:p>
    <w:p w14:paraId="74817AB1">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highlight w:val="none"/>
          <w:lang w:eastAsia="zh-CN"/>
        </w:rPr>
        <w:sectPr>
          <w:footerReference r:id="rId4" w:type="default"/>
          <w:pgSz w:w="11900" w:h="16839"/>
          <w:pgMar w:top="1406" w:right="1242" w:bottom="896" w:left="1406" w:header="0" w:footer="731" w:gutter="0"/>
          <w:pgNumType w:start="1"/>
          <w:cols w:space="0" w:num="1"/>
        </w:sectPr>
      </w:pPr>
      <w:r>
        <w:rPr>
          <w:rFonts w:hint="eastAsia" w:ascii="仿宋" w:hAnsi="仿宋" w:eastAsia="仿宋" w:cs="仿宋"/>
          <w:snapToGrid/>
          <w:color w:val="auto"/>
          <w:highlight w:val="none"/>
          <w:lang w:eastAsia="zh-CN"/>
        </w:rPr>
        <w:t>联系电话：029-87611715、029-68936154</w:t>
      </w:r>
    </w:p>
    <w:p w14:paraId="25047EED">
      <w:pPr>
        <w:spacing w:before="71" w:line="224" w:lineRule="auto"/>
        <w:jc w:val="center"/>
        <w:outlineLvl w:val="0"/>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pPr>
      <w:bookmarkStart w:id="17" w:name="_Toc16192"/>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第二章  投标人须知</w:t>
      </w:r>
      <w:bookmarkEnd w:id="17"/>
    </w:p>
    <w:p w14:paraId="3F56858B">
      <w:pPr>
        <w:pStyle w:val="2"/>
        <w:rPr>
          <w:rFonts w:hint="eastAsia"/>
          <w:highlight w:val="none"/>
        </w:rPr>
      </w:pPr>
    </w:p>
    <w:p w14:paraId="0112C79C">
      <w:pPr>
        <w:spacing w:before="101" w:line="224" w:lineRule="auto"/>
        <w:ind w:left="18"/>
        <w:outlineLvl w:val="1"/>
        <w:rPr>
          <w:rFonts w:hint="eastAsia" w:ascii="仿宋" w:hAnsi="仿宋" w:eastAsia="仿宋" w:cs="仿宋"/>
          <w:sz w:val="24"/>
          <w:szCs w:val="24"/>
          <w:highlight w:val="none"/>
        </w:rPr>
      </w:pPr>
      <w:bookmarkStart w:id="18" w:name="_Toc9295"/>
      <w:r>
        <w:rPr>
          <w:rFonts w:hint="eastAsia" w:ascii="仿宋" w:hAnsi="仿宋" w:eastAsia="仿宋" w:cs="仿宋"/>
          <w:b/>
          <w:bCs/>
          <w:spacing w:val="6"/>
          <w:sz w:val="24"/>
          <w:szCs w:val="24"/>
          <w:highlight w:val="none"/>
        </w:rPr>
        <w:t>2.1</w:t>
      </w:r>
      <w:r>
        <w:rPr>
          <w:rFonts w:hint="eastAsia" w:ascii="仿宋" w:hAnsi="仿宋" w:eastAsia="仿宋" w:cs="仿宋"/>
          <w:b/>
          <w:bCs/>
          <w:spacing w:val="27"/>
          <w:sz w:val="24"/>
          <w:szCs w:val="24"/>
          <w:highlight w:val="none"/>
        </w:rPr>
        <w:t xml:space="preserve"> </w:t>
      </w:r>
      <w:r>
        <w:rPr>
          <w:rFonts w:hint="eastAsia" w:ascii="仿宋" w:hAnsi="仿宋" w:eastAsia="仿宋" w:cs="仿宋"/>
          <w:spacing w:val="6"/>
          <w:sz w:val="24"/>
          <w:szCs w:val="24"/>
          <w:highlight w:val="none"/>
          <w:lang w:eastAsia="zh-CN"/>
          <w14:textOutline w14:w="5791" w14:cap="sq" w14:cmpd="sng" w14:algn="ctr">
            <w14:solidFill>
              <w14:srgbClr w14:val="000000"/>
            </w14:solidFill>
            <w14:prstDash w14:val="solid"/>
            <w14:bevel/>
          </w14:textOutline>
        </w:rPr>
        <w:t>投标人</w:t>
      </w:r>
      <w:r>
        <w:rPr>
          <w:rFonts w:hint="eastAsia" w:ascii="仿宋" w:hAnsi="仿宋" w:eastAsia="仿宋" w:cs="仿宋"/>
          <w:spacing w:val="6"/>
          <w:sz w:val="24"/>
          <w:szCs w:val="24"/>
          <w:highlight w:val="none"/>
          <w14:textOutline w14:w="5791" w14:cap="sq" w14:cmpd="sng" w14:algn="ctr">
            <w14:solidFill>
              <w14:srgbClr w14:val="000000"/>
            </w14:solidFill>
            <w14:prstDash w14:val="solid"/>
            <w14:bevel/>
          </w14:textOutline>
        </w:rPr>
        <w:t>须知前附表</w:t>
      </w:r>
      <w:bookmarkEnd w:id="18"/>
    </w:p>
    <w:p w14:paraId="323E44A7">
      <w:pPr>
        <w:spacing w:before="173"/>
        <w:rPr>
          <w:rFonts w:hint="eastAsia" w:ascii="仿宋" w:hAnsi="仿宋" w:eastAsia="仿宋" w:cs="仿宋"/>
          <w:sz w:val="24"/>
          <w:szCs w:val="24"/>
          <w:highlight w:val="none"/>
        </w:rPr>
      </w:pPr>
    </w:p>
    <w:tbl>
      <w:tblPr>
        <w:tblStyle w:val="24"/>
        <w:tblW w:w="9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1"/>
        <w:gridCol w:w="1893"/>
        <w:gridCol w:w="7090"/>
      </w:tblGrid>
      <w:tr w14:paraId="76B2B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1" w:type="dxa"/>
          </w:tcPr>
          <w:p w14:paraId="6B38B875">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1893" w:type="dxa"/>
          </w:tcPr>
          <w:p w14:paraId="3385EB9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应知事项</w:t>
            </w:r>
          </w:p>
        </w:tc>
        <w:tc>
          <w:tcPr>
            <w:tcW w:w="7090" w:type="dxa"/>
          </w:tcPr>
          <w:p w14:paraId="05A1524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说明和要求</w:t>
            </w:r>
          </w:p>
        </w:tc>
      </w:tr>
      <w:tr w14:paraId="50518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641" w:type="dxa"/>
            <w:vAlign w:val="center"/>
          </w:tcPr>
          <w:p w14:paraId="2A7DFEDD">
            <w:pPr>
              <w:spacing w:before="282" w:line="185" w:lineRule="auto"/>
              <w:ind w:left="281"/>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893" w:type="dxa"/>
            <w:vAlign w:val="center"/>
          </w:tcPr>
          <w:p w14:paraId="0DB3536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采购预算</w:t>
            </w:r>
          </w:p>
          <w:p w14:paraId="08F380C1">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（实质性要求）</w:t>
            </w:r>
          </w:p>
        </w:tc>
        <w:tc>
          <w:tcPr>
            <w:tcW w:w="7090" w:type="dxa"/>
            <w:vAlign w:val="center"/>
          </w:tcPr>
          <w:p w14:paraId="34B34E5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本项目采购预算金额如下：4950000.00元</w:t>
            </w:r>
          </w:p>
        </w:tc>
      </w:tr>
      <w:tr w14:paraId="0369E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641" w:type="dxa"/>
            <w:vAlign w:val="center"/>
          </w:tcPr>
          <w:p w14:paraId="177C5966">
            <w:pPr>
              <w:spacing w:before="278"/>
              <w:ind w:left="275"/>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tc>
        <w:tc>
          <w:tcPr>
            <w:tcW w:w="1893" w:type="dxa"/>
            <w:vAlign w:val="center"/>
          </w:tcPr>
          <w:p w14:paraId="76024B6B">
            <w:pPr>
              <w:pStyle w:val="17"/>
              <w:widowControl w:val="0"/>
              <w:kinsoku/>
              <w:autoSpaceDE/>
              <w:autoSpaceDN/>
              <w:spacing w:before="0" w:beforeAutospacing="0" w:after="0" w:afterAutospacing="0"/>
              <w:jc w:val="center"/>
              <w:textAlignment w:val="auto"/>
              <w:rPr>
                <w:rFonts w:hint="eastAsia" w:ascii="仿宋" w:hAnsi="仿宋" w:eastAsia="仿宋" w:cs="仿宋"/>
                <w:snapToGrid/>
                <w:color w:val="000000" w:themeColor="text1"/>
                <w:highlight w:val="none"/>
                <w:lang w:eastAsia="zh-CN"/>
                <w14:textFill>
                  <w14:solidFill>
                    <w14:schemeClr w14:val="tx1"/>
                  </w14:solidFill>
                </w14:textFill>
              </w:rPr>
            </w:pPr>
            <w:r>
              <w:rPr>
                <w:rFonts w:hint="eastAsia" w:ascii="仿宋" w:hAnsi="仿宋" w:eastAsia="仿宋" w:cs="仿宋"/>
                <w:snapToGrid/>
                <w:color w:val="000000" w:themeColor="text1"/>
                <w:highlight w:val="none"/>
                <w:lang w:eastAsia="zh-CN"/>
                <w14:textFill>
                  <w14:solidFill>
                    <w14:schemeClr w14:val="tx1"/>
                  </w14:solidFill>
                </w14:textFill>
              </w:rPr>
              <w:t>最高限价</w:t>
            </w:r>
          </w:p>
          <w:p w14:paraId="763915A5">
            <w:pPr>
              <w:pStyle w:val="17"/>
              <w:widowControl w:val="0"/>
              <w:kinsoku/>
              <w:autoSpaceDE/>
              <w:autoSpaceDN/>
              <w:spacing w:before="0" w:beforeAutospacing="0" w:after="0" w:afterAutospacing="0"/>
              <w:jc w:val="center"/>
              <w:textAlignment w:val="auto"/>
              <w:rPr>
                <w:rFonts w:hint="eastAsia" w:ascii="仿宋" w:hAnsi="仿宋" w:eastAsia="仿宋" w:cs="仿宋"/>
                <w:snapToGrid/>
                <w:color w:val="000000" w:themeColor="text1"/>
                <w:highlight w:val="none"/>
                <w:lang w:eastAsia="zh-CN"/>
                <w14:textFill>
                  <w14:solidFill>
                    <w14:schemeClr w14:val="tx1"/>
                  </w14:solidFill>
                </w14:textFill>
              </w:rPr>
            </w:pPr>
            <w:r>
              <w:rPr>
                <w:rFonts w:hint="eastAsia" w:ascii="仿宋" w:hAnsi="仿宋" w:eastAsia="仿宋" w:cs="仿宋"/>
                <w:snapToGrid/>
                <w:color w:val="000000" w:themeColor="text1"/>
                <w:highlight w:val="none"/>
                <w:lang w:eastAsia="zh-CN"/>
                <w14:textFill>
                  <w14:solidFill>
                    <w14:schemeClr w14:val="tx1"/>
                  </w14:solidFill>
                </w14:textFill>
              </w:rPr>
              <w:t>（实质性要求）</w:t>
            </w:r>
          </w:p>
        </w:tc>
        <w:tc>
          <w:tcPr>
            <w:tcW w:w="7090" w:type="dxa"/>
            <w:vAlign w:val="center"/>
          </w:tcPr>
          <w:p w14:paraId="0F4FD136">
            <w:pPr>
              <w:pStyle w:val="17"/>
              <w:widowControl w:val="0"/>
              <w:kinsoku/>
              <w:autoSpaceDE/>
              <w:autoSpaceDN/>
              <w:spacing w:before="0" w:beforeAutospacing="0" w:after="0" w:afterAutospacing="0"/>
              <w:jc w:val="left"/>
              <w:textAlignment w:val="auto"/>
              <w:rPr>
                <w:rFonts w:hint="eastAsia" w:ascii="仿宋" w:hAnsi="仿宋" w:eastAsia="仿宋" w:cs="仿宋"/>
                <w:b/>
                <w:bCs/>
                <w:snapToGrid/>
                <w:color w:val="000000" w:themeColor="text1"/>
                <w:highlight w:val="none"/>
                <w:lang w:eastAsia="zh-CN"/>
                <w14:textFill>
                  <w14:solidFill>
                    <w14:schemeClr w14:val="tx1"/>
                  </w14:solidFill>
                </w14:textFill>
              </w:rPr>
            </w:pPr>
            <w:r>
              <w:rPr>
                <w:rFonts w:hint="eastAsia" w:ascii="仿宋" w:hAnsi="仿宋" w:eastAsia="仿宋" w:cs="仿宋"/>
                <w:b/>
                <w:bCs/>
                <w:snapToGrid/>
                <w:color w:val="000000" w:themeColor="text1"/>
                <w:highlight w:val="none"/>
                <w:lang w:eastAsia="zh-CN"/>
                <w14:textFill>
                  <w14:solidFill>
                    <w14:schemeClr w14:val="tx1"/>
                  </w14:solidFill>
                </w14:textFill>
              </w:rPr>
              <w:t>本项目最高限价如下：4939134.37元</w:t>
            </w:r>
          </w:p>
          <w:p w14:paraId="0476E74B">
            <w:pPr>
              <w:pStyle w:val="17"/>
              <w:widowControl w:val="0"/>
              <w:kinsoku/>
              <w:autoSpaceDE/>
              <w:autoSpaceDN/>
              <w:spacing w:before="0" w:beforeAutospacing="0" w:after="0" w:afterAutospacing="0"/>
              <w:jc w:val="left"/>
              <w:textAlignment w:val="auto"/>
              <w:rPr>
                <w:rFonts w:hint="eastAsia" w:ascii="仿宋" w:hAnsi="仿宋" w:eastAsia="仿宋" w:cs="仿宋"/>
                <w:snapToGrid/>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9"/>
                <w:highlight w:val="none"/>
                <w:lang w:eastAsia="zh-CN"/>
                <w14:textFill>
                  <w14:solidFill>
                    <w14:schemeClr w14:val="tx1"/>
                  </w14:solidFill>
                </w14:textFill>
              </w:rPr>
              <w:t>投标报价高于最高限价的，其投标文件将按无效处理。</w:t>
            </w:r>
          </w:p>
        </w:tc>
      </w:tr>
      <w:tr w14:paraId="57A2C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641" w:type="dxa"/>
            <w:vAlign w:val="center"/>
          </w:tcPr>
          <w:p w14:paraId="1932506D">
            <w:pPr>
              <w:spacing w:before="155"/>
              <w:ind w:left="274"/>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tc>
        <w:tc>
          <w:tcPr>
            <w:tcW w:w="1893" w:type="dxa"/>
            <w:vAlign w:val="center"/>
          </w:tcPr>
          <w:p w14:paraId="03304F34">
            <w:pPr>
              <w:pStyle w:val="17"/>
              <w:widowControl w:val="0"/>
              <w:kinsoku/>
              <w:autoSpaceDE/>
              <w:autoSpaceDN/>
              <w:spacing w:before="0" w:beforeAutospacing="0" w:after="0" w:afterAutospacing="0"/>
              <w:jc w:val="center"/>
              <w:textAlignment w:val="auto"/>
              <w:rPr>
                <w:rFonts w:hint="eastAsia" w:ascii="仿宋" w:hAnsi="仿宋" w:eastAsia="仿宋" w:cs="仿宋"/>
                <w:snapToGrid/>
                <w:color w:val="000000" w:themeColor="text1"/>
                <w:highlight w:val="none"/>
                <w:lang w:eastAsia="zh-CN"/>
                <w14:textFill>
                  <w14:solidFill>
                    <w14:schemeClr w14:val="tx1"/>
                  </w14:solidFill>
                </w14:textFill>
              </w:rPr>
            </w:pPr>
            <w:r>
              <w:rPr>
                <w:rFonts w:hint="eastAsia" w:ascii="仿宋" w:hAnsi="仿宋" w:eastAsia="仿宋" w:cs="仿宋"/>
                <w:snapToGrid/>
                <w:color w:val="000000" w:themeColor="text1"/>
                <w:highlight w:val="none"/>
                <w:lang w:eastAsia="zh-CN"/>
                <w14:textFill>
                  <w14:solidFill>
                    <w14:schemeClr w14:val="tx1"/>
                  </w14:solidFill>
                </w14:textFill>
              </w:rPr>
              <w:t>评标方法</w:t>
            </w:r>
          </w:p>
        </w:tc>
        <w:tc>
          <w:tcPr>
            <w:tcW w:w="7090" w:type="dxa"/>
            <w:vAlign w:val="center"/>
          </w:tcPr>
          <w:p w14:paraId="647B28B7">
            <w:pPr>
              <w:pStyle w:val="17"/>
              <w:widowControl w:val="0"/>
              <w:kinsoku/>
              <w:autoSpaceDE/>
              <w:autoSpaceDN/>
              <w:spacing w:before="0" w:beforeAutospacing="0" w:after="0" w:afterAutospacing="0"/>
              <w:jc w:val="left"/>
              <w:textAlignment w:val="auto"/>
              <w:rPr>
                <w:rFonts w:hint="eastAsia" w:ascii="仿宋" w:hAnsi="仿宋" w:eastAsia="仿宋" w:cs="仿宋"/>
                <w:snapToGrid/>
                <w:color w:val="000000" w:themeColor="text1"/>
                <w:highlight w:val="none"/>
                <w:lang w:eastAsia="zh-CN"/>
                <w14:textFill>
                  <w14:solidFill>
                    <w14:schemeClr w14:val="tx1"/>
                  </w14:solidFill>
                </w14:textFill>
              </w:rPr>
            </w:pPr>
            <w:r>
              <w:rPr>
                <w:rFonts w:hint="eastAsia" w:ascii="仿宋" w:hAnsi="仿宋" w:eastAsia="仿宋" w:cs="仿宋"/>
                <w:snapToGrid/>
                <w:color w:val="000000" w:themeColor="text1"/>
                <w:highlight w:val="none"/>
                <w:lang w:eastAsia="zh-CN"/>
                <w14:textFill>
                  <w14:solidFill>
                    <w14:schemeClr w14:val="tx1"/>
                  </w14:solidFill>
                </w14:textFill>
              </w:rPr>
              <w:t>综合评分法（详见第五章）</w:t>
            </w:r>
          </w:p>
        </w:tc>
      </w:tr>
      <w:tr w14:paraId="7E316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0" w:hRule="atLeast"/>
        </w:trPr>
        <w:tc>
          <w:tcPr>
            <w:tcW w:w="641" w:type="dxa"/>
            <w:vAlign w:val="center"/>
          </w:tcPr>
          <w:p w14:paraId="0A783F50">
            <w:pPr>
              <w:spacing w:before="61" w:line="185" w:lineRule="auto"/>
              <w:ind w:left="269"/>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p>
        </w:tc>
        <w:tc>
          <w:tcPr>
            <w:tcW w:w="1893" w:type="dxa"/>
          </w:tcPr>
          <w:p w14:paraId="20A5B137">
            <w:pPr>
              <w:spacing w:line="249" w:lineRule="auto"/>
              <w:rPr>
                <w:rFonts w:hint="eastAsia" w:ascii="仿宋" w:hAnsi="仿宋" w:eastAsia="仿宋" w:cs="仿宋"/>
                <w:color w:val="000000" w:themeColor="text1"/>
                <w:sz w:val="24"/>
                <w:szCs w:val="24"/>
                <w:highlight w:val="none"/>
                <w14:textFill>
                  <w14:solidFill>
                    <w14:schemeClr w14:val="tx1"/>
                  </w14:solidFill>
                </w14:textFill>
              </w:rPr>
            </w:pPr>
          </w:p>
          <w:p w14:paraId="1C91AA45">
            <w:pPr>
              <w:spacing w:line="249" w:lineRule="auto"/>
              <w:rPr>
                <w:rFonts w:hint="eastAsia" w:ascii="仿宋" w:hAnsi="仿宋" w:eastAsia="仿宋" w:cs="仿宋"/>
                <w:color w:val="000000" w:themeColor="text1"/>
                <w:sz w:val="24"/>
                <w:szCs w:val="24"/>
                <w:highlight w:val="none"/>
                <w14:textFill>
                  <w14:solidFill>
                    <w14:schemeClr w14:val="tx1"/>
                  </w14:solidFill>
                </w14:textFill>
              </w:rPr>
            </w:pPr>
          </w:p>
          <w:p w14:paraId="5BA6D80F">
            <w:pPr>
              <w:pStyle w:val="25"/>
              <w:rPr>
                <w:rFonts w:hint="eastAsia"/>
                <w:color w:val="000000" w:themeColor="text1"/>
                <w:highlight w:val="none"/>
                <w14:textFill>
                  <w14:solidFill>
                    <w14:schemeClr w14:val="tx1"/>
                  </w14:solidFill>
                </w14:textFill>
              </w:rPr>
            </w:pPr>
          </w:p>
          <w:p w14:paraId="73BDAD53">
            <w:pPr>
              <w:pStyle w:val="25"/>
              <w:rPr>
                <w:rFonts w:hint="eastAsia"/>
                <w:color w:val="000000" w:themeColor="text1"/>
                <w:highlight w:val="none"/>
                <w14:textFill>
                  <w14:solidFill>
                    <w14:schemeClr w14:val="tx1"/>
                  </w14:solidFill>
                </w14:textFill>
              </w:rPr>
            </w:pPr>
          </w:p>
          <w:p w14:paraId="17E6D4B9">
            <w:pPr>
              <w:pStyle w:val="25"/>
              <w:rPr>
                <w:rFonts w:hint="eastAsia"/>
                <w:color w:val="000000" w:themeColor="text1"/>
                <w:highlight w:val="none"/>
                <w14:textFill>
                  <w14:solidFill>
                    <w14:schemeClr w14:val="tx1"/>
                  </w14:solidFill>
                </w14:textFill>
              </w:rPr>
            </w:pPr>
          </w:p>
          <w:p w14:paraId="133375D2">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是否接受联合体</w:t>
            </w:r>
          </w:p>
        </w:tc>
        <w:tc>
          <w:tcPr>
            <w:tcW w:w="7090" w:type="dxa"/>
          </w:tcPr>
          <w:p w14:paraId="1BDD1BE3">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采购包1：不接受 </w:t>
            </w:r>
          </w:p>
          <w:p w14:paraId="4A7F06F5">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如以联合体投标的，联合体各方均应当具备本招标文件要求的资格条件和能力。</w:t>
            </w:r>
          </w:p>
          <w:p w14:paraId="5609DB7A">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（1）联合体各方均应具有承担本项目必备的条件，如相应的人力、物力、资金等。</w:t>
            </w:r>
          </w:p>
          <w:p w14:paraId="43CFCCCB">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（2）招标文件对投标人资格条件有特殊要求的，联合体各个成员都应当具备规定的相应资格条件。</w:t>
            </w:r>
          </w:p>
          <w:p w14:paraId="67660222">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13137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41" w:type="dxa"/>
          </w:tcPr>
          <w:p w14:paraId="04EC417D">
            <w:pPr>
              <w:spacing w:line="425"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6AFA4315">
            <w:pPr>
              <w:spacing w:before="61" w:line="186" w:lineRule="auto"/>
              <w:ind w:left="275"/>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p>
        </w:tc>
        <w:tc>
          <w:tcPr>
            <w:tcW w:w="1893" w:type="dxa"/>
            <w:vAlign w:val="center"/>
          </w:tcPr>
          <w:p w14:paraId="0F7C43F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小微企业（监狱企业、</w:t>
            </w:r>
            <w:r>
              <w:rPr>
                <w:rFonts w:hint="eastAsia"/>
                <w:color w:val="000000" w:themeColor="text1"/>
                <w:spacing w:val="8"/>
                <w:highlight w:val="none"/>
                <w14:textFill>
                  <w14:solidFill>
                    <w14:schemeClr w14:val="tx1"/>
                  </w14:solidFill>
                </w14:textFill>
              </w:rPr>
              <w:t xml:space="preserve"> </w:t>
            </w:r>
            <w:r>
              <w:rPr>
                <w:rFonts w:hint="eastAsia"/>
                <w:color w:val="000000" w:themeColor="text1"/>
                <w:spacing w:val="6"/>
                <w:highlight w:val="none"/>
                <w14:textFill>
                  <w14:solidFill>
                    <w14:schemeClr w14:val="tx1"/>
                  </w14:solidFill>
                </w14:textFill>
              </w:rPr>
              <w:t>残疾人福利性单位视</w:t>
            </w:r>
            <w:r>
              <w:rPr>
                <w:rFonts w:hint="eastAsia"/>
                <w:color w:val="000000" w:themeColor="text1"/>
                <w:spacing w:val="-2"/>
                <w:highlight w:val="none"/>
                <w14:textFill>
                  <w14:solidFill>
                    <w14:schemeClr w14:val="tx1"/>
                  </w14:solidFill>
                </w14:textFill>
              </w:rPr>
              <w:t>同小微企业）价格扣除</w:t>
            </w:r>
          </w:p>
        </w:tc>
        <w:tc>
          <w:tcPr>
            <w:tcW w:w="7090" w:type="dxa"/>
            <w:vAlign w:val="center"/>
          </w:tcPr>
          <w:p w14:paraId="7A71D184">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本项目专门面向中小企业，不执行小微企业（监狱企业、残疾人福利性单位视同小微企业）价格扣除情况。</w:t>
            </w:r>
          </w:p>
        </w:tc>
      </w:tr>
      <w:tr w14:paraId="6F53C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41" w:type="dxa"/>
            <w:vAlign w:val="center"/>
          </w:tcPr>
          <w:p w14:paraId="5D6477EB">
            <w:pPr>
              <w:spacing w:before="158"/>
              <w:ind w:left="274"/>
              <w:jc w:val="both"/>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p>
        </w:tc>
        <w:tc>
          <w:tcPr>
            <w:tcW w:w="1893" w:type="dxa"/>
            <w:vAlign w:val="center"/>
          </w:tcPr>
          <w:p w14:paraId="7EA6EA4B">
            <w:pPr>
              <w:pStyle w:val="25"/>
              <w:rPr>
                <w:rFonts w:hint="eastAsia"/>
                <w:color w:val="000000" w:themeColor="text1"/>
                <w:highlight w:val="none"/>
                <w14:textFill>
                  <w14:solidFill>
                    <w14:schemeClr w14:val="tx1"/>
                  </w14:solidFill>
                </w14:textFill>
              </w:rPr>
            </w:pPr>
            <w:r>
              <w:rPr>
                <w:rFonts w:hint="eastAsia"/>
                <w:color w:val="000000" w:themeColor="text1"/>
                <w:highlight w:val="none"/>
                <w:lang w:val="zh-CN"/>
                <w14:textFill>
                  <w14:solidFill>
                    <w14:schemeClr w14:val="tx1"/>
                  </w14:solidFill>
                </w14:textFill>
              </w:rPr>
              <w:t>转包与</w:t>
            </w:r>
            <w:r>
              <w:rPr>
                <w:rFonts w:hint="eastAsia"/>
                <w:color w:val="000000" w:themeColor="text1"/>
                <w:highlight w:val="none"/>
                <w14:textFill>
                  <w14:solidFill>
                    <w14:schemeClr w14:val="tx1"/>
                  </w14:solidFill>
                </w14:textFill>
              </w:rPr>
              <w:t>分包</w:t>
            </w:r>
          </w:p>
        </w:tc>
        <w:tc>
          <w:tcPr>
            <w:tcW w:w="7090" w:type="dxa"/>
            <w:vAlign w:val="center"/>
          </w:tcPr>
          <w:p w14:paraId="43EC412B">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本项目禁止转包、禁止分包。</w:t>
            </w:r>
          </w:p>
        </w:tc>
      </w:tr>
      <w:tr w14:paraId="0BF2B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41" w:type="dxa"/>
          </w:tcPr>
          <w:p w14:paraId="1109EB43">
            <w:pPr>
              <w:spacing w:line="246"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5E162DDB">
            <w:pPr>
              <w:spacing w:line="247"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118A087A">
            <w:pPr>
              <w:spacing w:line="247"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3DD7C94E">
            <w:pPr>
              <w:spacing w:line="247"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0FE49143">
            <w:pPr>
              <w:spacing w:line="247" w:lineRule="auto"/>
              <w:rPr>
                <w:rFonts w:hint="eastAsia" w:ascii="仿宋" w:hAnsi="仿宋" w:eastAsia="仿宋" w:cs="仿宋"/>
                <w:color w:val="000000" w:themeColor="text1"/>
                <w:sz w:val="24"/>
                <w:szCs w:val="24"/>
                <w:highlight w:val="none"/>
                <w:lang w:eastAsia="zh-CN"/>
                <w14:textFill>
                  <w14:solidFill>
                    <w14:schemeClr w14:val="tx1"/>
                  </w14:solidFill>
                </w14:textFill>
              </w:rPr>
            </w:pPr>
          </w:p>
          <w:p w14:paraId="1850E08D">
            <w:pPr>
              <w:spacing w:before="61" w:line="186" w:lineRule="auto"/>
              <w:ind w:left="272"/>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p>
        </w:tc>
        <w:tc>
          <w:tcPr>
            <w:tcW w:w="1893" w:type="dxa"/>
            <w:vAlign w:val="center"/>
          </w:tcPr>
          <w:p w14:paraId="6D4E3BA6">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不正当</w:t>
            </w:r>
          </w:p>
          <w:p w14:paraId="08331EA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竞争预防措施</w:t>
            </w:r>
          </w:p>
          <w:p w14:paraId="34174ADC">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（实质性要求）</w:t>
            </w:r>
          </w:p>
        </w:tc>
        <w:tc>
          <w:tcPr>
            <w:tcW w:w="7090" w:type="dxa"/>
          </w:tcPr>
          <w:p w14:paraId="433CE87F">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评标过程中，评标委员会认为投标人投标报价明显低于其他通过符合性审查投标人的投标报价，有可能影响工程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348A8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641" w:type="dxa"/>
            <w:vAlign w:val="center"/>
          </w:tcPr>
          <w:p w14:paraId="04299BA6">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w:t>
            </w:r>
          </w:p>
        </w:tc>
        <w:tc>
          <w:tcPr>
            <w:tcW w:w="1893" w:type="dxa"/>
            <w:vAlign w:val="center"/>
          </w:tcPr>
          <w:p w14:paraId="3F93D46E">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投标保证金</w:t>
            </w:r>
          </w:p>
        </w:tc>
        <w:tc>
          <w:tcPr>
            <w:tcW w:w="7090" w:type="dxa"/>
            <w:vAlign w:val="center"/>
          </w:tcPr>
          <w:p w14:paraId="13D53E57">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1、本项目收取</w:t>
            </w:r>
            <w:r>
              <w:rPr>
                <w:rFonts w:hint="eastAsia"/>
                <w:color w:val="000000" w:themeColor="text1"/>
                <w:highlight w:val="none"/>
                <w:lang w:val="zh-CN"/>
                <w14:textFill>
                  <w14:solidFill>
                    <w14:schemeClr w14:val="tx1"/>
                  </w14:solidFill>
                </w14:textFill>
              </w:rPr>
              <w:t>投标保证金</w:t>
            </w:r>
          </w:p>
          <w:p w14:paraId="31B24354">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投标保证金金额：人民币</w:t>
            </w:r>
            <w:r>
              <w:rPr>
                <w:rFonts w:hint="eastAsia"/>
                <w:color w:val="000000" w:themeColor="text1"/>
                <w:highlight w:val="none"/>
                <w14:textFill>
                  <w14:solidFill>
                    <w14:schemeClr w14:val="tx1"/>
                  </w14:solidFill>
                </w14:textFill>
              </w:rPr>
              <w:t>玖万元整</w:t>
            </w:r>
            <w:r>
              <w:rPr>
                <w:rFonts w:hint="eastAsia"/>
                <w:color w:val="000000" w:themeColor="text1"/>
                <w:highlight w:val="none"/>
                <w:lang w:val="zh-CN"/>
                <w14:textFill>
                  <w14:solidFill>
                    <w14:schemeClr w14:val="tx1"/>
                  </w14:solidFill>
                </w14:textFill>
              </w:rPr>
              <w:t>(</w:t>
            </w:r>
            <w:r>
              <w:rPr>
                <w:rFonts w:ascii="Calibri" w:hAnsi="Calibri" w:cs="Calibri"/>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90000.00</w:t>
            </w:r>
            <w:r>
              <w:rPr>
                <w:rFonts w:hint="eastAsia"/>
                <w:color w:val="000000" w:themeColor="text1"/>
                <w:highlight w:val="none"/>
                <w:lang w:val="zh-CN"/>
                <w14:textFill>
                  <w14:solidFill>
                    <w14:schemeClr w14:val="tx1"/>
                  </w14:solidFill>
                </w14:textFill>
              </w:rPr>
              <w:t>)，投标保证金须在投标文件递交截止时间前到</w:t>
            </w:r>
            <w:r>
              <w:rPr>
                <w:rFonts w:hint="eastAsia"/>
                <w:color w:val="000000" w:themeColor="text1"/>
                <w:highlight w:val="none"/>
                <w14:textFill>
                  <w14:solidFill>
                    <w14:schemeClr w14:val="tx1"/>
                  </w14:solidFill>
                </w14:textFill>
              </w:rPr>
              <w:t>账</w:t>
            </w:r>
            <w:r>
              <w:rPr>
                <w:rFonts w:hint="eastAsia"/>
                <w:color w:val="000000" w:themeColor="text1"/>
                <w:highlight w:val="none"/>
                <w:lang w:val="zh-CN"/>
                <w14:textFill>
                  <w14:solidFill>
                    <w14:schemeClr w14:val="tx1"/>
                  </w14:solidFill>
                </w14:textFill>
              </w:rPr>
              <w:t>。</w:t>
            </w:r>
          </w:p>
          <w:p w14:paraId="2A27C42F">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2、</w:t>
            </w:r>
            <w:r>
              <w:rPr>
                <w:rFonts w:hint="eastAsia"/>
                <w:color w:val="000000" w:themeColor="text1"/>
                <w:highlight w:val="none"/>
                <w:lang w:val="zh-CN"/>
                <w14:textFill>
                  <w14:solidFill>
                    <w14:schemeClr w14:val="tx1"/>
                  </w14:solidFill>
                </w14:textFill>
              </w:rPr>
              <w:t>投标保证金应当以银行转账、支票，汇票、本票、保函的任何一种非现金形式支付。</w:t>
            </w:r>
          </w:p>
          <w:p w14:paraId="6FE25659">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（1）以银行转账</w:t>
            </w:r>
            <w:r>
              <w:rPr>
                <w:rFonts w:hint="eastAsia"/>
                <w:color w:val="000000" w:themeColor="text1"/>
                <w:highlight w:val="none"/>
                <w14:textFill>
                  <w14:solidFill>
                    <w14:schemeClr w14:val="tx1"/>
                  </w14:solidFill>
                </w14:textFill>
              </w:rPr>
              <w:t>缴纳</w:t>
            </w:r>
            <w:r>
              <w:rPr>
                <w:rFonts w:hint="eastAsia"/>
                <w:color w:val="000000" w:themeColor="text1"/>
                <w:highlight w:val="none"/>
                <w:lang w:val="zh-CN"/>
                <w14:textFill>
                  <w14:solidFill>
                    <w14:schemeClr w14:val="tx1"/>
                  </w14:solidFill>
                </w14:textFill>
              </w:rPr>
              <w:t>保证金的，应从其</w:t>
            </w:r>
            <w:r>
              <w:rPr>
                <w:rFonts w:hint="eastAsia"/>
                <w:color w:val="000000" w:themeColor="text1"/>
                <w:highlight w:val="none"/>
                <w14:textFill>
                  <w14:solidFill>
                    <w14:schemeClr w14:val="tx1"/>
                  </w14:solidFill>
                </w14:textFill>
              </w:rPr>
              <w:t>公</w:t>
            </w:r>
            <w:r>
              <w:rPr>
                <w:rFonts w:hint="eastAsia"/>
                <w:color w:val="000000" w:themeColor="text1"/>
                <w:highlight w:val="none"/>
                <w:lang w:val="zh-CN"/>
                <w14:textFill>
                  <w14:solidFill>
                    <w14:schemeClr w14:val="tx1"/>
                  </w14:solidFill>
                </w14:textFill>
              </w:rPr>
              <w:t>户转出，必须写明“SXHC2024-273项目投标保证金”，便于财务部查询登记，</w:t>
            </w:r>
            <w:r>
              <w:rPr>
                <w:rFonts w:hint="eastAsia"/>
                <w:color w:val="000000" w:themeColor="text1"/>
                <w:highlight w:val="none"/>
                <w14:textFill>
                  <w14:solidFill>
                    <w14:schemeClr w14:val="tx1"/>
                  </w14:solidFill>
                </w14:textFill>
              </w:rPr>
              <w:t>不需换取收据</w:t>
            </w:r>
            <w:r>
              <w:rPr>
                <w:rFonts w:hint="eastAsia"/>
                <w:color w:val="000000" w:themeColor="text1"/>
                <w:highlight w:val="none"/>
                <w:lang w:val="zh-CN"/>
                <w14:textFill>
                  <w14:solidFill>
                    <w14:schemeClr w14:val="tx1"/>
                  </w14:solidFill>
                </w14:textFill>
              </w:rPr>
              <w:t>。</w:t>
            </w:r>
          </w:p>
          <w:p w14:paraId="42CF2F28">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（2）以支票、汇票、本票、保函</w:t>
            </w:r>
            <w:r>
              <w:rPr>
                <w:rFonts w:hint="eastAsia"/>
                <w:color w:val="000000" w:themeColor="text1"/>
                <w:highlight w:val="none"/>
                <w14:textFill>
                  <w14:solidFill>
                    <w14:schemeClr w14:val="tx1"/>
                  </w14:solidFill>
                </w14:textFill>
              </w:rPr>
              <w:t>缴纳</w:t>
            </w:r>
            <w:r>
              <w:rPr>
                <w:rFonts w:hint="eastAsia"/>
                <w:color w:val="000000" w:themeColor="text1"/>
                <w:highlight w:val="none"/>
                <w:lang w:val="zh-CN"/>
                <w14:textFill>
                  <w14:solidFill>
                    <w14:schemeClr w14:val="tx1"/>
                  </w14:solidFill>
                </w14:textFill>
              </w:rPr>
              <w:t>保证金的，须在开标前将支票、汇票、本票、保函等正本送至采购代理机构财务室换取收据，否则视为未缴纳保证金。</w:t>
            </w:r>
          </w:p>
          <w:p w14:paraId="2496EA1D">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3、投标</w:t>
            </w:r>
            <w:r>
              <w:rPr>
                <w:rFonts w:hint="eastAsia"/>
                <w:color w:val="000000" w:themeColor="text1"/>
                <w:highlight w:val="none"/>
                <w:lang w:val="zh-CN"/>
                <w14:textFill>
                  <w14:solidFill>
                    <w14:schemeClr w14:val="tx1"/>
                  </w14:solidFill>
                </w14:textFill>
              </w:rPr>
              <w:t>保证金</w:t>
            </w:r>
            <w:r>
              <w:rPr>
                <w:rFonts w:hint="eastAsia"/>
                <w:color w:val="000000" w:themeColor="text1"/>
                <w:highlight w:val="none"/>
                <w14:textFill>
                  <w14:solidFill>
                    <w14:schemeClr w14:val="tx1"/>
                  </w14:solidFill>
                </w14:textFill>
              </w:rPr>
              <w:t>缴纳</w:t>
            </w:r>
            <w:r>
              <w:rPr>
                <w:rFonts w:hint="eastAsia"/>
                <w:color w:val="000000" w:themeColor="text1"/>
                <w:highlight w:val="none"/>
                <w:lang w:val="zh-CN"/>
                <w14:textFill>
                  <w14:solidFill>
                    <w14:schemeClr w14:val="tx1"/>
                  </w14:solidFill>
                </w14:textFill>
              </w:rPr>
              <w:t>账号</w:t>
            </w:r>
          </w:p>
          <w:p w14:paraId="788B3AB3">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户名：陕西华采招标有限公司</w:t>
            </w:r>
          </w:p>
          <w:p w14:paraId="0A535A6E">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开户银行：交通银行股份有限公司陕西自贸试验区西安锦业路支行</w:t>
            </w:r>
          </w:p>
          <w:p w14:paraId="2A79B38B">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行    号：301791000305</w:t>
            </w:r>
          </w:p>
          <w:p w14:paraId="07B67E3E">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账    号：611301132018010166661</w:t>
            </w:r>
          </w:p>
          <w:p w14:paraId="5DC367E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 系 人：韩工         联系电话：029-68255920-802</w:t>
            </w:r>
          </w:p>
          <w:p w14:paraId="24F1762E">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4、</w:t>
            </w:r>
            <w:r>
              <w:rPr>
                <w:rFonts w:hint="eastAsia"/>
                <w:color w:val="000000" w:themeColor="text1"/>
                <w:highlight w:val="none"/>
                <w:lang w:val="zh-CN"/>
                <w14:textFill>
                  <w14:solidFill>
                    <w14:schemeClr w14:val="tx1"/>
                  </w14:solidFill>
                </w14:textFill>
              </w:rPr>
              <w:t>未中标人的投标保证金，在中标通知书发出之日起</w:t>
            </w:r>
            <w:r>
              <w:rPr>
                <w:rFonts w:hint="eastAsia"/>
                <w:color w:val="000000" w:themeColor="text1"/>
                <w:highlight w:val="none"/>
                <w14:textFill>
                  <w14:solidFill>
                    <w14:schemeClr w14:val="tx1"/>
                  </w14:solidFill>
                </w14:textFill>
              </w:rPr>
              <w:t>5</w:t>
            </w:r>
            <w:r>
              <w:rPr>
                <w:rFonts w:hint="eastAsia"/>
                <w:color w:val="000000" w:themeColor="text1"/>
                <w:highlight w:val="none"/>
                <w:lang w:val="zh-CN"/>
                <w14:textFill>
                  <w14:solidFill>
                    <w14:schemeClr w14:val="tx1"/>
                  </w14:solidFill>
                </w14:textFill>
              </w:rPr>
              <w:t>个工作日内退还；中标人的投标保证金在合同签订之日</w:t>
            </w:r>
            <w:r>
              <w:rPr>
                <w:rFonts w:hint="eastAsia"/>
                <w:color w:val="000000" w:themeColor="text1"/>
                <w:highlight w:val="none"/>
                <w14:textFill>
                  <w14:solidFill>
                    <w14:schemeClr w14:val="tx1"/>
                  </w14:solidFill>
                </w14:textFill>
              </w:rPr>
              <w:t>5</w:t>
            </w:r>
            <w:r>
              <w:rPr>
                <w:rFonts w:hint="eastAsia"/>
                <w:color w:val="000000" w:themeColor="text1"/>
                <w:highlight w:val="none"/>
                <w:lang w:val="zh-CN"/>
                <w14:textFill>
                  <w14:solidFill>
                    <w14:schemeClr w14:val="tx1"/>
                  </w14:solidFill>
                </w14:textFill>
              </w:rPr>
              <w:t>个工作日内退还。</w:t>
            </w:r>
          </w:p>
          <w:p w14:paraId="42BF5C28">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5、</w:t>
            </w:r>
            <w:r>
              <w:rPr>
                <w:rFonts w:hint="eastAsia"/>
                <w:color w:val="000000" w:themeColor="text1"/>
                <w:highlight w:val="none"/>
                <w:lang w:val="zh-CN"/>
                <w14:textFill>
                  <w14:solidFill>
                    <w14:schemeClr w14:val="tx1"/>
                  </w14:solidFill>
                </w14:textFill>
              </w:rPr>
              <w:t>下列情况发生，保证金将不予退还：</w:t>
            </w:r>
          </w:p>
          <w:p w14:paraId="0B90B4F8">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w:t>
            </w:r>
            <w:r>
              <w:rPr>
                <w:rFonts w:hint="eastAsia"/>
                <w:color w:val="000000" w:themeColor="text1"/>
                <w:highlight w:val="none"/>
                <w14:textFill>
                  <w14:solidFill>
                    <w14:schemeClr w14:val="tx1"/>
                  </w14:solidFill>
                </w14:textFill>
              </w:rPr>
              <w:t>1</w:t>
            </w:r>
            <w:r>
              <w:rPr>
                <w:rFonts w:hint="eastAsia"/>
                <w:color w:val="000000" w:themeColor="text1"/>
                <w:highlight w:val="none"/>
                <w:lang w:val="zh-CN"/>
                <w14:textFill>
                  <w14:solidFill>
                    <w14:schemeClr w14:val="tx1"/>
                  </w14:solidFill>
                </w14:textFill>
              </w:rPr>
              <w:t>）投标人在投标文件中提供虚假材料的；</w:t>
            </w:r>
          </w:p>
          <w:p w14:paraId="2BAE79CE">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w:t>
            </w:r>
            <w:r>
              <w:rPr>
                <w:rFonts w:hint="eastAsia"/>
                <w:color w:val="000000" w:themeColor="text1"/>
                <w:highlight w:val="none"/>
                <w14:textFill>
                  <w14:solidFill>
                    <w14:schemeClr w14:val="tx1"/>
                  </w14:solidFill>
                </w14:textFill>
              </w:rPr>
              <w:t>2</w:t>
            </w:r>
            <w:r>
              <w:rPr>
                <w:rFonts w:hint="eastAsia"/>
                <w:color w:val="000000" w:themeColor="text1"/>
                <w:highlight w:val="none"/>
                <w:lang w:val="zh-CN"/>
                <w14:textFill>
                  <w14:solidFill>
                    <w14:schemeClr w14:val="tx1"/>
                  </w14:solidFill>
                </w14:textFill>
              </w:rPr>
              <w:t>）除因不可抗力或招标文件认可的情形以外，中标人不与采购人签订合同的；</w:t>
            </w:r>
          </w:p>
          <w:p w14:paraId="631A28B2">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w:t>
            </w:r>
            <w:r>
              <w:rPr>
                <w:rFonts w:hint="eastAsia"/>
                <w:color w:val="000000" w:themeColor="text1"/>
                <w:highlight w:val="none"/>
                <w14:textFill>
                  <w14:solidFill>
                    <w14:schemeClr w14:val="tx1"/>
                  </w14:solidFill>
                </w14:textFill>
              </w:rPr>
              <w:t>3</w:t>
            </w:r>
            <w:r>
              <w:rPr>
                <w:rFonts w:hint="eastAsia"/>
                <w:color w:val="000000" w:themeColor="text1"/>
                <w:highlight w:val="none"/>
                <w:lang w:val="zh-CN"/>
                <w14:textFill>
                  <w14:solidFill>
                    <w14:schemeClr w14:val="tx1"/>
                  </w14:solidFill>
                </w14:textFill>
              </w:rPr>
              <w:t>）中标人将中标项目转让给他人，或者在投标文件中未说明且未经采购人同意将中标项目分包给他人的；</w:t>
            </w:r>
          </w:p>
          <w:p w14:paraId="4A8B7DF7">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lang w:val="zh-CN"/>
                <w14:textFill>
                  <w14:solidFill>
                    <w14:schemeClr w14:val="tx1"/>
                  </w14:solidFill>
                </w14:textFill>
              </w:rPr>
              <w:t>（</w:t>
            </w:r>
            <w:r>
              <w:rPr>
                <w:rFonts w:hint="eastAsia"/>
                <w:color w:val="000000" w:themeColor="text1"/>
                <w:highlight w:val="none"/>
                <w14:textFill>
                  <w14:solidFill>
                    <w14:schemeClr w14:val="tx1"/>
                  </w14:solidFill>
                </w14:textFill>
              </w:rPr>
              <w:t>4</w:t>
            </w:r>
            <w:r>
              <w:rPr>
                <w:rFonts w:hint="eastAsia"/>
                <w:color w:val="000000" w:themeColor="text1"/>
                <w:highlight w:val="none"/>
                <w:lang w:val="zh-CN"/>
                <w14:textFill>
                  <w14:solidFill>
                    <w14:schemeClr w14:val="tx1"/>
                  </w14:solidFill>
                </w14:textFill>
              </w:rPr>
              <w:t>）投标人相互串通投标或者与采购人串通投标的，向采购人或者评标委员会成员行贿谋取中标的，以他人名义投标或者以其他方式弄虚作假骗取中标的。</w:t>
            </w:r>
          </w:p>
        </w:tc>
      </w:tr>
      <w:tr w14:paraId="7255E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41" w:type="dxa"/>
            <w:vAlign w:val="center"/>
          </w:tcPr>
          <w:p w14:paraId="33741B5A">
            <w:pPr>
              <w:spacing w:before="156" w:line="186" w:lineRule="auto"/>
              <w:ind w:left="229"/>
              <w:jc w:val="both"/>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9</w:t>
            </w:r>
          </w:p>
        </w:tc>
        <w:tc>
          <w:tcPr>
            <w:tcW w:w="1893" w:type="dxa"/>
            <w:vAlign w:val="center"/>
          </w:tcPr>
          <w:p w14:paraId="09793B1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标书费信息</w:t>
            </w:r>
          </w:p>
        </w:tc>
        <w:tc>
          <w:tcPr>
            <w:tcW w:w="7090" w:type="dxa"/>
            <w:vAlign w:val="center"/>
          </w:tcPr>
          <w:p w14:paraId="7E4C75C3">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免费获取</w:t>
            </w:r>
          </w:p>
        </w:tc>
      </w:tr>
      <w:tr w14:paraId="3DAC8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641" w:type="dxa"/>
          </w:tcPr>
          <w:p w14:paraId="59B5F02D">
            <w:pPr>
              <w:spacing w:before="283" w:line="185" w:lineRule="auto"/>
              <w:ind w:left="229"/>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0</w:t>
            </w:r>
          </w:p>
        </w:tc>
        <w:tc>
          <w:tcPr>
            <w:tcW w:w="1893" w:type="dxa"/>
            <w:vAlign w:val="center"/>
          </w:tcPr>
          <w:p w14:paraId="482F28E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履约保证金</w:t>
            </w:r>
          </w:p>
          <w:p w14:paraId="7437B79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（实质性要求）</w:t>
            </w:r>
          </w:p>
        </w:tc>
        <w:tc>
          <w:tcPr>
            <w:tcW w:w="7090" w:type="dxa"/>
            <w:vAlign w:val="center"/>
          </w:tcPr>
          <w:p w14:paraId="0B845C98">
            <w:pPr>
              <w:pStyle w:val="25"/>
              <w:jc w:val="both"/>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不缴纳</w:t>
            </w:r>
          </w:p>
        </w:tc>
      </w:tr>
      <w:tr w14:paraId="17D5F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641" w:type="dxa"/>
          </w:tcPr>
          <w:p w14:paraId="184C759D">
            <w:pPr>
              <w:spacing w:before="280" w:line="187" w:lineRule="auto"/>
              <w:ind w:left="229"/>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1</w:t>
            </w:r>
          </w:p>
        </w:tc>
        <w:tc>
          <w:tcPr>
            <w:tcW w:w="1893" w:type="dxa"/>
            <w:vAlign w:val="center"/>
          </w:tcPr>
          <w:p w14:paraId="4D50DF1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投标有效期</w:t>
            </w:r>
          </w:p>
          <w:p w14:paraId="7CFBC6B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（实质性要求）</w:t>
            </w:r>
          </w:p>
        </w:tc>
        <w:tc>
          <w:tcPr>
            <w:tcW w:w="7090" w:type="dxa"/>
            <w:vAlign w:val="center"/>
          </w:tcPr>
          <w:p w14:paraId="3D4E2973">
            <w:pPr>
              <w:pStyle w:val="25"/>
              <w:jc w:val="both"/>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自提交投标文件的截止之日起不少于 90 天。</w:t>
            </w:r>
          </w:p>
        </w:tc>
      </w:tr>
      <w:tr w14:paraId="774B3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641" w:type="dxa"/>
            <w:vAlign w:val="center"/>
          </w:tcPr>
          <w:p w14:paraId="26080712">
            <w:pPr>
              <w:spacing w:before="61" w:line="186" w:lineRule="auto"/>
              <w:ind w:left="229"/>
              <w:jc w:val="both"/>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2</w:t>
            </w:r>
          </w:p>
        </w:tc>
        <w:tc>
          <w:tcPr>
            <w:tcW w:w="1893" w:type="dxa"/>
            <w:vAlign w:val="center"/>
          </w:tcPr>
          <w:p w14:paraId="72522311">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招标代理服务费</w:t>
            </w:r>
          </w:p>
          <w:p w14:paraId="11EB6F98">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（实质性要求）</w:t>
            </w:r>
          </w:p>
        </w:tc>
        <w:tc>
          <w:tcPr>
            <w:tcW w:w="7090" w:type="dxa"/>
          </w:tcPr>
          <w:p w14:paraId="05C03205">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1、本项目收取代理服务费</w:t>
            </w:r>
          </w:p>
          <w:p w14:paraId="34C4E064">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代理服务费用收取对象：中标人</w:t>
            </w:r>
          </w:p>
          <w:p w14:paraId="669CBE3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代理服务费收费标准：1、以中标金额为基数，参考《国家计委关于印发&lt;招标代理服务收费管理暂行办法&gt;的通知》（计价格【2002】1980号）及《国家发改委关于降低部分建设项目收费标准规范收费行为等有关问题的通知》（发改价格[2011]534号） 规定按标准收取。 </w:t>
            </w:r>
          </w:p>
          <w:p w14:paraId="6D43B816">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2、招标代理服务费可以采取现金、支票、银行汇票、电汇、网银等方式缴纳。</w:t>
            </w:r>
          </w:p>
          <w:p w14:paraId="35ADE5CF">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3、招标代理服务费缴纳信息：</w:t>
            </w:r>
          </w:p>
          <w:p w14:paraId="4ED8DB3E">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银行户名：陕西华采招标有限公司 </w:t>
            </w:r>
          </w:p>
          <w:p w14:paraId="09798BF2">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开户银行：招商银行股份有限公司陕西自贸试验区西安高新科技支行 </w:t>
            </w:r>
          </w:p>
          <w:p w14:paraId="713834A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账 号：1299 0594 2210 666 </w:t>
            </w:r>
          </w:p>
          <w:p w14:paraId="573503C7">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 系人：韩工   联系电话：029-68255920转802</w:t>
            </w:r>
          </w:p>
        </w:tc>
      </w:tr>
      <w:tr w14:paraId="36F6B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641" w:type="dxa"/>
            <w:vAlign w:val="center"/>
          </w:tcPr>
          <w:p w14:paraId="35BAEAD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13</w:t>
            </w:r>
          </w:p>
        </w:tc>
        <w:tc>
          <w:tcPr>
            <w:tcW w:w="1893" w:type="dxa"/>
            <w:vAlign w:val="center"/>
          </w:tcPr>
          <w:p w14:paraId="3CE92A8A">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采购结果公告</w:t>
            </w:r>
          </w:p>
        </w:tc>
        <w:tc>
          <w:tcPr>
            <w:tcW w:w="7090" w:type="dxa"/>
            <w:vAlign w:val="center"/>
          </w:tcPr>
          <w:p w14:paraId="70E3C0AC">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采购结果将在陕西省政府采购网予以公告。</w:t>
            </w:r>
          </w:p>
        </w:tc>
      </w:tr>
      <w:tr w14:paraId="6DECB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641" w:type="dxa"/>
            <w:vAlign w:val="center"/>
          </w:tcPr>
          <w:p w14:paraId="29948D78">
            <w:pPr>
              <w:spacing w:before="61" w:line="185" w:lineRule="auto"/>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4</w:t>
            </w:r>
          </w:p>
        </w:tc>
        <w:tc>
          <w:tcPr>
            <w:tcW w:w="1893" w:type="dxa"/>
            <w:vAlign w:val="center"/>
          </w:tcPr>
          <w:p w14:paraId="31F8E89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中标通知书</w:t>
            </w:r>
          </w:p>
        </w:tc>
        <w:tc>
          <w:tcPr>
            <w:tcW w:w="7090" w:type="dxa"/>
            <w:vAlign w:val="center"/>
          </w:tcPr>
          <w:p w14:paraId="57759196">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采购结果公告发布的同时采购代理机构向中标人发出中标通知书。</w:t>
            </w:r>
          </w:p>
        </w:tc>
      </w:tr>
      <w:tr w14:paraId="4ED11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641" w:type="dxa"/>
            <w:vAlign w:val="center"/>
          </w:tcPr>
          <w:p w14:paraId="527FDE06">
            <w:pPr>
              <w:spacing w:before="61" w:line="186" w:lineRule="auto"/>
              <w:ind w:left="229"/>
              <w:jc w:val="both"/>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5</w:t>
            </w:r>
          </w:p>
        </w:tc>
        <w:tc>
          <w:tcPr>
            <w:tcW w:w="1893" w:type="dxa"/>
            <w:vAlign w:val="center"/>
          </w:tcPr>
          <w:p w14:paraId="459CBA4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政府采购合同公</w:t>
            </w:r>
          </w:p>
          <w:p w14:paraId="0038C5A8">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告、备案</w:t>
            </w:r>
          </w:p>
        </w:tc>
        <w:tc>
          <w:tcPr>
            <w:tcW w:w="7090" w:type="dxa"/>
          </w:tcPr>
          <w:p w14:paraId="3C6BC718">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政府采购合同签订之日起2个工作日内，采购人将政府采购合同在“ 陕西省政府采购网”予以公告；政府采购合同签订之日起7个工作日内，采购人将本项目采购合同通过政府采购平台进行备案。</w:t>
            </w:r>
          </w:p>
        </w:tc>
      </w:tr>
      <w:tr w14:paraId="2AFC0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8" w:hRule="atLeast"/>
        </w:trPr>
        <w:tc>
          <w:tcPr>
            <w:tcW w:w="641" w:type="dxa"/>
            <w:vAlign w:val="center"/>
          </w:tcPr>
          <w:p w14:paraId="3C3A11B7">
            <w:pPr>
              <w:spacing w:before="286"/>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16</w:t>
            </w:r>
          </w:p>
        </w:tc>
        <w:tc>
          <w:tcPr>
            <w:tcW w:w="1893" w:type="dxa"/>
            <w:vAlign w:val="center"/>
          </w:tcPr>
          <w:p w14:paraId="6079096D">
            <w:pPr>
              <w:pStyle w:val="25"/>
              <w:rPr>
                <w:rFonts w:hint="eastAsia"/>
                <w:color w:val="000000" w:themeColor="text1"/>
                <w:highlight w:val="none"/>
                <w14:textFill>
                  <w14:solidFill>
                    <w14:schemeClr w14:val="tx1"/>
                  </w14:solidFill>
                </w14:textFill>
              </w:rPr>
            </w:pPr>
          </w:p>
          <w:p w14:paraId="528030D0">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是否组织潜在投标人进行现场踏勘</w:t>
            </w:r>
          </w:p>
        </w:tc>
        <w:tc>
          <w:tcPr>
            <w:tcW w:w="7090" w:type="dxa"/>
            <w:vAlign w:val="center"/>
          </w:tcPr>
          <w:p w14:paraId="7F9EDAE9">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本项目统一组织踏勘。</w:t>
            </w:r>
          </w:p>
          <w:p w14:paraId="50720A04">
            <w:pPr>
              <w:pStyle w:val="25"/>
              <w:jc w:val="left"/>
              <w:rPr>
                <w:rFonts w:hint="default" w:eastAsia="仿宋"/>
                <w:color w:val="000000" w:themeColor="text1"/>
                <w:highlight w:val="none"/>
                <w:lang w:val="en-US" w:eastAsia="zh-CN"/>
                <w14:textFill>
                  <w14:solidFill>
                    <w14:schemeClr w14:val="tx1"/>
                  </w14:solidFill>
                </w14:textFill>
              </w:rPr>
            </w:pPr>
            <w:r>
              <w:rPr>
                <w:rFonts w:hint="eastAsia"/>
                <w:color w:val="000000" w:themeColor="text1"/>
                <w:highlight w:val="none"/>
                <w:lang w:val="zh-CN"/>
                <w14:textFill>
                  <w14:solidFill>
                    <w14:schemeClr w14:val="tx1"/>
                  </w14:solidFill>
                </w14:textFill>
              </w:rPr>
              <w:t>踏勘时间：20</w:t>
            </w:r>
            <w:r>
              <w:rPr>
                <w:rFonts w:hint="eastAsia"/>
                <w:color w:val="000000" w:themeColor="text1"/>
                <w:highlight w:val="none"/>
                <w14:textFill>
                  <w14:solidFill>
                    <w14:schemeClr w14:val="tx1"/>
                  </w14:solidFill>
                </w14:textFill>
              </w:rPr>
              <w:t>24</w:t>
            </w:r>
            <w:r>
              <w:rPr>
                <w:rFonts w:hint="eastAsia"/>
                <w:color w:val="000000" w:themeColor="text1"/>
                <w:highlight w:val="none"/>
                <w:lang w:val="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val="zh-CN"/>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13</w:t>
            </w:r>
            <w:r>
              <w:rPr>
                <w:rFonts w:hint="eastAsia"/>
                <w:color w:val="000000" w:themeColor="text1"/>
                <w:highlight w:val="none"/>
                <w:lang w:val="zh-CN"/>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00</w:t>
            </w:r>
          </w:p>
          <w:p w14:paraId="78736CEA">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踏勘集合点：秦始皇帝陵博物院西门</w:t>
            </w:r>
          </w:p>
          <w:p w14:paraId="4CB2E237">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踏勘携带资料</w:t>
            </w:r>
            <w:r>
              <w:rPr>
                <w:rFonts w:hint="eastAsia"/>
                <w:color w:val="000000" w:themeColor="text1"/>
                <w:highlight w:val="none"/>
                <w14:textFill>
                  <w14:solidFill>
                    <w14:schemeClr w14:val="tx1"/>
                  </w14:solidFill>
                </w14:textFill>
              </w:rPr>
              <w:t>:</w:t>
            </w:r>
            <w:r>
              <w:rPr>
                <w:rFonts w:hint="eastAsia"/>
                <w:color w:val="000000" w:themeColor="text1"/>
                <w:highlight w:val="none"/>
                <w:lang w:val="zh-CN"/>
                <w14:textFill>
                  <w14:solidFill>
                    <w14:schemeClr w14:val="tx1"/>
                  </w14:solidFill>
                </w14:textFill>
              </w:rPr>
              <w:t>已获取</w:t>
            </w:r>
            <w:r>
              <w:rPr>
                <w:rFonts w:hint="eastAsia"/>
                <w:color w:val="000000" w:themeColor="text1"/>
                <w:highlight w:val="none"/>
                <w14:textFill>
                  <w14:solidFill>
                    <w14:schemeClr w14:val="tx1"/>
                  </w14:solidFill>
                </w14:textFill>
              </w:rPr>
              <w:t>招标</w:t>
            </w:r>
            <w:r>
              <w:rPr>
                <w:rFonts w:hint="eastAsia"/>
                <w:color w:val="000000" w:themeColor="text1"/>
                <w:highlight w:val="none"/>
                <w:lang w:val="zh-CN"/>
                <w14:textFill>
                  <w14:solidFill>
                    <w14:schemeClr w14:val="tx1"/>
                  </w14:solidFill>
                </w14:textFill>
              </w:rPr>
              <w:t>文件的回执函</w:t>
            </w:r>
            <w:r>
              <w:rPr>
                <w:rFonts w:hint="eastAsia"/>
                <w:color w:val="000000" w:themeColor="text1"/>
                <w:highlight w:val="none"/>
                <w14:textFill>
                  <w14:solidFill>
                    <w14:schemeClr w14:val="tx1"/>
                  </w14:solidFill>
                </w14:textFill>
              </w:rPr>
              <w:t>、</w:t>
            </w:r>
            <w:r>
              <w:rPr>
                <w:rFonts w:hint="eastAsia"/>
                <w:color w:val="000000" w:themeColor="text1"/>
                <w:highlight w:val="none"/>
                <w:lang w:val="zh-CN"/>
                <w14:textFill>
                  <w14:solidFill>
                    <w14:schemeClr w14:val="tx1"/>
                  </w14:solidFill>
                </w14:textFill>
              </w:rPr>
              <w:t>公司介绍信及踏勘联系人身份证复印件加盖公章</w:t>
            </w:r>
          </w:p>
          <w:p w14:paraId="242725C9">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lang w:val="zh-CN"/>
                <w14:textFill>
                  <w14:solidFill>
                    <w14:schemeClr w14:val="tx1"/>
                  </w14:solidFill>
                </w14:textFill>
              </w:rPr>
              <w:t>踏勘联系人：孙立博、</w:t>
            </w:r>
            <w:r>
              <w:rPr>
                <w:rFonts w:hint="eastAsia"/>
                <w:color w:val="000000" w:themeColor="text1"/>
                <w:highlight w:val="none"/>
                <w:lang w:val="en-US" w:eastAsia="zh-CN"/>
                <w14:textFill>
                  <w14:solidFill>
                    <w14:schemeClr w14:val="tx1"/>
                  </w14:solidFill>
                </w14:textFill>
              </w:rPr>
              <w:t>张聪聪</w:t>
            </w:r>
            <w:r>
              <w:rPr>
                <w:rFonts w:hint="eastAsia"/>
                <w:color w:val="000000" w:themeColor="text1"/>
                <w:highlight w:val="none"/>
                <w14:textFill>
                  <w14:solidFill>
                    <w14:schemeClr w14:val="tx1"/>
                  </w14:solidFill>
                </w14:textFill>
              </w:rPr>
              <w:t xml:space="preserve">  </w:t>
            </w:r>
          </w:p>
          <w:p w14:paraId="2FB549FE">
            <w:pPr>
              <w:pStyle w:val="25"/>
              <w:jc w:val="left"/>
              <w:rPr>
                <w:rFonts w:hint="default" w:eastAsia="仿宋"/>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联系电话：029-61860666</w:t>
            </w:r>
            <w:r>
              <w:rPr>
                <w:rFonts w:hint="eastAsia"/>
                <w:color w:val="000000" w:themeColor="text1"/>
                <w:highlight w:val="none"/>
                <w:lang w:val="en-US" w:eastAsia="zh-CN"/>
                <w14:textFill>
                  <w14:solidFill>
                    <w14:schemeClr w14:val="tx1"/>
                  </w14:solidFill>
                </w14:textFill>
              </w:rPr>
              <w:t>/17602931961</w:t>
            </w:r>
          </w:p>
          <w:p w14:paraId="6F8A3205">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lang w:val="zh-CN"/>
                <w14:textFill>
                  <w14:solidFill>
                    <w14:schemeClr w14:val="tx1"/>
                  </w14:solidFill>
                </w14:textFill>
              </w:rPr>
              <w:t>超过现场踏勘时间采购人概不接待。</w:t>
            </w:r>
          </w:p>
          <w:p w14:paraId="091ED0D3">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lang w:val="zh-CN"/>
                <w14:textFill>
                  <w14:solidFill>
                    <w14:schemeClr w14:val="tx1"/>
                  </w14:solidFill>
                </w14:textFill>
              </w:rPr>
              <w:t>注</w:t>
            </w:r>
            <w:r>
              <w:rPr>
                <w:rFonts w:hint="eastAsia"/>
                <w:color w:val="000000" w:themeColor="text1"/>
                <w:highlight w:val="none"/>
                <w14:textFill>
                  <w14:solidFill>
                    <w14:schemeClr w14:val="tx1"/>
                  </w14:solidFill>
                </w14:textFill>
              </w:rPr>
              <w:t>：</w:t>
            </w:r>
            <w:r>
              <w:rPr>
                <w:rFonts w:hint="eastAsia"/>
                <w:color w:val="000000" w:themeColor="text1"/>
                <w:highlight w:val="none"/>
                <w:lang w:val="zh-CN"/>
                <w14:textFill>
                  <w14:solidFill>
                    <w14:schemeClr w14:val="tx1"/>
                  </w14:solidFill>
                </w14:textFill>
              </w:rPr>
              <w:t>因踏勘位置特殊</w:t>
            </w:r>
            <w:r>
              <w:rPr>
                <w:rFonts w:hint="eastAsia"/>
                <w:color w:val="000000" w:themeColor="text1"/>
                <w:highlight w:val="none"/>
                <w14:textFill>
                  <w14:solidFill>
                    <w14:schemeClr w14:val="tx1"/>
                  </w14:solidFill>
                </w14:textFill>
              </w:rPr>
              <w:t>，</w:t>
            </w:r>
            <w:r>
              <w:rPr>
                <w:rFonts w:hint="eastAsia"/>
                <w:color w:val="000000" w:themeColor="text1"/>
                <w:highlight w:val="none"/>
                <w:lang w:val="zh-CN"/>
                <w14:textFill>
                  <w14:solidFill>
                    <w14:schemeClr w14:val="tx1"/>
                  </w14:solidFill>
                </w14:textFill>
              </w:rPr>
              <w:t>参与本项目踏勘的投标人需在踏勘前一个工作日将踏勘参与人的姓名</w:t>
            </w:r>
            <w:r>
              <w:rPr>
                <w:rFonts w:hint="eastAsia"/>
                <w:color w:val="000000" w:themeColor="text1"/>
                <w:highlight w:val="none"/>
                <w14:textFill>
                  <w14:solidFill>
                    <w14:schemeClr w14:val="tx1"/>
                  </w14:solidFill>
                </w14:textFill>
              </w:rPr>
              <w:t>(仅限1人）</w:t>
            </w:r>
            <w:r>
              <w:rPr>
                <w:rFonts w:hint="eastAsia"/>
                <w:color w:val="000000" w:themeColor="text1"/>
                <w:highlight w:val="none"/>
                <w:lang w:val="zh-CN"/>
                <w14:textFill>
                  <w14:solidFill>
                    <w14:schemeClr w14:val="tx1"/>
                  </w14:solidFill>
                </w14:textFill>
              </w:rPr>
              <w:t>、</w:t>
            </w:r>
            <w:r>
              <w:rPr>
                <w:rFonts w:hint="eastAsia"/>
                <w:color w:val="000000" w:themeColor="text1"/>
                <w:highlight w:val="none"/>
                <w14:textFill>
                  <w14:solidFill>
                    <w14:schemeClr w14:val="tx1"/>
                  </w14:solidFill>
                </w14:textFill>
              </w:rPr>
              <w:t>联系电话、</w:t>
            </w:r>
            <w:r>
              <w:rPr>
                <w:rFonts w:hint="eastAsia"/>
                <w:color w:val="000000" w:themeColor="text1"/>
                <w:highlight w:val="none"/>
                <w:lang w:val="zh-CN"/>
                <w14:textFill>
                  <w14:solidFill>
                    <w14:schemeClr w14:val="tx1"/>
                  </w14:solidFill>
                </w14:textFill>
              </w:rPr>
              <w:t>身份证号码及公司邮箱发至</w:t>
            </w:r>
            <w:r>
              <w:rPr>
                <w:rFonts w:hint="eastAsia"/>
                <w:color w:val="000000" w:themeColor="text1"/>
                <w:highlight w:val="none"/>
                <w14:textFill>
                  <w14:solidFill>
                    <w14:schemeClr w14:val="tx1"/>
                  </w14:solidFill>
                </w14:textFill>
              </w:rPr>
              <w:t>3304882861@qq.com，</w:t>
            </w:r>
            <w:r>
              <w:rPr>
                <w:rFonts w:hint="eastAsia"/>
                <w:color w:val="000000" w:themeColor="text1"/>
                <w:highlight w:val="none"/>
                <w:lang w:val="zh-CN"/>
                <w14:textFill>
                  <w14:solidFill>
                    <w14:schemeClr w14:val="tx1"/>
                  </w14:solidFill>
                </w14:textFill>
              </w:rPr>
              <w:t>若未发送信息或信息缺项</w:t>
            </w:r>
            <w:r>
              <w:rPr>
                <w:rFonts w:hint="eastAsia"/>
                <w:color w:val="000000" w:themeColor="text1"/>
                <w:highlight w:val="none"/>
                <w14:textFill>
                  <w14:solidFill>
                    <w14:schemeClr w14:val="tx1"/>
                  </w14:solidFill>
                </w14:textFill>
              </w:rPr>
              <w:t>，</w:t>
            </w:r>
            <w:r>
              <w:rPr>
                <w:rFonts w:hint="eastAsia"/>
                <w:color w:val="000000" w:themeColor="text1"/>
                <w:highlight w:val="none"/>
                <w:lang w:val="zh-CN"/>
                <w14:textFill>
                  <w14:solidFill>
                    <w14:schemeClr w14:val="tx1"/>
                  </w14:solidFill>
                </w14:textFill>
              </w:rPr>
              <w:t>会导致无法入场。</w:t>
            </w:r>
          </w:p>
        </w:tc>
      </w:tr>
      <w:tr w14:paraId="34CC7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641" w:type="dxa"/>
            <w:vAlign w:val="center"/>
          </w:tcPr>
          <w:p w14:paraId="0B9D9188">
            <w:pPr>
              <w:spacing w:before="160" w:line="186" w:lineRule="auto"/>
              <w:ind w:left="229"/>
              <w:jc w:val="both"/>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14:textFill>
                  <w14:solidFill>
                    <w14:schemeClr w14:val="tx1"/>
                  </w14:solidFill>
                </w14:textFill>
              </w:rPr>
              <w:t>1</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7</w:t>
            </w:r>
          </w:p>
        </w:tc>
        <w:tc>
          <w:tcPr>
            <w:tcW w:w="1893" w:type="dxa"/>
            <w:vAlign w:val="center"/>
          </w:tcPr>
          <w:p w14:paraId="6638095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特殊情况</w:t>
            </w:r>
          </w:p>
        </w:tc>
        <w:tc>
          <w:tcPr>
            <w:tcW w:w="7090" w:type="dxa"/>
          </w:tcPr>
          <w:p w14:paraId="0EF7829C">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出现下列情形之一的，采购人或者代理机构应当中止电子化采购活动，并保留相关证明材料备查：</w:t>
            </w:r>
          </w:p>
          <w:p w14:paraId="016943B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1、交易系统发生故障（包括感染病毒、应用或数据库出错）而无法正常使用的；</w:t>
            </w:r>
          </w:p>
          <w:p w14:paraId="3F010FDE">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2、因组织场所停电、断网等原因，导致采购活动无法继续通过交易系统实施的；</w:t>
            </w:r>
          </w:p>
          <w:p w14:paraId="343B64F4">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3、其他无法保证电子化交易的公平、公正和安全的情况。</w:t>
            </w:r>
          </w:p>
          <w:p w14:paraId="7DA74C71">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出现上述的情形，不影响采购公平、公正的，采购人或者代理机构可以待上述情形消除后继续组织采购活动；影响或者可能影响采购公平、公正的，采购人或者代理机构应当依法终止采购活动。</w:t>
            </w:r>
          </w:p>
        </w:tc>
      </w:tr>
      <w:tr w14:paraId="149FA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7" w:hRule="atLeast"/>
        </w:trPr>
        <w:tc>
          <w:tcPr>
            <w:tcW w:w="641" w:type="dxa"/>
            <w:vAlign w:val="center"/>
          </w:tcPr>
          <w:p w14:paraId="183BCAA5">
            <w:pPr>
              <w:spacing w:before="160" w:line="186" w:lineRule="auto"/>
              <w:ind w:left="229"/>
              <w:jc w:val="both"/>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18</w:t>
            </w:r>
          </w:p>
        </w:tc>
        <w:tc>
          <w:tcPr>
            <w:tcW w:w="1893" w:type="dxa"/>
            <w:vAlign w:val="center"/>
          </w:tcPr>
          <w:p w14:paraId="46891360">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其他补充事宜</w:t>
            </w:r>
          </w:p>
        </w:tc>
        <w:tc>
          <w:tcPr>
            <w:tcW w:w="7090" w:type="dxa"/>
          </w:tcPr>
          <w:p w14:paraId="25F09EC7">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1、本项目所属行业为:建筑业。</w:t>
            </w:r>
          </w:p>
          <w:p w14:paraId="75943477">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中标人在领取中标通知书时，须向采购代理机构提供纸质版投标文件3套，且提供的投标文件必须与在陕西省政府采购综合管理平台的项目电子化交易系统中递交的电子投标文件内容一致，纸质版投标文件必须装订成册并签字盖章。</w:t>
            </w:r>
          </w:p>
          <w:p w14:paraId="53127857">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3、如招标文件中融资相关内容与新政策要求有出入，按照最新要求执行。</w:t>
            </w:r>
          </w:p>
        </w:tc>
      </w:tr>
    </w:tbl>
    <w:p w14:paraId="68269A31">
      <w:pPr>
        <w:pStyle w:val="2"/>
        <w:rPr>
          <w:rFonts w:hint="eastAsia"/>
          <w:highlight w:val="none"/>
        </w:rPr>
      </w:pPr>
    </w:p>
    <w:p w14:paraId="15415F0F">
      <w:pPr>
        <w:rPr>
          <w:rFonts w:hint="eastAsia" w:ascii="仿宋" w:hAnsi="仿宋" w:eastAsia="仿宋" w:cs="仿宋"/>
          <w:sz w:val="24"/>
          <w:szCs w:val="24"/>
          <w:highlight w:val="none"/>
          <w:lang w:eastAsia="zh-CN"/>
        </w:rPr>
        <w:sectPr>
          <w:pgSz w:w="11900" w:h="16839"/>
          <w:pgMar w:top="1406" w:right="1242" w:bottom="896" w:left="1406" w:header="0" w:footer="731" w:gutter="0"/>
          <w:cols w:space="0" w:num="1"/>
        </w:sectPr>
      </w:pPr>
    </w:p>
    <w:p w14:paraId="748F8163">
      <w:pPr>
        <w:widowControl w:val="0"/>
        <w:spacing w:before="30" w:line="228" w:lineRule="auto"/>
        <w:ind w:left="14"/>
        <w:outlineLvl w:val="1"/>
        <w:rPr>
          <w:rFonts w:hint="eastAsia" w:ascii="仿宋" w:hAnsi="仿宋" w:eastAsia="仿宋" w:cs="仿宋"/>
          <w:sz w:val="24"/>
          <w:szCs w:val="24"/>
          <w:highlight w:val="none"/>
          <w:lang w:eastAsia="zh-CN"/>
        </w:rPr>
      </w:pPr>
      <w:bookmarkStart w:id="19" w:name="_Toc2618"/>
      <w:r>
        <w:rPr>
          <w:rFonts w:hint="eastAsia" w:ascii="仿宋" w:hAnsi="仿宋" w:eastAsia="仿宋" w:cs="仿宋"/>
          <w:b/>
          <w:bCs/>
          <w:spacing w:val="7"/>
          <w:sz w:val="24"/>
          <w:szCs w:val="24"/>
          <w:highlight w:val="none"/>
          <w:lang w:eastAsia="zh-CN"/>
        </w:rPr>
        <w:t>2.2</w:t>
      </w:r>
      <w:r>
        <w:rPr>
          <w:rFonts w:hint="eastAsia" w:ascii="仿宋" w:hAnsi="仿宋" w:eastAsia="仿宋" w:cs="仿宋"/>
          <w:b/>
          <w:bCs/>
          <w:spacing w:val="43"/>
          <w:sz w:val="24"/>
          <w:szCs w:val="24"/>
          <w:highlight w:val="none"/>
          <w:lang w:eastAsia="zh-CN"/>
        </w:rPr>
        <w:t xml:space="preserve"> </w:t>
      </w:r>
      <w:r>
        <w:rPr>
          <w:rFonts w:hint="eastAsia" w:ascii="仿宋" w:hAnsi="仿宋" w:eastAsia="仿宋" w:cs="仿宋"/>
          <w:spacing w:val="7"/>
          <w:sz w:val="24"/>
          <w:szCs w:val="24"/>
          <w:highlight w:val="none"/>
          <w:lang w:eastAsia="zh-CN"/>
          <w14:textOutline w14:w="3797" w14:cap="sq" w14:cmpd="sng" w14:algn="ctr">
            <w14:solidFill>
              <w14:srgbClr w14:val="000000"/>
            </w14:solidFill>
            <w14:prstDash w14:val="solid"/>
            <w14:bevel/>
          </w14:textOutline>
        </w:rPr>
        <w:t>总则</w:t>
      </w:r>
      <w:bookmarkEnd w:id="19"/>
    </w:p>
    <w:p w14:paraId="45FA128E">
      <w:pPr>
        <w:widowControl w:val="0"/>
        <w:spacing w:before="203" w:line="227" w:lineRule="auto"/>
        <w:outlineLvl w:val="2"/>
        <w:rPr>
          <w:rFonts w:hint="eastAsia" w:ascii="仿宋" w:hAnsi="仿宋" w:eastAsia="仿宋" w:cs="仿宋"/>
          <w:spacing w:val="9"/>
          <w:sz w:val="24"/>
          <w:szCs w:val="24"/>
          <w:highlight w:val="none"/>
          <w:lang w:eastAsia="zh-CN"/>
        </w:rPr>
      </w:pPr>
      <w:bookmarkStart w:id="20" w:name="_Toc18980"/>
      <w:r>
        <w:rPr>
          <w:rFonts w:hint="eastAsia" w:ascii="仿宋" w:hAnsi="仿宋" w:eastAsia="仿宋" w:cs="仿宋"/>
          <w:spacing w:val="9"/>
          <w:sz w:val="24"/>
          <w:szCs w:val="24"/>
          <w:highlight w:val="none"/>
          <w:lang w:eastAsia="zh-CN"/>
        </w:rPr>
        <w:t>2.2.1 适用范围</w:t>
      </w:r>
      <w:bookmarkEnd w:id="20"/>
    </w:p>
    <w:p w14:paraId="376A137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一、本招标文件仅适用于本次公开招标采购项目。</w:t>
      </w:r>
    </w:p>
    <w:p w14:paraId="0299BEB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二、本招标文件的最终解释权由秦始皇帝陵博物院和陕西华采招标有限公司享有。对招标文件中投标人参加本次政府采购活动应当具备的条件，招标项目技术、服务、商务及其他要求， 评标细则及标准由秦始皇帝陵博物院负责解释。除上述招标文件内容，其他内容由陕西华采招标有限公司负责解释。</w:t>
      </w:r>
    </w:p>
    <w:p w14:paraId="609CE621">
      <w:pPr>
        <w:widowControl w:val="0"/>
        <w:spacing w:before="203" w:line="227" w:lineRule="auto"/>
        <w:outlineLvl w:val="2"/>
        <w:rPr>
          <w:rFonts w:hint="eastAsia" w:ascii="仿宋" w:hAnsi="仿宋" w:eastAsia="仿宋" w:cs="仿宋"/>
          <w:spacing w:val="9"/>
          <w:sz w:val="24"/>
          <w:szCs w:val="24"/>
          <w:highlight w:val="none"/>
          <w:lang w:eastAsia="zh-CN"/>
        </w:rPr>
      </w:pPr>
      <w:bookmarkStart w:id="21" w:name="_Toc25240"/>
      <w:r>
        <w:rPr>
          <w:rFonts w:hint="eastAsia" w:ascii="仿宋" w:hAnsi="仿宋" w:eastAsia="仿宋" w:cs="仿宋"/>
          <w:spacing w:val="9"/>
          <w:sz w:val="24"/>
          <w:szCs w:val="24"/>
          <w:highlight w:val="none"/>
          <w:lang w:eastAsia="zh-CN"/>
        </w:rPr>
        <w:t>2.2.2 有关定义</w:t>
      </w:r>
      <w:bookmarkEnd w:id="21"/>
    </w:p>
    <w:p w14:paraId="580149C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一、“采购人”是指依法进行政府采购的各级国家机关、事业单位、团体组织。本次招标的采购人是秦始皇帝陵博物院。</w:t>
      </w:r>
    </w:p>
    <w:p w14:paraId="5DBA551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二、“投标人”是指按照采购公告规定获取了招标文件，拟参加投标和向采购人提供货物、工程或服务的法人、其他组织或者自然人。</w:t>
      </w:r>
    </w:p>
    <w:p w14:paraId="72C397D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三、“代理机构”是指政府采购集中采购机构和从事政府采购代理业务的社会中介机构。本项目的代理机构是陕西华采招标有限公司。</w:t>
      </w:r>
    </w:p>
    <w:p w14:paraId="46AE666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 网上开标”是指代理机构通过项目电子化交易系统在线完成签到、开标、唱标和记录等活动，投标人通过项目电子化交易系统在线完成投标文件解密、参与开标活动。</w:t>
      </w:r>
    </w:p>
    <w:p w14:paraId="6DEC3D4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 电子评标”是指通过项目电子化交易系统在线完成资格审查小组和评审小组组建，开展资格和符合性审查、比较与评价、出具评标报告、推荐中标候选投标人等活动。</w:t>
      </w:r>
    </w:p>
    <w:p w14:paraId="292DB2AA">
      <w:pPr>
        <w:widowControl w:val="0"/>
        <w:spacing w:before="163" w:line="228" w:lineRule="auto"/>
        <w:ind w:left="14"/>
        <w:outlineLvl w:val="1"/>
        <w:rPr>
          <w:rFonts w:hint="eastAsia" w:ascii="仿宋" w:hAnsi="仿宋" w:eastAsia="仿宋" w:cs="仿宋"/>
          <w:sz w:val="24"/>
          <w:szCs w:val="24"/>
          <w:highlight w:val="none"/>
          <w:lang w:eastAsia="zh-CN"/>
        </w:rPr>
      </w:pPr>
      <w:bookmarkStart w:id="22" w:name="_Toc18705"/>
      <w:r>
        <w:rPr>
          <w:rFonts w:hint="eastAsia" w:ascii="仿宋" w:hAnsi="仿宋" w:eastAsia="仿宋" w:cs="仿宋"/>
          <w:b/>
          <w:bCs/>
          <w:spacing w:val="17"/>
          <w:sz w:val="24"/>
          <w:szCs w:val="24"/>
          <w:highlight w:val="none"/>
          <w:lang w:eastAsia="zh-CN"/>
        </w:rPr>
        <w:t>2.3</w:t>
      </w:r>
      <w:r>
        <w:rPr>
          <w:rFonts w:hint="eastAsia" w:ascii="仿宋" w:hAnsi="仿宋" w:eastAsia="仿宋" w:cs="仿宋"/>
          <w:b/>
          <w:bCs/>
          <w:spacing w:val="40"/>
          <w:w w:val="101"/>
          <w:sz w:val="24"/>
          <w:szCs w:val="24"/>
          <w:highlight w:val="none"/>
          <w:lang w:eastAsia="zh-CN"/>
        </w:rPr>
        <w:t xml:space="preserve"> </w:t>
      </w:r>
      <w:r>
        <w:rPr>
          <w:rFonts w:hint="eastAsia" w:ascii="仿宋" w:hAnsi="仿宋" w:eastAsia="仿宋" w:cs="仿宋"/>
          <w:spacing w:val="17"/>
          <w:sz w:val="24"/>
          <w:szCs w:val="24"/>
          <w:highlight w:val="none"/>
          <w:lang w:eastAsia="zh-CN"/>
          <w14:textOutline w14:w="3797" w14:cap="sq" w14:cmpd="sng" w14:algn="ctr">
            <w14:solidFill>
              <w14:srgbClr w14:val="000000"/>
            </w14:solidFill>
            <w14:prstDash w14:val="solid"/>
            <w14:bevel/>
          </w14:textOutline>
        </w:rPr>
        <w:t>招标文件</w:t>
      </w:r>
      <w:bookmarkEnd w:id="22"/>
    </w:p>
    <w:p w14:paraId="3107C791">
      <w:pPr>
        <w:widowControl w:val="0"/>
        <w:spacing w:before="203" w:line="227" w:lineRule="auto"/>
        <w:outlineLvl w:val="2"/>
        <w:rPr>
          <w:rFonts w:hint="eastAsia" w:ascii="仿宋" w:hAnsi="仿宋" w:eastAsia="仿宋" w:cs="仿宋"/>
          <w:spacing w:val="9"/>
          <w:sz w:val="24"/>
          <w:szCs w:val="24"/>
          <w:highlight w:val="none"/>
          <w:lang w:eastAsia="zh-CN"/>
        </w:rPr>
      </w:pPr>
      <w:bookmarkStart w:id="23" w:name="_Toc7380"/>
      <w:r>
        <w:rPr>
          <w:rFonts w:hint="eastAsia" w:ascii="仿宋" w:hAnsi="仿宋" w:eastAsia="仿宋" w:cs="仿宋"/>
          <w:spacing w:val="9"/>
          <w:sz w:val="24"/>
          <w:szCs w:val="24"/>
          <w:highlight w:val="none"/>
          <w:lang w:eastAsia="zh-CN"/>
        </w:rPr>
        <w:t>2.3.1 招标文件的构成</w:t>
      </w:r>
      <w:bookmarkEnd w:id="23"/>
    </w:p>
    <w:p w14:paraId="10D1E88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招标文件是投标人准备投标文件和参加投标的依据，同时也是资格审查、评标的重要依据。招标文件用以阐明招标项目所需的资质、技术、服务及报价等要求、招标投标程序、有关规定和注意事项以及合同主要条款等。</w:t>
      </w:r>
    </w:p>
    <w:p w14:paraId="444D727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本招标文件包括以下内容：</w:t>
      </w:r>
    </w:p>
    <w:p w14:paraId="319D3F0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（一）投标邀请；</w:t>
      </w:r>
    </w:p>
    <w:p w14:paraId="7CE9F52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（二）投标人须知；</w:t>
      </w:r>
    </w:p>
    <w:p w14:paraId="44669F7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（三）招标内容及要求；</w:t>
      </w:r>
    </w:p>
    <w:p w14:paraId="523FF65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（四）资格审查；</w:t>
      </w:r>
    </w:p>
    <w:p w14:paraId="04B0CB0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（五）评标办法；</w:t>
      </w:r>
    </w:p>
    <w:p w14:paraId="7E6F6C7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（六）拟签订采购合同文本；</w:t>
      </w:r>
    </w:p>
    <w:p w14:paraId="7842BF4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（七）投标文件格式。</w:t>
      </w:r>
    </w:p>
    <w:p w14:paraId="0073B26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二、投标人应认真阅读和充分理解招标文件中所有的事项、格式条款和规范要求。投标人没有对招标文件全面做出实质性响应所产生的风险由投标人承担。</w:t>
      </w:r>
    </w:p>
    <w:p w14:paraId="76B6956D">
      <w:pPr>
        <w:widowControl w:val="0"/>
        <w:spacing w:before="203" w:line="377" w:lineRule="auto"/>
        <w:ind w:right="70"/>
        <w:outlineLvl w:val="2"/>
        <w:rPr>
          <w:rFonts w:hint="eastAsia" w:ascii="仿宋" w:hAnsi="仿宋" w:eastAsia="仿宋" w:cs="仿宋"/>
          <w:spacing w:val="8"/>
          <w:sz w:val="24"/>
          <w:szCs w:val="24"/>
          <w:highlight w:val="none"/>
          <w:lang w:eastAsia="zh-CN"/>
        </w:rPr>
      </w:pPr>
      <w:bookmarkStart w:id="24" w:name="_Toc2033"/>
      <w:r>
        <w:rPr>
          <w:rFonts w:hint="eastAsia" w:ascii="仿宋" w:hAnsi="仿宋" w:eastAsia="仿宋" w:cs="仿宋"/>
          <w:spacing w:val="8"/>
          <w:sz w:val="24"/>
          <w:szCs w:val="24"/>
          <w:highlight w:val="none"/>
          <w:lang w:eastAsia="zh-CN"/>
        </w:rPr>
        <w:t>2.3.2 招标文件的澄清和修改</w:t>
      </w:r>
      <w:bookmarkEnd w:id="24"/>
    </w:p>
    <w:p w14:paraId="7CF3DFC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一、在投标文件提交截止时间前，采购人或者代理机构可以对已发出的招标文件进行必要的澄清或者修改。</w:t>
      </w:r>
    </w:p>
    <w:p w14:paraId="0D48F48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二、澄清或者修改的内容为招标文件的组成部分，采购人或者代理机构将在陕西省政府采购网发 布更正公告，投标人应及时关注本项目更正公告信息，按更正后公告要求进行响应。更正内容可能影 响投标文件编制的，采购人或者代理机构将通过项目电子化交易系统发布更正后的招标文件，投标人应依据更正后的招标文件编制投标文件。若投标人未按前述要求进行投标响应的，自行承担不利后果。</w:t>
      </w:r>
    </w:p>
    <w:p w14:paraId="74184E0F">
      <w:pPr>
        <w:widowControl w:val="0"/>
        <w:spacing w:before="161" w:line="228" w:lineRule="auto"/>
        <w:outlineLvl w:val="1"/>
        <w:rPr>
          <w:rFonts w:hint="eastAsia" w:ascii="仿宋" w:hAnsi="仿宋" w:eastAsia="仿宋" w:cs="仿宋"/>
          <w:sz w:val="24"/>
          <w:szCs w:val="24"/>
          <w:highlight w:val="none"/>
          <w:lang w:eastAsia="zh-CN"/>
        </w:rPr>
      </w:pPr>
      <w:bookmarkStart w:id="25" w:name="_Toc24475"/>
      <w:r>
        <w:rPr>
          <w:rFonts w:hint="eastAsia" w:ascii="仿宋" w:hAnsi="仿宋" w:eastAsia="仿宋" w:cs="仿宋"/>
          <w:b/>
          <w:bCs/>
          <w:spacing w:val="20"/>
          <w:sz w:val="24"/>
          <w:szCs w:val="24"/>
          <w:highlight w:val="none"/>
          <w:lang w:eastAsia="zh-CN"/>
        </w:rPr>
        <w:t>2.4</w:t>
      </w:r>
      <w:r>
        <w:rPr>
          <w:rFonts w:hint="eastAsia" w:ascii="仿宋" w:hAnsi="仿宋" w:eastAsia="仿宋" w:cs="仿宋"/>
          <w:b/>
          <w:bCs/>
          <w:spacing w:val="44"/>
          <w:w w:val="101"/>
          <w:sz w:val="24"/>
          <w:szCs w:val="24"/>
          <w:highlight w:val="none"/>
          <w:lang w:eastAsia="zh-CN"/>
        </w:rPr>
        <w:t xml:space="preserve"> </w:t>
      </w:r>
      <w:r>
        <w:rPr>
          <w:rFonts w:hint="eastAsia" w:ascii="仿宋" w:hAnsi="仿宋" w:eastAsia="仿宋" w:cs="仿宋"/>
          <w:spacing w:val="20"/>
          <w:sz w:val="24"/>
          <w:szCs w:val="24"/>
          <w:highlight w:val="none"/>
          <w:lang w:eastAsia="zh-CN"/>
          <w14:textOutline w14:w="3797" w14:cap="sq" w14:cmpd="sng" w14:algn="ctr">
            <w14:solidFill>
              <w14:srgbClr w14:val="000000"/>
            </w14:solidFill>
            <w14:prstDash w14:val="solid"/>
            <w14:bevel/>
          </w14:textOutline>
        </w:rPr>
        <w:t>投标文件</w:t>
      </w:r>
      <w:bookmarkEnd w:id="25"/>
    </w:p>
    <w:p w14:paraId="7CA1A4E2">
      <w:pPr>
        <w:widowControl w:val="0"/>
        <w:spacing w:before="203" w:line="227" w:lineRule="auto"/>
        <w:outlineLvl w:val="2"/>
        <w:rPr>
          <w:rFonts w:hint="eastAsia" w:ascii="仿宋" w:hAnsi="仿宋" w:eastAsia="仿宋" w:cs="仿宋"/>
          <w:spacing w:val="9"/>
          <w:sz w:val="24"/>
          <w:szCs w:val="24"/>
          <w:highlight w:val="none"/>
          <w:lang w:eastAsia="zh-CN"/>
        </w:rPr>
      </w:pPr>
      <w:bookmarkStart w:id="26" w:name="_Toc26892"/>
      <w:r>
        <w:rPr>
          <w:rFonts w:hint="eastAsia" w:ascii="仿宋" w:hAnsi="仿宋" w:eastAsia="仿宋" w:cs="仿宋"/>
          <w:spacing w:val="9"/>
          <w:sz w:val="24"/>
          <w:szCs w:val="24"/>
          <w:highlight w:val="none"/>
          <w:lang w:eastAsia="zh-CN"/>
        </w:rPr>
        <w:t>2.4.1 投标文件的语言</w:t>
      </w:r>
      <w:bookmarkEnd w:id="26"/>
    </w:p>
    <w:p w14:paraId="53A9F12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一、投标人提交的投标文件以及投标人与采购人或代理机构就有关投标的所有来往书面文件均须 使用中文。投标文件中如附有外文资料，主要部分要对应翻译成中文并附在相关外文资料后面。未翻译的外文资料，评标委员会将其视为无效材料。</w:t>
      </w:r>
    </w:p>
    <w:p w14:paraId="58034C7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二、翻译的中文资料与外文资料如果出现差异和矛盾时，以中文为准。涉嫌提供虚假材料的按照相关法律法规处理。</w:t>
      </w:r>
    </w:p>
    <w:p w14:paraId="7CA18D6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三、如因未翻译而造成对投标人的不利后果， 由投标人承担。</w:t>
      </w:r>
    </w:p>
    <w:p w14:paraId="04E35A46">
      <w:pPr>
        <w:widowControl w:val="0"/>
        <w:spacing w:before="203" w:line="227" w:lineRule="auto"/>
        <w:outlineLvl w:val="2"/>
        <w:rPr>
          <w:rFonts w:hint="eastAsia" w:ascii="仿宋" w:hAnsi="仿宋" w:eastAsia="仿宋" w:cs="仿宋"/>
          <w:spacing w:val="9"/>
          <w:sz w:val="24"/>
          <w:szCs w:val="24"/>
          <w:highlight w:val="none"/>
          <w:lang w:eastAsia="zh-CN"/>
        </w:rPr>
      </w:pPr>
      <w:bookmarkStart w:id="27" w:name="_Toc18713"/>
      <w:r>
        <w:rPr>
          <w:rFonts w:hint="eastAsia" w:ascii="仿宋" w:hAnsi="仿宋" w:eastAsia="仿宋" w:cs="仿宋"/>
          <w:spacing w:val="9"/>
          <w:sz w:val="24"/>
          <w:szCs w:val="24"/>
          <w:highlight w:val="none"/>
          <w:lang w:eastAsia="zh-CN"/>
        </w:rPr>
        <w:t>2.4.2 计量单位</w:t>
      </w:r>
      <w:bookmarkEnd w:id="27"/>
    </w:p>
    <w:p w14:paraId="72034792">
      <w:pPr>
        <w:widowControl w:val="0"/>
        <w:spacing w:before="203" w:line="227" w:lineRule="auto"/>
        <w:ind w:firstLine="516" w:firstLineChars="200"/>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除招标文件中另有规定外，本项目均采用国家法定的</w:t>
      </w:r>
      <w:r>
        <w:rPr>
          <w:rFonts w:hint="eastAsia" w:ascii="仿宋" w:hAnsi="仿宋" w:eastAsia="仿宋" w:cs="仿宋"/>
          <w:spacing w:val="8"/>
          <w:sz w:val="24"/>
          <w:szCs w:val="24"/>
          <w:highlight w:val="none"/>
          <w:lang w:eastAsia="zh-CN"/>
        </w:rPr>
        <w:t>计量单位。</w:t>
      </w:r>
    </w:p>
    <w:p w14:paraId="0A546004">
      <w:pPr>
        <w:widowControl w:val="0"/>
        <w:spacing w:before="203" w:line="227" w:lineRule="auto"/>
        <w:outlineLvl w:val="2"/>
        <w:rPr>
          <w:rFonts w:hint="eastAsia" w:ascii="仿宋" w:hAnsi="仿宋" w:eastAsia="仿宋" w:cs="仿宋"/>
          <w:spacing w:val="9"/>
          <w:sz w:val="24"/>
          <w:szCs w:val="24"/>
          <w:highlight w:val="none"/>
          <w:lang w:eastAsia="zh-CN"/>
        </w:rPr>
      </w:pPr>
      <w:bookmarkStart w:id="28" w:name="_Toc27327"/>
      <w:r>
        <w:rPr>
          <w:rFonts w:hint="eastAsia" w:ascii="仿宋" w:hAnsi="仿宋" w:eastAsia="仿宋" w:cs="仿宋"/>
          <w:spacing w:val="9"/>
          <w:sz w:val="24"/>
          <w:szCs w:val="24"/>
          <w:highlight w:val="none"/>
          <w:lang w:eastAsia="zh-CN"/>
        </w:rPr>
        <w:t>2.4.3 投标货币</w:t>
      </w:r>
      <w:bookmarkEnd w:id="28"/>
    </w:p>
    <w:p w14:paraId="0F49E724">
      <w:pPr>
        <w:widowControl w:val="0"/>
        <w:spacing w:before="205" w:line="226" w:lineRule="auto"/>
        <w:ind w:left="420"/>
        <w:rPr>
          <w:rFonts w:hint="eastAsia" w:ascii="仿宋" w:hAnsi="仿宋" w:eastAsia="仿宋" w:cs="仿宋"/>
          <w:sz w:val="24"/>
          <w:szCs w:val="24"/>
          <w:highlight w:val="none"/>
          <w:lang w:eastAsia="zh-CN"/>
        </w:rPr>
      </w:pPr>
      <w:r>
        <w:rPr>
          <w:rFonts w:hint="eastAsia" w:ascii="仿宋" w:hAnsi="仿宋" w:eastAsia="仿宋" w:cs="仿宋"/>
          <w:spacing w:val="8"/>
          <w:sz w:val="24"/>
          <w:szCs w:val="24"/>
          <w:highlight w:val="none"/>
          <w:lang w:eastAsia="zh-CN"/>
        </w:rPr>
        <w:t>本次项目均以人民币报价。</w:t>
      </w:r>
    </w:p>
    <w:p w14:paraId="392F20CF">
      <w:pPr>
        <w:widowControl w:val="0"/>
        <w:spacing w:before="203" w:line="227" w:lineRule="auto"/>
        <w:outlineLvl w:val="2"/>
        <w:rPr>
          <w:rFonts w:hint="eastAsia" w:ascii="仿宋" w:hAnsi="仿宋" w:eastAsia="仿宋" w:cs="仿宋"/>
          <w:spacing w:val="9"/>
          <w:sz w:val="24"/>
          <w:szCs w:val="24"/>
          <w:highlight w:val="none"/>
          <w:lang w:eastAsia="zh-CN"/>
        </w:rPr>
      </w:pPr>
      <w:bookmarkStart w:id="29" w:name="_Toc23447"/>
      <w:r>
        <w:rPr>
          <w:rFonts w:hint="eastAsia" w:ascii="仿宋" w:hAnsi="仿宋" w:eastAsia="仿宋" w:cs="仿宋"/>
          <w:spacing w:val="9"/>
          <w:sz w:val="24"/>
          <w:szCs w:val="24"/>
          <w:highlight w:val="none"/>
          <w:lang w:eastAsia="zh-CN"/>
        </w:rPr>
        <w:t>2.4.4 知识产权</w:t>
      </w:r>
      <w:bookmarkEnd w:id="29"/>
    </w:p>
    <w:p w14:paraId="06C578F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一、投标人应保证在本项目中使用的任何技术、产品和服务（包括部分使用），不会产生因第三方提出侵犯其专利权、商标权或其它知识产权而引起的法律和经济纠纷，如因专利权、商标权或其它 知识产权而引起法律和经济纠纷，由投标人承担所有相关责任。采购人享有本项目实施过程中产生的知识成果及知识产权。</w:t>
      </w:r>
    </w:p>
    <w:p w14:paraId="7437120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26BA3C5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三、如采用投标人所不拥有的知识产权，则在投标报价中必须包括合法使用该知识产权的相关费用。</w:t>
      </w:r>
    </w:p>
    <w:p w14:paraId="306A5310">
      <w:pPr>
        <w:widowControl w:val="0"/>
        <w:spacing w:before="203" w:line="227" w:lineRule="auto"/>
        <w:outlineLvl w:val="2"/>
        <w:rPr>
          <w:rFonts w:hint="eastAsia" w:ascii="仿宋" w:hAnsi="仿宋" w:eastAsia="仿宋" w:cs="仿宋"/>
          <w:spacing w:val="9"/>
          <w:sz w:val="24"/>
          <w:szCs w:val="24"/>
          <w:highlight w:val="none"/>
          <w:lang w:eastAsia="zh-CN"/>
        </w:rPr>
      </w:pPr>
      <w:bookmarkStart w:id="30" w:name="_Toc30246"/>
      <w:r>
        <w:rPr>
          <w:rFonts w:hint="eastAsia" w:ascii="仿宋" w:hAnsi="仿宋" w:eastAsia="仿宋" w:cs="仿宋"/>
          <w:spacing w:val="9"/>
          <w:sz w:val="24"/>
          <w:szCs w:val="24"/>
          <w:highlight w:val="none"/>
          <w:lang w:eastAsia="zh-CN"/>
        </w:rPr>
        <w:t>2.4.5 投标文件的组成</w:t>
      </w:r>
      <w:bookmarkEnd w:id="30"/>
    </w:p>
    <w:p w14:paraId="52D32A97">
      <w:pPr>
        <w:widowControl w:val="0"/>
        <w:spacing w:before="205" w:line="377" w:lineRule="auto"/>
        <w:ind w:right="70" w:firstLine="422"/>
        <w:jc w:val="both"/>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投标人应当按照招标文件的要求编制投标文件。投标文件应当对招标文件提出的要求和条件作出明确响应。投标文件具体内容详见第七章。</w:t>
      </w:r>
    </w:p>
    <w:p w14:paraId="46732489">
      <w:pPr>
        <w:widowControl w:val="0"/>
        <w:spacing w:before="203" w:line="227" w:lineRule="auto"/>
        <w:outlineLvl w:val="2"/>
        <w:rPr>
          <w:rFonts w:hint="eastAsia" w:ascii="仿宋" w:hAnsi="仿宋" w:eastAsia="仿宋" w:cs="仿宋"/>
          <w:spacing w:val="9"/>
          <w:sz w:val="24"/>
          <w:szCs w:val="24"/>
          <w:highlight w:val="none"/>
          <w:lang w:eastAsia="zh-CN"/>
        </w:rPr>
      </w:pPr>
      <w:bookmarkStart w:id="31" w:name="_Toc21481"/>
      <w:r>
        <w:rPr>
          <w:rFonts w:hint="eastAsia" w:ascii="仿宋" w:hAnsi="仿宋" w:eastAsia="仿宋" w:cs="仿宋"/>
          <w:spacing w:val="9"/>
          <w:sz w:val="24"/>
          <w:szCs w:val="24"/>
          <w:highlight w:val="none"/>
          <w:lang w:eastAsia="zh-CN"/>
        </w:rPr>
        <w:t>2.4.6 投标文件格式</w:t>
      </w:r>
      <w:bookmarkEnd w:id="31"/>
    </w:p>
    <w:p w14:paraId="2B817C2F">
      <w:pPr>
        <w:widowControl w:val="0"/>
        <w:spacing w:before="204" w:line="410" w:lineRule="exact"/>
        <w:ind w:left="424"/>
        <w:rPr>
          <w:rFonts w:hint="eastAsia" w:ascii="仿宋" w:hAnsi="仿宋" w:eastAsia="仿宋" w:cs="仿宋"/>
          <w:sz w:val="24"/>
          <w:szCs w:val="24"/>
          <w:highlight w:val="none"/>
          <w:lang w:eastAsia="zh-CN"/>
        </w:rPr>
      </w:pPr>
      <w:r>
        <w:rPr>
          <w:rFonts w:hint="eastAsia" w:ascii="仿宋" w:hAnsi="仿宋" w:eastAsia="仿宋" w:cs="仿宋"/>
          <w:spacing w:val="9"/>
          <w:position w:val="15"/>
          <w:sz w:val="24"/>
          <w:szCs w:val="24"/>
          <w:highlight w:val="none"/>
          <w:lang w:eastAsia="zh-CN"/>
        </w:rPr>
        <w:t>一、投标人应按照招标文件第七章中提供的“投标文件格式”填写</w:t>
      </w:r>
      <w:r>
        <w:rPr>
          <w:rFonts w:hint="eastAsia" w:ascii="仿宋" w:hAnsi="仿宋" w:eastAsia="仿宋" w:cs="仿宋"/>
          <w:spacing w:val="8"/>
          <w:position w:val="15"/>
          <w:sz w:val="24"/>
          <w:szCs w:val="24"/>
          <w:highlight w:val="none"/>
          <w:lang w:eastAsia="zh-CN"/>
        </w:rPr>
        <w:t>相关内容。</w:t>
      </w:r>
    </w:p>
    <w:p w14:paraId="6027268D">
      <w:pPr>
        <w:widowControl w:val="0"/>
        <w:spacing w:before="1" w:line="227" w:lineRule="auto"/>
        <w:ind w:left="424"/>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二、对于没有格式要求的投标文件由投标人自行编写。</w:t>
      </w:r>
    </w:p>
    <w:p w14:paraId="108E4D6B">
      <w:pPr>
        <w:widowControl w:val="0"/>
        <w:spacing w:before="203" w:line="227" w:lineRule="auto"/>
        <w:outlineLvl w:val="2"/>
        <w:rPr>
          <w:rFonts w:hint="eastAsia" w:ascii="仿宋" w:hAnsi="仿宋" w:eastAsia="仿宋" w:cs="仿宋"/>
          <w:spacing w:val="9"/>
          <w:sz w:val="24"/>
          <w:szCs w:val="24"/>
          <w:highlight w:val="none"/>
          <w:lang w:eastAsia="zh-CN"/>
        </w:rPr>
      </w:pPr>
      <w:bookmarkStart w:id="32" w:name="_Toc5183"/>
      <w:r>
        <w:rPr>
          <w:rFonts w:hint="eastAsia" w:ascii="仿宋" w:hAnsi="仿宋" w:eastAsia="仿宋" w:cs="仿宋"/>
          <w:spacing w:val="9"/>
          <w:sz w:val="24"/>
          <w:szCs w:val="24"/>
          <w:highlight w:val="none"/>
          <w:lang w:eastAsia="zh-CN"/>
        </w:rPr>
        <w:t>2.4.7 投标报价（实质性要求）</w:t>
      </w:r>
      <w:bookmarkEnd w:id="32"/>
    </w:p>
    <w:p w14:paraId="05C386A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一、投标人的报价是投标人响应招标项目要求的全部工作内容的价格体现，包括投标人完成本项目所包含的一切费用。</w:t>
      </w:r>
    </w:p>
    <w:p w14:paraId="2FB2429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二、投标人投标报价只允许有一个报价，任何有选择或可调整的报价将不予接受，并按无效投标处理。</w:t>
      </w:r>
    </w:p>
    <w:p w14:paraId="3C7662F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23DAAC9E">
      <w:pPr>
        <w:widowControl w:val="0"/>
        <w:spacing w:before="203" w:line="227" w:lineRule="auto"/>
        <w:outlineLvl w:val="2"/>
        <w:rPr>
          <w:rFonts w:hint="eastAsia" w:ascii="仿宋" w:hAnsi="仿宋" w:eastAsia="仿宋" w:cs="仿宋"/>
          <w:spacing w:val="9"/>
          <w:sz w:val="24"/>
          <w:szCs w:val="24"/>
          <w:highlight w:val="none"/>
          <w:lang w:eastAsia="zh-CN"/>
        </w:rPr>
      </w:pPr>
      <w:bookmarkStart w:id="33" w:name="_Toc24714"/>
      <w:r>
        <w:rPr>
          <w:rFonts w:hint="eastAsia" w:ascii="仿宋" w:hAnsi="仿宋" w:eastAsia="仿宋" w:cs="仿宋"/>
          <w:spacing w:val="9"/>
          <w:sz w:val="24"/>
          <w:szCs w:val="24"/>
          <w:highlight w:val="none"/>
          <w:lang w:eastAsia="zh-CN"/>
        </w:rPr>
        <w:t>2.4.8 投标有效期（实质性要求）</w:t>
      </w:r>
      <w:bookmarkEnd w:id="33"/>
    </w:p>
    <w:p w14:paraId="703AE4E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投标有效期详见第二章“投标人须知前附表”，投标文件未明确投标有效期或者投标有效期小于“投标人须知前附表” 中投标有效期要求的，其投标文件按无效处理。</w:t>
      </w:r>
    </w:p>
    <w:p w14:paraId="326FC141">
      <w:pPr>
        <w:widowControl w:val="0"/>
        <w:spacing w:before="205" w:line="377" w:lineRule="auto"/>
        <w:ind w:right="70"/>
        <w:jc w:val="both"/>
        <w:outlineLvl w:val="2"/>
        <w:rPr>
          <w:rFonts w:hint="eastAsia" w:ascii="仿宋" w:hAnsi="仿宋" w:eastAsia="仿宋" w:cs="仿宋"/>
          <w:spacing w:val="9"/>
          <w:sz w:val="24"/>
          <w:szCs w:val="24"/>
          <w:highlight w:val="none"/>
          <w:lang w:eastAsia="zh-CN"/>
        </w:rPr>
      </w:pPr>
      <w:bookmarkStart w:id="34" w:name="_Toc17714"/>
      <w:r>
        <w:rPr>
          <w:rFonts w:hint="eastAsia" w:ascii="仿宋" w:hAnsi="仿宋" w:eastAsia="仿宋" w:cs="仿宋"/>
          <w:spacing w:val="9"/>
          <w:sz w:val="24"/>
          <w:szCs w:val="24"/>
          <w:highlight w:val="none"/>
          <w:lang w:eastAsia="zh-CN"/>
        </w:rPr>
        <w:t>2.4.9 投标文件的制作、签章和加密（实质性要求）</w:t>
      </w:r>
      <w:bookmarkEnd w:id="34"/>
    </w:p>
    <w:p w14:paraId="0962E7E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一、投标文件应当根据招标文件进行编制，投标人应通过陕西省政府采购网-服务专区-CA 及签章服务下载投标（响应）客户端，使用客户端编制投标文件。</w:t>
      </w:r>
    </w:p>
    <w:p w14:paraId="20AA31D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二、投标人应按照客户端操作要求，对应招标文件的每项实质性要求，逐一如实响应；未如实响应或者响应内容不符合招标文件对应项的要求的，其投标文件作无效处理。</w:t>
      </w:r>
    </w:p>
    <w:p w14:paraId="268C765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三、投标人完成投标文件编制后，应按照招标文件第一章明确的签章要求，使用互认的证书及签章对投标文件进行电子签章和加密。</w:t>
      </w:r>
    </w:p>
    <w:p w14:paraId="4E4CBA8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四、招标文件澄清或者修改的内容可能影响投标文件编制的，代理机构将重新发布澄清或者修改 后的招标文件，投标人应重新获取澄清或者修改后的招标文件，按照澄清或者修改后的招标文件进行投标文件编制、签章和加密。</w:t>
      </w:r>
    </w:p>
    <w:p w14:paraId="480FEC9C">
      <w:pPr>
        <w:widowControl w:val="0"/>
        <w:spacing w:before="203" w:line="227" w:lineRule="auto"/>
        <w:outlineLvl w:val="2"/>
        <w:rPr>
          <w:rFonts w:hint="eastAsia" w:ascii="仿宋" w:hAnsi="仿宋" w:eastAsia="仿宋" w:cs="仿宋"/>
          <w:spacing w:val="9"/>
          <w:sz w:val="24"/>
          <w:szCs w:val="24"/>
          <w:highlight w:val="none"/>
          <w:lang w:eastAsia="zh-CN"/>
        </w:rPr>
      </w:pPr>
      <w:bookmarkStart w:id="35" w:name="_Toc9813"/>
      <w:r>
        <w:rPr>
          <w:rFonts w:hint="eastAsia" w:ascii="仿宋" w:hAnsi="仿宋" w:eastAsia="仿宋" w:cs="仿宋"/>
          <w:spacing w:val="9"/>
          <w:sz w:val="24"/>
          <w:szCs w:val="24"/>
          <w:highlight w:val="none"/>
          <w:lang w:eastAsia="zh-CN"/>
        </w:rPr>
        <w:t>2.4.10 投标文件的提交</w:t>
      </w:r>
      <w:bookmarkEnd w:id="35"/>
    </w:p>
    <w:p w14:paraId="0C541C0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一、（实质性要求）投标人应当在投标文件提交截止时间前，通过项目电子化交易系统完成投标文件提交。</w:t>
      </w:r>
    </w:p>
    <w:p w14:paraId="68F9173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二、在投标文件提交截止时间后，采购人或者代理机构不再接受投标人提交投标文件。投标人应充分考虑影响投标文件提交的各种因素，确保在投标文件提交截止时间前完成提交。</w:t>
      </w:r>
    </w:p>
    <w:p w14:paraId="6E6305EE">
      <w:pPr>
        <w:widowControl w:val="0"/>
        <w:spacing w:before="203" w:line="227" w:lineRule="auto"/>
        <w:outlineLvl w:val="2"/>
        <w:rPr>
          <w:rFonts w:hint="eastAsia" w:ascii="仿宋" w:hAnsi="仿宋" w:eastAsia="仿宋" w:cs="仿宋"/>
          <w:spacing w:val="9"/>
          <w:sz w:val="24"/>
          <w:szCs w:val="24"/>
          <w:highlight w:val="none"/>
          <w:lang w:eastAsia="zh-CN"/>
        </w:rPr>
      </w:pPr>
      <w:bookmarkStart w:id="36" w:name="_Toc21131"/>
      <w:r>
        <w:rPr>
          <w:rFonts w:hint="eastAsia" w:ascii="仿宋" w:hAnsi="仿宋" w:eastAsia="仿宋" w:cs="仿宋"/>
          <w:spacing w:val="9"/>
          <w:sz w:val="24"/>
          <w:szCs w:val="24"/>
          <w:highlight w:val="none"/>
          <w:lang w:eastAsia="zh-CN"/>
        </w:rPr>
        <w:t>2.4.11 投标文件的补充、修改、撤回（实质性要求）</w:t>
      </w:r>
      <w:bookmarkEnd w:id="36"/>
    </w:p>
    <w:p w14:paraId="57E04CD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14:paraId="293186F8">
      <w:pPr>
        <w:widowControl w:val="0"/>
        <w:spacing w:before="164" w:line="228" w:lineRule="auto"/>
        <w:outlineLvl w:val="1"/>
        <w:rPr>
          <w:rFonts w:hint="eastAsia" w:ascii="仿宋" w:hAnsi="仿宋" w:eastAsia="仿宋" w:cs="仿宋"/>
          <w:sz w:val="24"/>
          <w:szCs w:val="24"/>
          <w:highlight w:val="none"/>
          <w:lang w:eastAsia="zh-CN"/>
        </w:rPr>
      </w:pPr>
      <w:bookmarkStart w:id="37" w:name="_Toc10295"/>
      <w:r>
        <w:rPr>
          <w:rFonts w:hint="eastAsia" w:ascii="仿宋" w:hAnsi="仿宋" w:eastAsia="仿宋" w:cs="仿宋"/>
          <w:b/>
          <w:bCs/>
          <w:spacing w:val="-4"/>
          <w:sz w:val="24"/>
          <w:szCs w:val="24"/>
          <w:highlight w:val="none"/>
          <w:lang w:eastAsia="zh-CN"/>
        </w:rPr>
        <w:t xml:space="preserve">2.5  </w:t>
      </w:r>
      <w:r>
        <w:rPr>
          <w:rFonts w:hint="eastAsia" w:ascii="仿宋" w:hAnsi="仿宋" w:eastAsia="仿宋" w:cs="仿宋"/>
          <w:spacing w:val="-4"/>
          <w:sz w:val="24"/>
          <w:szCs w:val="24"/>
          <w:highlight w:val="none"/>
          <w:lang w:eastAsia="zh-CN"/>
          <w14:textOutline w14:w="3797" w14:cap="sq" w14:cmpd="sng" w14:algn="ctr">
            <w14:solidFill>
              <w14:srgbClr w14:val="000000"/>
            </w14:solidFill>
            <w14:prstDash w14:val="solid"/>
            <w14:bevel/>
          </w14:textOutline>
        </w:rPr>
        <w:t>开标、资格审查、评标和中标</w:t>
      </w:r>
      <w:bookmarkEnd w:id="37"/>
    </w:p>
    <w:p w14:paraId="2A3548FD">
      <w:pPr>
        <w:widowControl w:val="0"/>
        <w:spacing w:before="203" w:line="227" w:lineRule="auto"/>
        <w:outlineLvl w:val="2"/>
        <w:rPr>
          <w:rFonts w:hint="eastAsia" w:ascii="仿宋" w:hAnsi="仿宋" w:eastAsia="仿宋" w:cs="仿宋"/>
          <w:spacing w:val="9"/>
          <w:sz w:val="24"/>
          <w:szCs w:val="24"/>
          <w:highlight w:val="none"/>
          <w:lang w:eastAsia="zh-CN"/>
        </w:rPr>
      </w:pPr>
      <w:bookmarkStart w:id="38" w:name="_Toc31928"/>
      <w:r>
        <w:rPr>
          <w:rFonts w:hint="eastAsia" w:ascii="仿宋" w:hAnsi="仿宋" w:eastAsia="仿宋" w:cs="仿宋"/>
          <w:spacing w:val="9"/>
          <w:sz w:val="24"/>
          <w:szCs w:val="24"/>
          <w:highlight w:val="none"/>
          <w:lang w:eastAsia="zh-CN"/>
        </w:rPr>
        <w:t>2.5.1 开标及开标程序</w:t>
      </w:r>
      <w:bookmarkEnd w:id="38"/>
    </w:p>
    <w:p w14:paraId="3B65DE2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一、本项目为网上开标项目。</w:t>
      </w:r>
    </w:p>
    <w:p w14:paraId="71FBCC0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网上开标的开始时间为投标文件提交截止时间。成功提交或解密电子投标文件的投标人不足 3 家的，不予开标，采购人或代理机构将作废标处理。</w:t>
      </w:r>
    </w:p>
    <w:p w14:paraId="1F6C1F17">
      <w:pPr>
        <w:widowControl w:val="0"/>
        <w:numPr>
          <w:ilvl w:val="0"/>
          <w:numId w:val="1"/>
        </w:numPr>
        <w:spacing w:before="163" w:line="228" w:lineRule="auto"/>
        <w:ind w:firstLine="512" w:firstLineChars="200"/>
        <w:rPr>
          <w:rFonts w:hint="eastAsia" w:ascii="仿宋" w:hAnsi="仿宋" w:eastAsia="仿宋" w:cs="仿宋"/>
          <w:spacing w:val="8"/>
          <w:position w:val="15"/>
          <w:sz w:val="24"/>
          <w:szCs w:val="24"/>
          <w:highlight w:val="none"/>
        </w:rPr>
      </w:pPr>
      <w:r>
        <w:rPr>
          <w:rFonts w:hint="eastAsia" w:ascii="仿宋" w:hAnsi="仿宋" w:eastAsia="仿宋" w:cs="仿宋"/>
          <w:spacing w:val="8"/>
          <w:position w:val="15"/>
          <w:sz w:val="24"/>
          <w:szCs w:val="24"/>
          <w:highlight w:val="none"/>
        </w:rPr>
        <w:t>开标准备工作</w:t>
      </w:r>
    </w:p>
    <w:p w14:paraId="1A16334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开标/开启前 30 分钟内，投标人需登录项目电子化交易系统-“投标人开标大厅”-进入开标选择对应项目包组操作签到，签到完成后等待代理机构开标/开启。</w:t>
      </w:r>
    </w:p>
    <w:p w14:paraId="1B5D1B05">
      <w:pPr>
        <w:widowControl w:val="0"/>
        <w:spacing w:before="163" w:line="228" w:lineRule="auto"/>
        <w:ind w:firstLine="514" w:firstLineChars="200"/>
        <w:rPr>
          <w:rFonts w:hint="eastAsia" w:ascii="仿宋" w:hAnsi="仿宋" w:eastAsia="仿宋" w:cs="仿宋"/>
          <w:b/>
          <w:bCs/>
          <w:spacing w:val="8"/>
          <w:position w:val="15"/>
          <w:sz w:val="24"/>
          <w:szCs w:val="24"/>
          <w:highlight w:val="none"/>
          <w:lang w:eastAsia="zh-CN"/>
        </w:rPr>
      </w:pPr>
      <w:r>
        <w:rPr>
          <w:rFonts w:hint="eastAsia" w:ascii="仿宋" w:hAnsi="仿宋" w:eastAsia="仿宋" w:cs="仿宋"/>
          <w:b/>
          <w:bCs/>
          <w:spacing w:val="8"/>
          <w:position w:val="15"/>
          <w:sz w:val="24"/>
          <w:szCs w:val="24"/>
          <w:highlight w:val="none"/>
          <w:lang w:eastAsia="zh-CN"/>
        </w:rPr>
        <w:t>三、解密投标文件（实质性要求）</w:t>
      </w:r>
    </w:p>
    <w:p w14:paraId="51D5EA07">
      <w:pPr>
        <w:widowControl w:val="0"/>
        <w:spacing w:before="163" w:line="228" w:lineRule="auto"/>
        <w:ind w:firstLine="514" w:firstLineChars="200"/>
        <w:rPr>
          <w:rFonts w:hint="eastAsia" w:ascii="仿宋" w:hAnsi="仿宋" w:eastAsia="仿宋" w:cs="仿宋"/>
          <w:b/>
          <w:bCs/>
          <w:color w:val="auto"/>
          <w:spacing w:val="8"/>
          <w:position w:val="15"/>
          <w:sz w:val="24"/>
          <w:szCs w:val="24"/>
          <w:highlight w:val="none"/>
          <w:lang w:eastAsia="zh-CN"/>
        </w:rPr>
      </w:pPr>
      <w:r>
        <w:rPr>
          <w:rFonts w:hint="eastAsia" w:ascii="仿宋" w:hAnsi="仿宋" w:eastAsia="仿宋" w:cs="仿宋"/>
          <w:b/>
          <w:bCs/>
          <w:color w:val="auto"/>
          <w:spacing w:val="8"/>
          <w:position w:val="15"/>
          <w:sz w:val="24"/>
          <w:szCs w:val="24"/>
          <w:highlight w:val="none"/>
          <w:lang w:eastAsia="zh-CN"/>
        </w:rPr>
        <w:t>投标文件提交截止时间后，成功提交投标文件的投标人符合招标文件规定数量的，代理机构将启动投标文件解密程序，解密时间为 30 分钟；投标人应在规定的解密时间内，使用互认的证书及签章通过项目电子化采购系统进行投标文件解密。</w:t>
      </w:r>
    </w:p>
    <w:p w14:paraId="4962BDC4">
      <w:pPr>
        <w:widowControl w:val="0"/>
        <w:spacing w:before="163" w:line="228" w:lineRule="auto"/>
        <w:ind w:firstLine="514" w:firstLineChars="200"/>
        <w:rPr>
          <w:rFonts w:hint="eastAsia" w:ascii="仿宋" w:hAnsi="仿宋" w:eastAsia="仿宋" w:cs="仿宋"/>
          <w:b/>
          <w:bCs/>
          <w:color w:val="auto"/>
          <w:spacing w:val="8"/>
          <w:position w:val="15"/>
          <w:sz w:val="24"/>
          <w:szCs w:val="24"/>
          <w:highlight w:val="none"/>
          <w:lang w:eastAsia="zh-CN"/>
        </w:rPr>
      </w:pPr>
      <w:r>
        <w:rPr>
          <w:rFonts w:hint="eastAsia" w:ascii="仿宋" w:hAnsi="仿宋" w:eastAsia="仿宋" w:cs="仿宋"/>
          <w:b/>
          <w:bCs/>
          <w:color w:val="auto"/>
          <w:spacing w:val="8"/>
          <w:position w:val="15"/>
          <w:sz w:val="24"/>
          <w:szCs w:val="24"/>
          <w:highlight w:val="none"/>
          <w:lang w:eastAsia="zh-CN"/>
        </w:rPr>
        <w:t>投标人未在规定的解密时间内完成解密的，按无效响应处理。</w:t>
      </w:r>
    </w:p>
    <w:p w14:paraId="538A187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四、开标</w:t>
      </w:r>
    </w:p>
    <w:p w14:paraId="2BE4D68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解密时间截止或者所有投标人投标文件均完成解密后（以发生在先的时间为准），由代理机构通过项目电子化交易系统对投标人名称、投标文件解密情况、投标报价进行展示。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投标人完成投标文件解密后， 自主决定是否参加网上在线开标，未参加的，视同认可开标结果。</w:t>
      </w:r>
    </w:p>
    <w:p w14:paraId="6F7A2418">
      <w:pPr>
        <w:widowControl w:val="0"/>
        <w:spacing w:before="203" w:line="227" w:lineRule="auto"/>
        <w:outlineLvl w:val="2"/>
        <w:rPr>
          <w:rFonts w:hint="eastAsia" w:ascii="仿宋" w:hAnsi="仿宋" w:eastAsia="仿宋" w:cs="仿宋"/>
          <w:spacing w:val="9"/>
          <w:sz w:val="24"/>
          <w:szCs w:val="24"/>
          <w:highlight w:val="none"/>
          <w:lang w:eastAsia="zh-CN"/>
        </w:rPr>
      </w:pPr>
      <w:bookmarkStart w:id="39" w:name="_Toc4438"/>
      <w:r>
        <w:rPr>
          <w:rFonts w:hint="eastAsia" w:ascii="仿宋" w:hAnsi="仿宋" w:eastAsia="仿宋" w:cs="仿宋"/>
          <w:spacing w:val="9"/>
          <w:sz w:val="24"/>
          <w:szCs w:val="24"/>
          <w:highlight w:val="none"/>
          <w:lang w:eastAsia="zh-CN"/>
        </w:rPr>
        <w:t>2.5.2 查询及使用信用记录</w:t>
      </w:r>
      <w:bookmarkEnd w:id="39"/>
    </w:p>
    <w:p w14:paraId="7163FCA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开标结束后，采购人或代理机构根据《关于在政府采购活动中查询及使用信用记录有关问题的通知》（财库〔2016〕125 号）的要求，通过“信用中国”网站（www.creditchina.gov.cn ）、“ 中国政府采 购网” 网站（www.ccgp.gov.cn ）等渠道，查询投标人在投标文件提交截止时间前的信用记录并保存信 用记录结果网页截图，拒绝列入失信被执行人名单、重大税收违法案件当事人名单、政府采购严重违法失信行为记录名单中的投标人参加本项目的采购活动。</w:t>
      </w:r>
    </w:p>
    <w:p w14:paraId="78D69C7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7AC4BC3D">
      <w:pPr>
        <w:widowControl w:val="0"/>
        <w:spacing w:before="203" w:line="227" w:lineRule="auto"/>
        <w:outlineLvl w:val="2"/>
        <w:rPr>
          <w:rFonts w:hint="eastAsia" w:ascii="仿宋" w:hAnsi="仿宋" w:eastAsia="仿宋" w:cs="仿宋"/>
          <w:spacing w:val="9"/>
          <w:sz w:val="24"/>
          <w:szCs w:val="24"/>
          <w:highlight w:val="none"/>
          <w:lang w:eastAsia="zh-CN"/>
        </w:rPr>
      </w:pPr>
      <w:bookmarkStart w:id="40" w:name="_Toc9482"/>
      <w:r>
        <w:rPr>
          <w:rFonts w:hint="eastAsia" w:ascii="仿宋" w:hAnsi="仿宋" w:eastAsia="仿宋" w:cs="仿宋"/>
          <w:spacing w:val="9"/>
          <w:sz w:val="24"/>
          <w:szCs w:val="24"/>
          <w:highlight w:val="none"/>
          <w:lang w:eastAsia="zh-CN"/>
        </w:rPr>
        <w:t>2.5.3 资格审查</w:t>
      </w:r>
      <w:bookmarkEnd w:id="40"/>
    </w:p>
    <w:p w14:paraId="212739EF">
      <w:pPr>
        <w:widowControl w:val="0"/>
        <w:spacing w:before="203" w:line="227" w:lineRule="auto"/>
        <w:ind w:left="423"/>
        <w:rPr>
          <w:rFonts w:hint="eastAsia" w:ascii="仿宋" w:hAnsi="仿宋" w:eastAsia="仿宋" w:cs="仿宋"/>
          <w:sz w:val="24"/>
          <w:szCs w:val="24"/>
          <w:highlight w:val="none"/>
          <w:lang w:eastAsia="zh-CN"/>
        </w:rPr>
      </w:pPr>
      <w:r>
        <w:rPr>
          <w:rFonts w:hint="eastAsia" w:ascii="仿宋" w:hAnsi="仿宋" w:eastAsia="仿宋" w:cs="仿宋"/>
          <w:spacing w:val="7"/>
          <w:sz w:val="24"/>
          <w:szCs w:val="24"/>
          <w:highlight w:val="none"/>
          <w:lang w:eastAsia="zh-CN"/>
        </w:rPr>
        <w:t>详见招标文件第四章。</w:t>
      </w:r>
    </w:p>
    <w:p w14:paraId="7209B202">
      <w:pPr>
        <w:widowControl w:val="0"/>
        <w:spacing w:before="203" w:line="227" w:lineRule="auto"/>
        <w:outlineLvl w:val="2"/>
        <w:rPr>
          <w:rFonts w:hint="eastAsia" w:ascii="仿宋" w:hAnsi="仿宋" w:eastAsia="仿宋" w:cs="仿宋"/>
          <w:spacing w:val="9"/>
          <w:sz w:val="24"/>
          <w:szCs w:val="24"/>
          <w:highlight w:val="none"/>
          <w:lang w:eastAsia="zh-CN"/>
        </w:rPr>
      </w:pPr>
      <w:bookmarkStart w:id="41" w:name="_Toc7545"/>
      <w:r>
        <w:rPr>
          <w:rFonts w:hint="eastAsia" w:ascii="仿宋" w:hAnsi="仿宋" w:eastAsia="仿宋" w:cs="仿宋"/>
          <w:spacing w:val="9"/>
          <w:sz w:val="24"/>
          <w:szCs w:val="24"/>
          <w:highlight w:val="none"/>
          <w:lang w:eastAsia="zh-CN"/>
        </w:rPr>
        <w:t>2.5.4 评标</w:t>
      </w:r>
      <w:bookmarkEnd w:id="41"/>
    </w:p>
    <w:p w14:paraId="3E92B688">
      <w:pPr>
        <w:widowControl w:val="0"/>
        <w:spacing w:before="203" w:line="227" w:lineRule="auto"/>
        <w:ind w:left="423"/>
        <w:rPr>
          <w:rFonts w:hint="eastAsia" w:ascii="仿宋" w:hAnsi="仿宋" w:eastAsia="仿宋" w:cs="仿宋"/>
          <w:sz w:val="24"/>
          <w:szCs w:val="24"/>
          <w:highlight w:val="none"/>
          <w:lang w:eastAsia="zh-CN"/>
        </w:rPr>
      </w:pPr>
      <w:r>
        <w:rPr>
          <w:rFonts w:hint="eastAsia" w:ascii="仿宋" w:hAnsi="仿宋" w:eastAsia="仿宋" w:cs="仿宋"/>
          <w:spacing w:val="7"/>
          <w:sz w:val="24"/>
          <w:szCs w:val="24"/>
          <w:highlight w:val="none"/>
          <w:lang w:eastAsia="zh-CN"/>
        </w:rPr>
        <w:t>详见招标文件第五章。</w:t>
      </w:r>
    </w:p>
    <w:p w14:paraId="200E4E00">
      <w:pPr>
        <w:widowControl w:val="0"/>
        <w:spacing w:before="203" w:line="227" w:lineRule="auto"/>
        <w:outlineLvl w:val="2"/>
        <w:rPr>
          <w:rFonts w:hint="eastAsia" w:ascii="仿宋" w:hAnsi="仿宋" w:eastAsia="仿宋" w:cs="仿宋"/>
          <w:spacing w:val="9"/>
          <w:sz w:val="24"/>
          <w:szCs w:val="24"/>
          <w:highlight w:val="none"/>
          <w:lang w:eastAsia="zh-CN"/>
        </w:rPr>
      </w:pPr>
      <w:bookmarkStart w:id="42" w:name="_Toc24825"/>
      <w:r>
        <w:rPr>
          <w:rFonts w:hint="eastAsia" w:ascii="仿宋" w:hAnsi="仿宋" w:eastAsia="仿宋" w:cs="仿宋"/>
          <w:spacing w:val="9"/>
          <w:sz w:val="24"/>
          <w:szCs w:val="24"/>
          <w:highlight w:val="none"/>
          <w:lang w:eastAsia="zh-CN"/>
        </w:rPr>
        <w:t>2.5.5 中标通知书</w:t>
      </w:r>
      <w:bookmarkEnd w:id="42"/>
    </w:p>
    <w:p w14:paraId="63CA001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一、采购人或者评标委员会确认中标人后，采购代理机构在陕西省政府采购网发布中标结果公告并向中标人发出中标通知书。</w:t>
      </w:r>
    </w:p>
    <w:p w14:paraId="6CB18D9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中标通知书是采购人和中标人签订政府采购合同的依据，是合同的有效组成部分。如果出现政府采购法律法规、规章制度规定的中标无效情形的，将以公告形式宣布发出的中标通知书无效，中标通知书将自动失效，并依法重新确定中标人或者重新开展采购活动。</w:t>
      </w:r>
    </w:p>
    <w:p w14:paraId="0E6D74E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三、中标通知书对采购人和中标人均具有法律效力。</w:t>
      </w:r>
    </w:p>
    <w:p w14:paraId="7B4BB85B">
      <w:pPr>
        <w:widowControl w:val="0"/>
        <w:spacing w:before="164" w:line="228" w:lineRule="auto"/>
        <w:ind w:left="1"/>
        <w:outlineLvl w:val="1"/>
        <w:rPr>
          <w:rFonts w:hint="eastAsia" w:ascii="仿宋" w:hAnsi="仿宋" w:eastAsia="仿宋" w:cs="仿宋"/>
          <w:sz w:val="24"/>
          <w:szCs w:val="24"/>
          <w:highlight w:val="none"/>
          <w:lang w:eastAsia="zh-CN"/>
        </w:rPr>
      </w:pPr>
      <w:bookmarkStart w:id="43" w:name="_Toc31166"/>
      <w:r>
        <w:rPr>
          <w:rFonts w:hint="eastAsia" w:ascii="仿宋" w:hAnsi="仿宋" w:eastAsia="仿宋" w:cs="仿宋"/>
          <w:b/>
          <w:bCs/>
          <w:spacing w:val="1"/>
          <w:sz w:val="24"/>
          <w:szCs w:val="24"/>
          <w:highlight w:val="none"/>
          <w:lang w:eastAsia="zh-CN"/>
        </w:rPr>
        <w:t>2.6</w:t>
      </w:r>
      <w:r>
        <w:rPr>
          <w:rFonts w:hint="eastAsia" w:ascii="仿宋" w:hAnsi="仿宋" w:eastAsia="仿宋" w:cs="仿宋"/>
          <w:b/>
          <w:bCs/>
          <w:spacing w:val="40"/>
          <w:w w:val="101"/>
          <w:sz w:val="24"/>
          <w:szCs w:val="24"/>
          <w:highlight w:val="none"/>
          <w:lang w:eastAsia="zh-CN"/>
        </w:rPr>
        <w:t xml:space="preserve"> </w:t>
      </w:r>
      <w:r>
        <w:rPr>
          <w:rFonts w:hint="eastAsia" w:ascii="仿宋" w:hAnsi="仿宋" w:eastAsia="仿宋" w:cs="仿宋"/>
          <w:spacing w:val="1"/>
          <w:sz w:val="24"/>
          <w:szCs w:val="24"/>
          <w:highlight w:val="none"/>
          <w:lang w:eastAsia="zh-CN"/>
          <w14:textOutline w14:w="3797" w14:cap="sq" w14:cmpd="sng" w14:algn="ctr">
            <w14:solidFill>
              <w14:srgbClr w14:val="000000"/>
            </w14:solidFill>
            <w14:prstDash w14:val="solid"/>
            <w14:bevel/>
          </w14:textOutline>
        </w:rPr>
        <w:t>签订及履行合同和验收</w:t>
      </w:r>
      <w:bookmarkEnd w:id="43"/>
    </w:p>
    <w:p w14:paraId="039EA326">
      <w:pPr>
        <w:widowControl w:val="0"/>
        <w:spacing w:before="203" w:line="227" w:lineRule="auto"/>
        <w:outlineLvl w:val="2"/>
        <w:rPr>
          <w:rFonts w:hint="eastAsia" w:ascii="仿宋" w:hAnsi="仿宋" w:eastAsia="仿宋" w:cs="仿宋"/>
          <w:spacing w:val="9"/>
          <w:sz w:val="24"/>
          <w:szCs w:val="24"/>
          <w:highlight w:val="none"/>
          <w:lang w:eastAsia="zh-CN"/>
        </w:rPr>
      </w:pPr>
      <w:bookmarkStart w:id="44" w:name="_Toc2195"/>
      <w:r>
        <w:rPr>
          <w:rFonts w:hint="eastAsia" w:ascii="仿宋" w:hAnsi="仿宋" w:eastAsia="仿宋" w:cs="仿宋"/>
          <w:spacing w:val="9"/>
          <w:sz w:val="24"/>
          <w:szCs w:val="24"/>
          <w:highlight w:val="none"/>
          <w:lang w:eastAsia="zh-CN"/>
        </w:rPr>
        <w:t>2.6.1 签订合同</w:t>
      </w:r>
      <w:bookmarkEnd w:id="44"/>
    </w:p>
    <w:p w14:paraId="70546D2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一、采购人应在中标通知书发出之日起三十日内与中标人签订采购合同。</w:t>
      </w:r>
    </w:p>
    <w:p w14:paraId="65A3A52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二、采购人和中标人签订的采购合同不得对招标文件确定的事项以及中标人的投标文件作实质性修改。</w:t>
      </w:r>
    </w:p>
    <w:p w14:paraId="20AC378F">
      <w:pPr>
        <w:widowControl w:val="0"/>
        <w:spacing w:before="203" w:line="227" w:lineRule="auto"/>
        <w:outlineLvl w:val="2"/>
        <w:rPr>
          <w:rFonts w:hint="eastAsia" w:ascii="仿宋" w:hAnsi="仿宋" w:eastAsia="仿宋" w:cs="仿宋"/>
          <w:spacing w:val="9"/>
          <w:sz w:val="24"/>
          <w:szCs w:val="24"/>
          <w:highlight w:val="none"/>
          <w:lang w:eastAsia="zh-CN"/>
        </w:rPr>
      </w:pPr>
      <w:bookmarkStart w:id="45" w:name="_Toc2008"/>
      <w:r>
        <w:rPr>
          <w:rFonts w:hint="eastAsia" w:ascii="仿宋" w:hAnsi="仿宋" w:eastAsia="仿宋" w:cs="仿宋"/>
          <w:spacing w:val="9"/>
          <w:sz w:val="24"/>
          <w:szCs w:val="24"/>
          <w:highlight w:val="none"/>
          <w:lang w:eastAsia="zh-CN"/>
        </w:rPr>
        <w:t>2.6.2 合同分包和转包（实质性要求）</w:t>
      </w:r>
      <w:bookmarkEnd w:id="45"/>
    </w:p>
    <w:p w14:paraId="23980DB8">
      <w:pPr>
        <w:widowControl w:val="0"/>
        <w:spacing w:before="203" w:line="227" w:lineRule="auto"/>
        <w:rPr>
          <w:rFonts w:hint="eastAsia" w:ascii="仿宋" w:hAnsi="仿宋" w:eastAsia="仿宋" w:cs="仿宋"/>
          <w:spacing w:val="9"/>
          <w:sz w:val="24"/>
          <w:szCs w:val="24"/>
          <w:highlight w:val="none"/>
          <w:lang w:eastAsia="zh-CN"/>
        </w:rPr>
      </w:pPr>
      <w:r>
        <w:rPr>
          <w:highlight w:val="none"/>
        </w:rPr>
        <w:fldChar w:fldCharType="begin"/>
      </w:r>
      <w:r>
        <w:rPr>
          <w:highlight w:val="none"/>
        </w:rPr>
        <w:instrText xml:space="preserve"> HYPERLINK "2.6.2.1" </w:instrText>
      </w:r>
      <w:r>
        <w:rPr>
          <w:highlight w:val="none"/>
        </w:rPr>
        <w:fldChar w:fldCharType="separate"/>
      </w:r>
      <w:r>
        <w:rPr>
          <w:rFonts w:hint="eastAsia" w:ascii="仿宋" w:hAnsi="仿宋" w:eastAsia="仿宋" w:cs="仿宋"/>
          <w:spacing w:val="9"/>
          <w:sz w:val="24"/>
          <w:szCs w:val="24"/>
          <w:highlight w:val="none"/>
          <w:lang w:eastAsia="zh-CN"/>
        </w:rPr>
        <w:t>2.6.2.1</w:t>
      </w:r>
      <w:r>
        <w:rPr>
          <w:rFonts w:hint="eastAsia" w:ascii="仿宋" w:hAnsi="仿宋" w:eastAsia="仿宋" w:cs="仿宋"/>
          <w:spacing w:val="9"/>
          <w:sz w:val="24"/>
          <w:szCs w:val="24"/>
          <w:highlight w:val="none"/>
          <w:lang w:eastAsia="zh-CN"/>
        </w:rPr>
        <w:fldChar w:fldCharType="end"/>
      </w:r>
      <w:r>
        <w:rPr>
          <w:rFonts w:hint="eastAsia" w:ascii="仿宋" w:hAnsi="仿宋" w:eastAsia="仿宋" w:cs="仿宋"/>
          <w:spacing w:val="9"/>
          <w:sz w:val="24"/>
          <w:szCs w:val="24"/>
          <w:highlight w:val="none"/>
          <w:lang w:eastAsia="zh-CN"/>
        </w:rPr>
        <w:t xml:space="preserve"> 合同分包</w:t>
      </w:r>
    </w:p>
    <w:p w14:paraId="5B43C79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本项目不允许合同分包，中标人分包的，视同拒绝履行政府采购合同，将依法追究法律责任。</w:t>
      </w:r>
    </w:p>
    <w:p w14:paraId="68C56698">
      <w:pPr>
        <w:widowControl w:val="0"/>
        <w:spacing w:before="203" w:line="227" w:lineRule="auto"/>
        <w:rPr>
          <w:rFonts w:hint="eastAsia" w:ascii="仿宋" w:hAnsi="仿宋" w:eastAsia="仿宋" w:cs="仿宋"/>
          <w:spacing w:val="9"/>
          <w:sz w:val="24"/>
          <w:szCs w:val="24"/>
          <w:highlight w:val="none"/>
          <w:lang w:eastAsia="zh-CN"/>
        </w:rPr>
      </w:pPr>
      <w:r>
        <w:rPr>
          <w:highlight w:val="none"/>
        </w:rPr>
        <w:fldChar w:fldCharType="begin"/>
      </w:r>
      <w:r>
        <w:rPr>
          <w:highlight w:val="none"/>
        </w:rPr>
        <w:instrText xml:space="preserve"> HYPERLINK "2.6.2.2" </w:instrText>
      </w:r>
      <w:r>
        <w:rPr>
          <w:highlight w:val="none"/>
        </w:rPr>
        <w:fldChar w:fldCharType="separate"/>
      </w:r>
      <w:r>
        <w:rPr>
          <w:rFonts w:hint="eastAsia" w:ascii="仿宋" w:hAnsi="仿宋" w:eastAsia="仿宋" w:cs="仿宋"/>
          <w:spacing w:val="9"/>
          <w:sz w:val="24"/>
          <w:szCs w:val="24"/>
          <w:highlight w:val="none"/>
          <w:lang w:eastAsia="zh-CN"/>
        </w:rPr>
        <w:t>2.6.2.2</w:t>
      </w:r>
      <w:r>
        <w:rPr>
          <w:rFonts w:hint="eastAsia" w:ascii="仿宋" w:hAnsi="仿宋" w:eastAsia="仿宋" w:cs="仿宋"/>
          <w:spacing w:val="9"/>
          <w:sz w:val="24"/>
          <w:szCs w:val="24"/>
          <w:highlight w:val="none"/>
          <w:lang w:eastAsia="zh-CN"/>
        </w:rPr>
        <w:fldChar w:fldCharType="end"/>
      </w:r>
      <w:r>
        <w:rPr>
          <w:rFonts w:hint="eastAsia" w:ascii="仿宋" w:hAnsi="仿宋" w:eastAsia="仿宋" w:cs="仿宋"/>
          <w:spacing w:val="9"/>
          <w:sz w:val="24"/>
          <w:szCs w:val="24"/>
          <w:highlight w:val="none"/>
          <w:lang w:eastAsia="zh-CN"/>
        </w:rPr>
        <w:t xml:space="preserve"> 合同转包</w:t>
      </w:r>
    </w:p>
    <w:p w14:paraId="45334AE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一、严禁中标人将本项目转包。本项目所称转包，是指将本项目转给他人或者将本项目全部肢解以后以分包的名义分别转给他人的行为。</w:t>
      </w:r>
    </w:p>
    <w:p w14:paraId="1C9EF46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二、中标人转包的，视同拒绝履行政府采购合同，将依法追究法律责任。</w:t>
      </w:r>
    </w:p>
    <w:p w14:paraId="38517251">
      <w:pPr>
        <w:widowControl w:val="0"/>
        <w:spacing w:before="203" w:line="227" w:lineRule="auto"/>
        <w:outlineLvl w:val="2"/>
        <w:rPr>
          <w:rFonts w:hint="eastAsia" w:ascii="仿宋" w:hAnsi="仿宋" w:eastAsia="仿宋" w:cs="仿宋"/>
          <w:spacing w:val="9"/>
          <w:sz w:val="24"/>
          <w:szCs w:val="24"/>
          <w:highlight w:val="none"/>
          <w:lang w:eastAsia="zh-CN"/>
        </w:rPr>
      </w:pPr>
      <w:bookmarkStart w:id="46" w:name="_Toc8494"/>
      <w:r>
        <w:rPr>
          <w:rFonts w:hint="eastAsia" w:ascii="仿宋" w:hAnsi="仿宋" w:eastAsia="仿宋" w:cs="仿宋"/>
          <w:spacing w:val="9"/>
          <w:sz w:val="24"/>
          <w:szCs w:val="24"/>
          <w:highlight w:val="none"/>
          <w:lang w:eastAsia="zh-CN"/>
        </w:rPr>
        <w:t>2.6.3 采购人增加合同标的的权利</w:t>
      </w:r>
      <w:bookmarkEnd w:id="46"/>
    </w:p>
    <w:p w14:paraId="1637CD3F">
      <w:pPr>
        <w:widowControl w:val="0"/>
        <w:spacing w:before="203" w:line="377" w:lineRule="auto"/>
        <w:ind w:left="1" w:firstLine="418"/>
        <w:jc w:val="both"/>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采购合同履行过程中，采购人</w:t>
      </w:r>
      <w:r>
        <w:rPr>
          <w:rFonts w:hint="eastAsia" w:ascii="仿宋" w:hAnsi="仿宋" w:eastAsia="仿宋" w:cs="仿宋"/>
          <w:spacing w:val="8"/>
          <w:sz w:val="24"/>
          <w:szCs w:val="24"/>
          <w:highlight w:val="none"/>
          <w:lang w:eastAsia="zh-CN"/>
        </w:rPr>
        <w:t>在不改变合同其他条</w:t>
      </w:r>
      <w:r>
        <w:rPr>
          <w:rFonts w:hint="eastAsia" w:ascii="仿宋" w:hAnsi="仿宋" w:eastAsia="仿宋" w:cs="仿宋"/>
          <w:spacing w:val="9"/>
          <w:sz w:val="24"/>
          <w:szCs w:val="24"/>
          <w:highlight w:val="none"/>
          <w:lang w:eastAsia="zh-CN"/>
        </w:rPr>
        <w:t>款的前提下，可以与中标人协商签订补充合同，但所有补</w:t>
      </w:r>
      <w:r>
        <w:rPr>
          <w:rFonts w:hint="eastAsia" w:ascii="仿宋" w:hAnsi="仿宋" w:eastAsia="仿宋" w:cs="仿宋"/>
          <w:spacing w:val="8"/>
          <w:sz w:val="24"/>
          <w:szCs w:val="24"/>
          <w:highlight w:val="none"/>
          <w:lang w:eastAsia="zh-CN"/>
        </w:rPr>
        <w:t>充合同的采购金额不得超过原合同采购金额</w:t>
      </w:r>
      <w:r>
        <w:rPr>
          <w:rFonts w:hint="eastAsia" w:ascii="仿宋" w:hAnsi="仿宋" w:eastAsia="仿宋" w:cs="仿宋"/>
          <w:spacing w:val="3"/>
          <w:sz w:val="24"/>
          <w:szCs w:val="24"/>
          <w:highlight w:val="none"/>
          <w:lang w:eastAsia="zh-CN"/>
        </w:rPr>
        <w:t>的百分之十。</w:t>
      </w:r>
    </w:p>
    <w:p w14:paraId="18F835DD">
      <w:pPr>
        <w:widowControl w:val="0"/>
        <w:spacing w:before="203" w:line="227" w:lineRule="auto"/>
        <w:outlineLvl w:val="2"/>
        <w:rPr>
          <w:rFonts w:hint="eastAsia" w:ascii="仿宋" w:hAnsi="仿宋" w:eastAsia="仿宋" w:cs="仿宋"/>
          <w:spacing w:val="9"/>
          <w:sz w:val="24"/>
          <w:szCs w:val="24"/>
          <w:highlight w:val="none"/>
          <w:lang w:eastAsia="zh-CN"/>
        </w:rPr>
      </w:pPr>
      <w:bookmarkStart w:id="47" w:name="_Toc110"/>
      <w:r>
        <w:rPr>
          <w:rFonts w:hint="eastAsia" w:ascii="仿宋" w:hAnsi="仿宋" w:eastAsia="仿宋" w:cs="仿宋"/>
          <w:spacing w:val="9"/>
          <w:sz w:val="24"/>
          <w:szCs w:val="24"/>
          <w:highlight w:val="none"/>
          <w:lang w:eastAsia="zh-CN"/>
        </w:rPr>
        <w:t>2.6.4 履行合同</w:t>
      </w:r>
      <w:bookmarkEnd w:id="47"/>
    </w:p>
    <w:p w14:paraId="0400465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一、合同一经签订，双方应严格履行合同规定的义务。</w:t>
      </w:r>
    </w:p>
    <w:p w14:paraId="35D97AC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二、在合同履行过程中，如发生合同纠纷，合同双方应按照《中华人民共和国民法典》规定及合同条款约定进行处理。</w:t>
      </w:r>
    </w:p>
    <w:p w14:paraId="716CF8BA">
      <w:pPr>
        <w:widowControl w:val="0"/>
        <w:spacing w:before="203" w:line="227" w:lineRule="auto"/>
        <w:outlineLvl w:val="2"/>
        <w:rPr>
          <w:rFonts w:hint="eastAsia" w:ascii="仿宋" w:hAnsi="仿宋" w:eastAsia="仿宋" w:cs="仿宋"/>
          <w:spacing w:val="9"/>
          <w:sz w:val="24"/>
          <w:szCs w:val="24"/>
          <w:highlight w:val="none"/>
          <w:lang w:eastAsia="zh-CN"/>
        </w:rPr>
      </w:pPr>
      <w:bookmarkStart w:id="48" w:name="_Toc20181"/>
      <w:r>
        <w:rPr>
          <w:rFonts w:hint="eastAsia" w:ascii="仿宋" w:hAnsi="仿宋" w:eastAsia="仿宋" w:cs="仿宋"/>
          <w:spacing w:val="9"/>
          <w:sz w:val="24"/>
          <w:szCs w:val="24"/>
          <w:highlight w:val="none"/>
          <w:lang w:eastAsia="zh-CN"/>
        </w:rPr>
        <w:t>2.6.5 履约验收方案</w:t>
      </w:r>
      <w:bookmarkEnd w:id="48"/>
    </w:p>
    <w:p w14:paraId="24C3DB32">
      <w:pPr>
        <w:widowControl w:val="0"/>
        <w:spacing w:before="204" w:line="228" w:lineRule="auto"/>
        <w:ind w:left="420"/>
        <w:rPr>
          <w:rFonts w:hint="eastAsia" w:ascii="仿宋" w:hAnsi="仿宋" w:eastAsia="仿宋" w:cs="仿宋"/>
          <w:sz w:val="24"/>
          <w:szCs w:val="24"/>
          <w:highlight w:val="none"/>
          <w:lang w:eastAsia="zh-CN"/>
        </w:rPr>
      </w:pPr>
      <w:r>
        <w:rPr>
          <w:rFonts w:hint="eastAsia" w:ascii="仿宋" w:hAnsi="仿宋" w:eastAsia="仿宋" w:cs="仿宋"/>
          <w:spacing w:val="8"/>
          <w:sz w:val="24"/>
          <w:szCs w:val="24"/>
          <w:highlight w:val="none"/>
          <w:lang w:eastAsia="zh-CN"/>
        </w:rPr>
        <w:t>满足设计文件及国家现行验收规范要求。</w:t>
      </w:r>
    </w:p>
    <w:p w14:paraId="4FDD8FB3">
      <w:pPr>
        <w:widowControl w:val="0"/>
        <w:spacing w:before="203" w:line="227" w:lineRule="auto"/>
        <w:outlineLvl w:val="2"/>
        <w:rPr>
          <w:rFonts w:hint="eastAsia" w:ascii="仿宋" w:hAnsi="仿宋" w:eastAsia="仿宋" w:cs="仿宋"/>
          <w:spacing w:val="9"/>
          <w:sz w:val="24"/>
          <w:szCs w:val="24"/>
          <w:highlight w:val="none"/>
          <w:lang w:eastAsia="zh-CN"/>
        </w:rPr>
      </w:pPr>
      <w:bookmarkStart w:id="49" w:name="_Toc5466"/>
      <w:r>
        <w:rPr>
          <w:rFonts w:hint="eastAsia" w:ascii="仿宋" w:hAnsi="仿宋" w:eastAsia="仿宋" w:cs="仿宋"/>
          <w:spacing w:val="9"/>
          <w:sz w:val="24"/>
          <w:szCs w:val="24"/>
          <w:highlight w:val="none"/>
          <w:lang w:eastAsia="zh-CN"/>
        </w:rPr>
        <w:t>2.6.6 资金支付</w:t>
      </w:r>
      <w:bookmarkEnd w:id="49"/>
    </w:p>
    <w:p w14:paraId="725E1FE5">
      <w:pPr>
        <w:widowControl w:val="0"/>
        <w:spacing w:before="204" w:line="227" w:lineRule="auto"/>
        <w:ind w:left="420"/>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采购人按财政部门的相关规定及采购合同的约定进行支付。</w:t>
      </w:r>
    </w:p>
    <w:p w14:paraId="3936A30B">
      <w:pPr>
        <w:widowControl w:val="0"/>
        <w:spacing w:before="161" w:line="228" w:lineRule="auto"/>
        <w:ind w:left="1"/>
        <w:outlineLvl w:val="1"/>
        <w:rPr>
          <w:rFonts w:hint="eastAsia" w:ascii="仿宋" w:hAnsi="仿宋" w:eastAsia="仿宋" w:cs="仿宋"/>
          <w:sz w:val="24"/>
          <w:szCs w:val="24"/>
          <w:highlight w:val="none"/>
          <w:lang w:eastAsia="zh-CN"/>
        </w:rPr>
      </w:pPr>
      <w:bookmarkStart w:id="50" w:name="_Toc2577"/>
      <w:r>
        <w:rPr>
          <w:rFonts w:hint="eastAsia" w:ascii="仿宋" w:hAnsi="仿宋" w:eastAsia="仿宋" w:cs="仿宋"/>
          <w:b/>
          <w:bCs/>
          <w:spacing w:val="11"/>
          <w:sz w:val="24"/>
          <w:szCs w:val="24"/>
          <w:highlight w:val="none"/>
          <w:lang w:eastAsia="zh-CN"/>
        </w:rPr>
        <w:t>2.7</w:t>
      </w:r>
      <w:r>
        <w:rPr>
          <w:rFonts w:hint="eastAsia" w:ascii="仿宋" w:hAnsi="仿宋" w:eastAsia="仿宋" w:cs="仿宋"/>
          <w:b/>
          <w:bCs/>
          <w:sz w:val="24"/>
          <w:szCs w:val="24"/>
          <w:highlight w:val="none"/>
          <w:lang w:eastAsia="zh-CN"/>
        </w:rPr>
        <w:t xml:space="preserve">  </w:t>
      </w:r>
      <w:r>
        <w:rPr>
          <w:rFonts w:hint="eastAsia" w:ascii="仿宋" w:hAnsi="仿宋" w:eastAsia="仿宋" w:cs="仿宋"/>
          <w:spacing w:val="11"/>
          <w:sz w:val="24"/>
          <w:szCs w:val="24"/>
          <w:highlight w:val="none"/>
          <w:lang w:eastAsia="zh-CN"/>
          <w14:textOutline w14:w="3797" w14:cap="sq" w14:cmpd="sng" w14:algn="ctr">
            <w14:solidFill>
              <w14:srgbClr w14:val="000000"/>
            </w14:solidFill>
            <w14:prstDash w14:val="solid"/>
            <w14:bevel/>
          </w14:textOutline>
        </w:rPr>
        <w:t>纪律要求</w:t>
      </w:r>
      <w:bookmarkEnd w:id="50"/>
    </w:p>
    <w:p w14:paraId="64078A77">
      <w:pPr>
        <w:widowControl w:val="0"/>
        <w:spacing w:before="203" w:line="227" w:lineRule="auto"/>
        <w:outlineLvl w:val="2"/>
        <w:rPr>
          <w:rFonts w:hint="eastAsia" w:ascii="仿宋" w:hAnsi="仿宋" w:eastAsia="仿宋" w:cs="仿宋"/>
          <w:spacing w:val="9"/>
          <w:sz w:val="24"/>
          <w:szCs w:val="24"/>
          <w:highlight w:val="none"/>
          <w:lang w:eastAsia="zh-CN"/>
        </w:rPr>
      </w:pPr>
      <w:bookmarkStart w:id="51" w:name="_Toc31434"/>
      <w:r>
        <w:rPr>
          <w:rFonts w:hint="eastAsia" w:ascii="仿宋" w:hAnsi="仿宋" w:eastAsia="仿宋" w:cs="仿宋"/>
          <w:spacing w:val="9"/>
          <w:sz w:val="24"/>
          <w:szCs w:val="24"/>
          <w:highlight w:val="none"/>
          <w:lang w:eastAsia="zh-CN"/>
        </w:rPr>
        <w:t>2.7.1 评标活动纪律要求</w:t>
      </w:r>
      <w:bookmarkEnd w:id="51"/>
    </w:p>
    <w:p w14:paraId="7ECCBF4F">
      <w:pPr>
        <w:widowControl w:val="0"/>
        <w:spacing w:before="205" w:line="377" w:lineRule="auto"/>
        <w:ind w:firstLine="420"/>
        <w:jc w:val="both"/>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采购人、代理机构应保证评标活动在严格保密的情况下进行，采购人、代理机构、投标人和评标 委员会成员应当严格遵守政府采购法律法规规章制度和本项目</w:t>
      </w:r>
      <w:r>
        <w:rPr>
          <w:rFonts w:hint="eastAsia" w:ascii="仿宋" w:hAnsi="仿宋" w:eastAsia="仿宋" w:cs="仿宋"/>
          <w:spacing w:val="8"/>
          <w:sz w:val="24"/>
          <w:szCs w:val="24"/>
          <w:highlight w:val="none"/>
          <w:lang w:eastAsia="zh-CN"/>
        </w:rPr>
        <w:t>招标文件以及代理机构现场管理规定，</w:t>
      </w:r>
      <w:r>
        <w:rPr>
          <w:rFonts w:hint="eastAsia" w:ascii="仿宋" w:hAnsi="仿宋" w:eastAsia="仿宋" w:cs="仿宋"/>
          <w:sz w:val="24"/>
          <w:szCs w:val="24"/>
          <w:highlight w:val="none"/>
          <w:lang w:eastAsia="zh-CN"/>
        </w:rPr>
        <w:t xml:space="preserve"> </w:t>
      </w:r>
      <w:r>
        <w:rPr>
          <w:rFonts w:hint="eastAsia" w:ascii="仿宋" w:hAnsi="仿宋" w:eastAsia="仿宋" w:cs="仿宋"/>
          <w:spacing w:val="9"/>
          <w:sz w:val="24"/>
          <w:szCs w:val="24"/>
          <w:highlight w:val="none"/>
          <w:lang w:eastAsia="zh-CN"/>
        </w:rPr>
        <w:t>接受采购人委派的监督人员的监督，任何单位和个人不得非法</w:t>
      </w:r>
      <w:r>
        <w:rPr>
          <w:rFonts w:hint="eastAsia" w:ascii="仿宋" w:hAnsi="仿宋" w:eastAsia="仿宋" w:cs="仿宋"/>
          <w:spacing w:val="8"/>
          <w:sz w:val="24"/>
          <w:szCs w:val="24"/>
          <w:highlight w:val="none"/>
          <w:lang w:eastAsia="zh-CN"/>
        </w:rPr>
        <w:t>干预和影响评标过程和结果。对各投标</w:t>
      </w:r>
      <w:r>
        <w:rPr>
          <w:rFonts w:hint="eastAsia" w:ascii="仿宋" w:hAnsi="仿宋" w:eastAsia="仿宋" w:cs="仿宋"/>
          <w:spacing w:val="9"/>
          <w:sz w:val="24"/>
          <w:szCs w:val="24"/>
          <w:highlight w:val="none"/>
          <w:lang w:eastAsia="zh-CN"/>
        </w:rPr>
        <w:t>人的商业秘密，评标委员会成员应予以保密，不得泄露给其他投标人。</w:t>
      </w:r>
    </w:p>
    <w:p w14:paraId="7011FE3B">
      <w:pPr>
        <w:widowControl w:val="0"/>
        <w:spacing w:before="162" w:line="227" w:lineRule="auto"/>
        <w:ind w:left="420"/>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对各投标人的商业秘密，评标委员会成员应予以保密，不得泄露给其他投标人。</w:t>
      </w:r>
    </w:p>
    <w:p w14:paraId="69ACCB80">
      <w:pPr>
        <w:widowControl w:val="0"/>
        <w:spacing w:before="203" w:line="227" w:lineRule="auto"/>
        <w:outlineLvl w:val="2"/>
        <w:rPr>
          <w:rFonts w:hint="eastAsia" w:ascii="仿宋" w:hAnsi="仿宋" w:eastAsia="仿宋" w:cs="仿宋"/>
          <w:spacing w:val="9"/>
          <w:sz w:val="24"/>
          <w:szCs w:val="24"/>
          <w:highlight w:val="none"/>
          <w:lang w:eastAsia="zh-CN"/>
        </w:rPr>
      </w:pPr>
      <w:bookmarkStart w:id="52" w:name="_Toc1270"/>
      <w:r>
        <w:rPr>
          <w:rFonts w:hint="eastAsia" w:ascii="仿宋" w:hAnsi="仿宋" w:eastAsia="仿宋" w:cs="仿宋"/>
          <w:spacing w:val="9"/>
          <w:sz w:val="24"/>
          <w:szCs w:val="24"/>
          <w:highlight w:val="none"/>
          <w:lang w:eastAsia="zh-CN"/>
        </w:rPr>
        <w:t>2.7.2 投标人不得具有的情形（实质性要求）</w:t>
      </w:r>
      <w:bookmarkEnd w:id="52"/>
    </w:p>
    <w:p w14:paraId="68CAF6F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一、有下列情形之一的，视为投标人串通投标：</w:t>
      </w:r>
    </w:p>
    <w:p w14:paraId="4EA2907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（一）不同投标人的投标文件由同一单位或者个人编制；</w:t>
      </w:r>
    </w:p>
    <w:p w14:paraId="6C0A2B2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（二）不同投标人委托同一单位或者个人办理投标事宜；</w:t>
      </w:r>
    </w:p>
    <w:p w14:paraId="0703390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（三）不同投标人的投标文件载明的项目管理成员或者联系人员为同一人；</w:t>
      </w:r>
    </w:p>
    <w:p w14:paraId="268BDF6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（四）不同投标人的投标文件异常一致或者投标报价呈规律性差异。</w:t>
      </w:r>
    </w:p>
    <w:p w14:paraId="66D5907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二、提供虚假材料谋取中标；</w:t>
      </w:r>
    </w:p>
    <w:p w14:paraId="400A467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三、采取不正当手段诋毁、排挤其他投标人；</w:t>
      </w:r>
    </w:p>
    <w:p w14:paraId="3BA09E4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四、与采购人或代理机构、其他投标人恶意串通；</w:t>
      </w:r>
    </w:p>
    <w:p w14:paraId="5987BE8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五、向采购人或代理机构、评标委员会成员行贿或者提供其他不正当利益；</w:t>
      </w:r>
    </w:p>
    <w:p w14:paraId="45E3F36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六、在招标过程中与采购人或代理机构进行协商谈判；</w:t>
      </w:r>
    </w:p>
    <w:p w14:paraId="0CD270E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七、中标后无正当理由拒不与采购人签订政府采购合同；</w:t>
      </w:r>
    </w:p>
    <w:p w14:paraId="6B3A7F3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八、未按照采购文件确定的事项签订政府采购合同；</w:t>
      </w:r>
    </w:p>
    <w:p w14:paraId="0EF98EC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九、将政府采购合同转包或者违规分包；</w:t>
      </w:r>
    </w:p>
    <w:p w14:paraId="227B86F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十、提供假冒伪劣产品；</w:t>
      </w:r>
    </w:p>
    <w:p w14:paraId="5942C44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十一、擅自变更、中止或者终止政府采购合同；</w:t>
      </w:r>
    </w:p>
    <w:p w14:paraId="0DD7523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十二、拒绝有关部门的监督检查或者向监督检查部门提供虚假情况；</w:t>
      </w:r>
    </w:p>
    <w:p w14:paraId="7BFE306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十三、法律法规规定的其他禁止情形。</w:t>
      </w:r>
    </w:p>
    <w:p w14:paraId="6E3395D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投标人有上述情形的，按照规定追究法律责任，具备一至十一条情形之一的，其投标文件无效，或取消被确认为中标投标人的资格或认定中标无效。</w:t>
      </w:r>
    </w:p>
    <w:p w14:paraId="3AAC1609">
      <w:pPr>
        <w:widowControl w:val="0"/>
        <w:spacing w:before="163" w:line="228" w:lineRule="auto"/>
        <w:outlineLvl w:val="1"/>
        <w:rPr>
          <w:rFonts w:hint="eastAsia" w:ascii="仿宋" w:hAnsi="仿宋" w:eastAsia="仿宋" w:cs="仿宋"/>
          <w:sz w:val="24"/>
          <w:szCs w:val="24"/>
          <w:highlight w:val="none"/>
          <w:lang w:eastAsia="zh-CN"/>
        </w:rPr>
      </w:pPr>
      <w:bookmarkStart w:id="53" w:name="_Toc13979"/>
      <w:r>
        <w:rPr>
          <w:rFonts w:hint="eastAsia" w:ascii="仿宋" w:hAnsi="仿宋" w:eastAsia="仿宋" w:cs="仿宋"/>
          <w:b/>
          <w:bCs/>
          <w:sz w:val="24"/>
          <w:szCs w:val="24"/>
          <w:highlight w:val="none"/>
          <w:lang w:eastAsia="zh-CN"/>
        </w:rPr>
        <w:t>2.8</w:t>
      </w:r>
      <w:r>
        <w:rPr>
          <w:rFonts w:hint="eastAsia" w:ascii="仿宋" w:hAnsi="仿宋" w:eastAsia="仿宋" w:cs="仿宋"/>
          <w:b/>
          <w:bCs/>
          <w:spacing w:val="39"/>
          <w:w w:val="101"/>
          <w:sz w:val="24"/>
          <w:szCs w:val="24"/>
          <w:highlight w:val="none"/>
          <w:lang w:eastAsia="zh-CN"/>
        </w:rPr>
        <w:t xml:space="preserve"> </w:t>
      </w:r>
      <w:r>
        <w:rPr>
          <w:rFonts w:hint="eastAsia" w:ascii="仿宋" w:hAnsi="仿宋" w:eastAsia="仿宋" w:cs="仿宋"/>
          <w:sz w:val="24"/>
          <w:szCs w:val="24"/>
          <w:highlight w:val="none"/>
          <w:lang w:eastAsia="zh-CN"/>
          <w14:textOutline w14:w="3797" w14:cap="sq" w14:cmpd="sng" w14:algn="ctr">
            <w14:solidFill>
              <w14:srgbClr w14:val="000000"/>
            </w14:solidFill>
            <w14:prstDash w14:val="solid"/>
            <w14:bevel/>
          </w14:textOutline>
        </w:rPr>
        <w:t>询问、质疑和投诉</w:t>
      </w:r>
      <w:bookmarkEnd w:id="53"/>
    </w:p>
    <w:p w14:paraId="506FAF6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一、询问、质疑、投诉的接收和处理严格按照《中华人民共和国政府采购法》《中华人民共和国政府采购法实施条例》《政府采购质疑和投诉办法》等规定办理。</w:t>
      </w:r>
    </w:p>
    <w:p w14:paraId="12A1477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询问、质疑的答复主体：根据委托代理协议约定，投标人对招标文件中采购需求的询问、质疑由陕西华采招标有限公司负责答复；投标人对除采购需求外的采购文件的询问、质疑由陕西华采招标有限公司有限公司负责答复；投标人对采购过程、采购结果的询问、质疑由陕西华采招标有限公司有限公司负责答复。</w:t>
      </w:r>
    </w:p>
    <w:p w14:paraId="3AC8ED2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人提出的询问，应当明确询问事项，如以书面形式提出的，应由投标人签字并加盖公章。为提高采购效率，降低社会成本，鼓励询问主体对于不损害国家及社会利益或自身合法权益的问题或情形采用询问方式处理解决（包含但不限于文字错误、标点符号、不影响投标文件的编制等相关情形）。</w:t>
      </w:r>
    </w:p>
    <w:p w14:paraId="69E92E5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四、投标人认为采购文件、采购过程、中标或者成交结果使自己的权益受到损害的，可以在知道 或者应知其权益受到损害之日起7个工作日内，以书面形式向采购人、代理机构提出质疑。投标人应在法定质疑期内一次性提出针对同一采购程序环节的质疑。投标人应知其权益受到损害之日，是指：</w:t>
      </w:r>
    </w:p>
    <w:p w14:paraId="734178D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（一）对可以质疑的采购文件提出质疑的，为收到采购文件之日或者采购文件公告期限届满之日；</w:t>
      </w:r>
    </w:p>
    <w:p w14:paraId="07DB9AC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（二）对采购过程提出质疑的，为各采购程序环节结束之日；</w:t>
      </w:r>
    </w:p>
    <w:p w14:paraId="67E2C64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（三）对中标或者成交结果提出质疑的，为中标或者成交结果公告期限届满之日。</w:t>
      </w:r>
    </w:p>
    <w:p w14:paraId="32856EC0">
      <w:pPr>
        <w:widowControl w:val="0"/>
        <w:spacing w:before="163" w:line="228" w:lineRule="auto"/>
        <w:ind w:firstLine="514" w:firstLineChars="200"/>
        <w:rPr>
          <w:rFonts w:hint="eastAsia" w:ascii="仿宋" w:hAnsi="仿宋" w:eastAsia="仿宋" w:cs="仿宋"/>
          <w:b/>
          <w:bCs/>
          <w:spacing w:val="8"/>
          <w:position w:val="15"/>
          <w:sz w:val="24"/>
          <w:szCs w:val="24"/>
          <w:highlight w:val="none"/>
          <w:lang w:eastAsia="zh-CN"/>
        </w:rPr>
      </w:pPr>
      <w:r>
        <w:rPr>
          <w:rFonts w:hint="eastAsia" w:ascii="仿宋" w:hAnsi="仿宋" w:eastAsia="仿宋" w:cs="仿宋"/>
          <w:b/>
          <w:bCs/>
          <w:spacing w:val="8"/>
          <w:position w:val="15"/>
          <w:sz w:val="24"/>
          <w:szCs w:val="24"/>
          <w:highlight w:val="none"/>
          <w:lang w:eastAsia="zh-CN"/>
        </w:rPr>
        <w:t>五、本项目不接受在线提交质疑，投标人通过书面形式线下向采购人或代理机构提交质疑资料。</w:t>
      </w:r>
    </w:p>
    <w:p w14:paraId="294A7A1F">
      <w:pPr>
        <w:widowControl w:val="0"/>
        <w:spacing w:before="165" w:line="227" w:lineRule="auto"/>
        <w:ind w:right="29" w:firstLine="516" w:firstLineChars="200"/>
        <w:jc w:val="both"/>
        <w:outlineLvl w:val="2"/>
        <w:rPr>
          <w:rFonts w:hint="eastAsia" w:ascii="仿宋" w:hAnsi="仿宋" w:eastAsia="仿宋" w:cs="仿宋"/>
          <w:sz w:val="24"/>
          <w:szCs w:val="24"/>
          <w:highlight w:val="none"/>
          <w:lang w:eastAsia="zh-CN"/>
        </w:rPr>
      </w:pPr>
      <w:bookmarkStart w:id="54" w:name="_Toc16798"/>
      <w:r>
        <w:rPr>
          <w:rFonts w:hint="eastAsia" w:ascii="仿宋" w:hAnsi="仿宋" w:eastAsia="仿宋" w:cs="仿宋"/>
          <w:spacing w:val="9"/>
          <w:sz w:val="24"/>
          <w:szCs w:val="24"/>
          <w:highlight w:val="none"/>
          <w:lang w:eastAsia="zh-CN"/>
        </w:rPr>
        <w:t>六、投标人提出质疑时应当准备的资料</w:t>
      </w:r>
      <w:bookmarkEnd w:id="54"/>
    </w:p>
    <w:p w14:paraId="486D0F3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（一）质疑书正本1份；（政府采购投标人质疑函范本详见附件一）</w:t>
      </w:r>
    </w:p>
    <w:p w14:paraId="0EA3BF2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（二）法定代表人或主要负责人授权委托书1份（委托代理人办理质疑事宜的需提供）；</w:t>
      </w:r>
    </w:p>
    <w:p w14:paraId="5068EB4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（三）法定代表人或主要负责人身份证复印件1份；</w:t>
      </w:r>
    </w:p>
    <w:p w14:paraId="735B559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（四）委托代理人身份证复印件1份（委托代理人办理质疑事宜的需提供）；</w:t>
      </w:r>
    </w:p>
    <w:p w14:paraId="2D8F94E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（五）针对质疑事项必要的证明材料（针对招标文件提出的质疑，需提交从项目电子化交易系统已获取招标文件的回执函）。</w:t>
      </w:r>
    </w:p>
    <w:p w14:paraId="21BAC76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 xml:space="preserve">答复主体：招标代理机构  </w:t>
      </w:r>
    </w:p>
    <w:p w14:paraId="440B5B1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联系人：孙立博  联系电话：029-68255920转807</w:t>
      </w:r>
    </w:p>
    <w:p w14:paraId="144CFD4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地址：西安高新区锦业路1号绿地领海大厦B座10楼1006室   邮编：710061</w:t>
      </w:r>
    </w:p>
    <w:p w14:paraId="2AF7E0B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注：根据《中华人民共和国政府采购法》的规定，投标人质疑不得超出采购文件、采购过程、采购结果的范围。</w:t>
      </w:r>
    </w:p>
    <w:p w14:paraId="52D74D3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七、投标人对采购人或代理机构的质疑答复不满意，或者采购人或代理机构未在规定期限内作出答复的，投标人可以在答复期满后15个工作日内向同级财政部门提起投诉。</w:t>
      </w:r>
    </w:p>
    <w:p w14:paraId="55DC68F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sectPr>
          <w:pgSz w:w="11900" w:h="16839"/>
          <w:pgMar w:top="1406" w:right="1242" w:bottom="896" w:left="1406" w:header="0" w:footer="731" w:gutter="0"/>
          <w:cols w:space="0" w:num="1"/>
        </w:sectPr>
      </w:pPr>
      <w:r>
        <w:rPr>
          <w:rFonts w:hint="eastAsia" w:ascii="仿宋" w:hAnsi="仿宋" w:eastAsia="仿宋" w:cs="仿宋"/>
          <w:spacing w:val="8"/>
          <w:position w:val="15"/>
          <w:sz w:val="24"/>
          <w:szCs w:val="24"/>
          <w:highlight w:val="none"/>
          <w:lang w:eastAsia="zh-CN"/>
        </w:rPr>
        <w:t>投诉受理单位：本采购项目同级财政部门。（政府采购投标人投诉书范本详见附件二）</w:t>
      </w:r>
    </w:p>
    <w:p w14:paraId="0AA27586">
      <w:pPr>
        <w:spacing w:before="71" w:line="224" w:lineRule="auto"/>
        <w:jc w:val="center"/>
        <w:outlineLvl w:val="0"/>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pPr>
      <w:bookmarkStart w:id="55" w:name="_Toc20330"/>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第三章 招标内容及要求</w:t>
      </w:r>
      <w:bookmarkEnd w:id="55"/>
    </w:p>
    <w:p w14:paraId="18FE8384">
      <w:pPr>
        <w:widowControl w:val="0"/>
        <w:spacing w:before="163" w:line="360" w:lineRule="auto"/>
        <w:outlineLvl w:val="1"/>
        <w:rPr>
          <w:rFonts w:hint="eastAsia" w:ascii="仿宋" w:hAnsi="仿宋" w:eastAsia="仿宋" w:cs="仿宋"/>
          <w:b/>
          <w:bCs/>
          <w:spacing w:val="8"/>
          <w:position w:val="15"/>
          <w:sz w:val="24"/>
          <w:szCs w:val="24"/>
          <w:highlight w:val="none"/>
          <w:lang w:eastAsia="zh-CN"/>
        </w:rPr>
      </w:pPr>
      <w:bookmarkStart w:id="56" w:name="_Toc11642"/>
      <w:r>
        <w:rPr>
          <w:rFonts w:hint="eastAsia" w:ascii="仿宋" w:hAnsi="仿宋" w:eastAsia="仿宋" w:cs="仿宋"/>
          <w:b/>
          <w:bCs/>
          <w:spacing w:val="8"/>
          <w:position w:val="15"/>
          <w:sz w:val="24"/>
          <w:szCs w:val="24"/>
          <w:highlight w:val="none"/>
          <w:lang w:eastAsia="zh-CN"/>
        </w:rPr>
        <w:t>3.1 采购项目概况</w:t>
      </w:r>
      <w:bookmarkEnd w:id="56"/>
    </w:p>
    <w:p w14:paraId="033802FB">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1、项目名称：秦始皇帝陵博物院一号坑主展厅参观环境提升改造（二次）</w:t>
      </w:r>
    </w:p>
    <w:p w14:paraId="6457B6D5">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2、项目类别：工程</w:t>
      </w:r>
    </w:p>
    <w:p w14:paraId="36680BD2">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3、预算控制价/招标控制价：4939134.37元</w:t>
      </w:r>
    </w:p>
    <w:p w14:paraId="35045311">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4、采购方式：公开招标</w:t>
      </w:r>
    </w:p>
    <w:p w14:paraId="5628D766">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5、项目概况：工程建设地点位于西安市临潼区。工程范围为一号展览区。</w:t>
      </w:r>
    </w:p>
    <w:p w14:paraId="63776D6D">
      <w:pPr>
        <w:widowControl w:val="0"/>
        <w:spacing w:before="163" w:line="228" w:lineRule="auto"/>
        <w:outlineLvl w:val="1"/>
        <w:rPr>
          <w:rFonts w:hint="eastAsia" w:ascii="仿宋" w:hAnsi="仿宋" w:eastAsia="仿宋" w:cs="仿宋"/>
          <w:b/>
          <w:bCs/>
          <w:spacing w:val="8"/>
          <w:position w:val="15"/>
          <w:sz w:val="24"/>
          <w:szCs w:val="24"/>
          <w:highlight w:val="none"/>
          <w:lang w:eastAsia="zh-CN"/>
        </w:rPr>
      </w:pPr>
      <w:bookmarkStart w:id="57" w:name="_Toc28699"/>
      <w:r>
        <w:rPr>
          <w:rFonts w:hint="eastAsia" w:ascii="仿宋" w:hAnsi="仿宋" w:eastAsia="仿宋" w:cs="仿宋"/>
          <w:b/>
          <w:bCs/>
          <w:spacing w:val="8"/>
          <w:position w:val="15"/>
          <w:sz w:val="24"/>
          <w:szCs w:val="24"/>
          <w:highlight w:val="none"/>
          <w:lang w:eastAsia="zh-CN"/>
        </w:rPr>
        <w:t>3.2 采购内容</w:t>
      </w:r>
      <w:bookmarkEnd w:id="57"/>
    </w:p>
    <w:p w14:paraId="000EEBA0">
      <w:pPr>
        <w:widowControl w:val="0"/>
        <w:spacing w:before="224" w:line="228" w:lineRule="auto"/>
        <w:ind w:left="435"/>
        <w:rPr>
          <w:rFonts w:hint="eastAsia" w:ascii="仿宋" w:hAnsi="仿宋" w:eastAsia="仿宋" w:cs="仿宋"/>
          <w:spacing w:val="5"/>
          <w:sz w:val="24"/>
          <w:szCs w:val="24"/>
          <w:highlight w:val="none"/>
          <w:lang w:eastAsia="zh-CN"/>
        </w:rPr>
      </w:pPr>
      <w:r>
        <w:rPr>
          <w:rFonts w:hint="eastAsia" w:ascii="仿宋" w:hAnsi="仿宋" w:eastAsia="仿宋" w:cs="仿宋"/>
          <w:spacing w:val="5"/>
          <w:sz w:val="24"/>
          <w:szCs w:val="24"/>
          <w:highlight w:val="none"/>
          <w:lang w:eastAsia="zh-CN"/>
        </w:rPr>
        <w:t>采购预算金额（元）：4950000.00；</w:t>
      </w:r>
    </w:p>
    <w:p w14:paraId="13BBDADF">
      <w:pPr>
        <w:widowControl w:val="0"/>
        <w:spacing w:before="162" w:line="226" w:lineRule="auto"/>
        <w:ind w:left="435"/>
        <w:rPr>
          <w:rFonts w:hint="eastAsia" w:ascii="仿宋" w:hAnsi="仿宋" w:eastAsia="仿宋" w:cs="仿宋"/>
          <w:sz w:val="24"/>
          <w:szCs w:val="24"/>
          <w:highlight w:val="none"/>
          <w:lang w:eastAsia="zh-CN"/>
        </w:rPr>
      </w:pPr>
      <w:r>
        <w:rPr>
          <w:rFonts w:hint="eastAsia" w:ascii="仿宋" w:hAnsi="仿宋" w:eastAsia="仿宋" w:cs="仿宋"/>
          <w:spacing w:val="5"/>
          <w:sz w:val="24"/>
          <w:szCs w:val="24"/>
          <w:highlight w:val="none"/>
          <w:lang w:eastAsia="zh-CN"/>
        </w:rPr>
        <w:t>最高限价（元</w:t>
      </w:r>
      <w:r>
        <w:rPr>
          <w:rFonts w:hint="eastAsia" w:ascii="仿宋" w:hAnsi="仿宋" w:eastAsia="仿宋" w:cs="仿宋"/>
          <w:spacing w:val="16"/>
          <w:sz w:val="24"/>
          <w:szCs w:val="24"/>
          <w:highlight w:val="none"/>
          <w:lang w:eastAsia="zh-CN"/>
        </w:rPr>
        <w:t>）：</w:t>
      </w:r>
      <w:r>
        <w:rPr>
          <w:rFonts w:hint="eastAsia" w:ascii="仿宋" w:hAnsi="仿宋" w:eastAsia="仿宋" w:cs="仿宋"/>
          <w:spacing w:val="8"/>
          <w:sz w:val="24"/>
          <w:szCs w:val="24"/>
          <w:highlight w:val="none"/>
          <w:lang w:eastAsia="zh-CN"/>
        </w:rPr>
        <w:t>4939134.37</w:t>
      </w:r>
      <w:r>
        <w:rPr>
          <w:rFonts w:hint="eastAsia" w:ascii="仿宋" w:hAnsi="仿宋" w:eastAsia="仿宋" w:cs="仿宋"/>
          <w:spacing w:val="5"/>
          <w:sz w:val="24"/>
          <w:szCs w:val="24"/>
          <w:highlight w:val="none"/>
          <w:lang w:eastAsia="zh-CN"/>
        </w:rPr>
        <w:t>。</w:t>
      </w:r>
    </w:p>
    <w:p w14:paraId="619C143C">
      <w:pPr>
        <w:widowControl w:val="0"/>
        <w:spacing w:before="163" w:line="226" w:lineRule="auto"/>
        <w:ind w:left="433"/>
        <w:rPr>
          <w:rFonts w:hint="eastAsia" w:ascii="仿宋" w:hAnsi="仿宋" w:eastAsia="仿宋" w:cs="仿宋"/>
          <w:sz w:val="24"/>
          <w:szCs w:val="24"/>
          <w:highlight w:val="none"/>
          <w:lang w:eastAsia="zh-CN"/>
        </w:rPr>
      </w:pPr>
      <w:r>
        <w:rPr>
          <w:rFonts w:hint="eastAsia" w:ascii="仿宋" w:hAnsi="仿宋" w:eastAsia="仿宋" w:cs="仿宋"/>
          <w:spacing w:val="9"/>
          <w:sz w:val="24"/>
          <w:szCs w:val="24"/>
          <w:highlight w:val="none"/>
          <w:lang w:eastAsia="zh-CN"/>
        </w:rPr>
        <w:t>投标人报价不允许超过标的金额。</w:t>
      </w:r>
    </w:p>
    <w:tbl>
      <w:tblPr>
        <w:tblStyle w:val="24"/>
        <w:tblW w:w="95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3"/>
        <w:gridCol w:w="3214"/>
        <w:gridCol w:w="830"/>
        <w:gridCol w:w="1855"/>
        <w:gridCol w:w="1281"/>
        <w:gridCol w:w="1500"/>
      </w:tblGrid>
      <w:tr w14:paraId="4545F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823" w:type="dxa"/>
            <w:vAlign w:val="center"/>
          </w:tcPr>
          <w:p w14:paraId="70B4B4A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3214" w:type="dxa"/>
            <w:vAlign w:val="center"/>
          </w:tcPr>
          <w:p w14:paraId="6294AC0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标的名称</w:t>
            </w:r>
          </w:p>
        </w:tc>
        <w:tc>
          <w:tcPr>
            <w:tcW w:w="830" w:type="dxa"/>
            <w:vAlign w:val="center"/>
          </w:tcPr>
          <w:p w14:paraId="653386D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数量</w:t>
            </w:r>
          </w:p>
        </w:tc>
        <w:tc>
          <w:tcPr>
            <w:tcW w:w="1855" w:type="dxa"/>
            <w:vAlign w:val="center"/>
          </w:tcPr>
          <w:p w14:paraId="0BC5A7A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标的金额（元）</w:t>
            </w:r>
          </w:p>
        </w:tc>
        <w:tc>
          <w:tcPr>
            <w:tcW w:w="1281" w:type="dxa"/>
            <w:vAlign w:val="center"/>
          </w:tcPr>
          <w:p w14:paraId="4C8FB55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计量单位</w:t>
            </w:r>
          </w:p>
        </w:tc>
        <w:tc>
          <w:tcPr>
            <w:tcW w:w="1500" w:type="dxa"/>
            <w:vAlign w:val="center"/>
          </w:tcPr>
          <w:p w14:paraId="066F856C">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所属行业</w:t>
            </w:r>
          </w:p>
        </w:tc>
      </w:tr>
      <w:tr w14:paraId="4AA41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823" w:type="dxa"/>
            <w:vAlign w:val="center"/>
          </w:tcPr>
          <w:p w14:paraId="56AB4950">
            <w:pPr>
              <w:widowControl w:val="0"/>
              <w:spacing w:before="61"/>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3214" w:type="dxa"/>
            <w:vAlign w:val="center"/>
          </w:tcPr>
          <w:p w14:paraId="7D18276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一号坑主展厅参观环境提升改造</w:t>
            </w:r>
          </w:p>
        </w:tc>
        <w:tc>
          <w:tcPr>
            <w:tcW w:w="830" w:type="dxa"/>
            <w:vAlign w:val="center"/>
          </w:tcPr>
          <w:p w14:paraId="15CC51A7">
            <w:pPr>
              <w:widowControl w:val="0"/>
              <w:spacing w:before="61"/>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855" w:type="dxa"/>
            <w:vAlign w:val="center"/>
          </w:tcPr>
          <w:p w14:paraId="61FFBB1D">
            <w:pPr>
              <w:widowControl w:val="0"/>
              <w:spacing w:before="61"/>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4"/>
                <w:sz w:val="24"/>
                <w:szCs w:val="24"/>
                <w:highlight w:val="none"/>
                <w:lang w:eastAsia="zh-CN"/>
                <w14:textFill>
                  <w14:solidFill>
                    <w14:schemeClr w14:val="tx1"/>
                  </w14:solidFill>
                </w14:textFill>
              </w:rPr>
              <w:t>4950000.00</w:t>
            </w:r>
          </w:p>
        </w:tc>
        <w:tc>
          <w:tcPr>
            <w:tcW w:w="1281" w:type="dxa"/>
            <w:vAlign w:val="center"/>
          </w:tcPr>
          <w:p w14:paraId="3C367528">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w:t>
            </w:r>
          </w:p>
        </w:tc>
        <w:tc>
          <w:tcPr>
            <w:tcW w:w="1500" w:type="dxa"/>
            <w:vAlign w:val="center"/>
          </w:tcPr>
          <w:p w14:paraId="6FD38DC5">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建筑业</w:t>
            </w:r>
          </w:p>
        </w:tc>
      </w:tr>
    </w:tbl>
    <w:p w14:paraId="172600F5">
      <w:pPr>
        <w:widowControl w:val="0"/>
        <w:spacing w:before="163" w:line="228" w:lineRule="auto"/>
        <w:outlineLvl w:val="1"/>
        <w:rPr>
          <w:rFonts w:hint="eastAsia" w:ascii="仿宋" w:hAnsi="仿宋" w:eastAsia="仿宋" w:cs="仿宋"/>
          <w:b/>
          <w:bCs/>
          <w:spacing w:val="8"/>
          <w:position w:val="15"/>
          <w:sz w:val="24"/>
          <w:szCs w:val="24"/>
          <w:highlight w:val="none"/>
          <w:lang w:eastAsia="zh-CN"/>
        </w:rPr>
      </w:pPr>
      <w:bookmarkStart w:id="58" w:name="_Toc2834"/>
      <w:r>
        <w:rPr>
          <w:rFonts w:hint="eastAsia" w:ascii="仿宋" w:hAnsi="仿宋" w:eastAsia="仿宋" w:cs="仿宋"/>
          <w:b/>
          <w:bCs/>
          <w:spacing w:val="8"/>
          <w:position w:val="15"/>
          <w:sz w:val="24"/>
          <w:szCs w:val="24"/>
          <w:highlight w:val="none"/>
          <w:lang w:eastAsia="zh-CN"/>
        </w:rPr>
        <w:t>3.3 技术要求</w:t>
      </w:r>
      <w:bookmarkEnd w:id="58"/>
    </w:p>
    <w:p w14:paraId="10960F2E">
      <w:pPr>
        <w:pStyle w:val="14"/>
        <w:widowControl w:val="0"/>
        <w:spacing w:line="377" w:lineRule="auto"/>
        <w:ind w:firstLine="512" w:firstLineChars="200"/>
        <w:outlineLvl w:val="2"/>
        <w:rPr>
          <w:rFonts w:hint="eastAsia" w:ascii="仿宋" w:hAnsi="仿宋" w:eastAsia="仿宋" w:cs="仿宋"/>
          <w:spacing w:val="8"/>
          <w:sz w:val="24"/>
          <w:szCs w:val="24"/>
          <w:highlight w:val="none"/>
          <w:lang w:eastAsia="zh-CN"/>
        </w:rPr>
      </w:pPr>
      <w:bookmarkStart w:id="59" w:name="_Toc20839"/>
      <w:r>
        <w:rPr>
          <w:rFonts w:hint="eastAsia" w:ascii="仿宋" w:hAnsi="仿宋" w:eastAsia="仿宋" w:cs="仿宋"/>
          <w:spacing w:val="8"/>
          <w:sz w:val="24"/>
          <w:szCs w:val="24"/>
          <w:highlight w:val="none"/>
          <w:lang w:eastAsia="zh-CN"/>
        </w:rPr>
        <w:t>一、技术要求：</w:t>
      </w:r>
      <w:bookmarkEnd w:id="59"/>
    </w:p>
    <w:p w14:paraId="4C5C6E40">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1、技术要求：本次改造主要涉及一号坑主展厅室内空间，包括地面铺装、墙面装饰、防护围栏等方面的更新和提升。</w:t>
      </w:r>
    </w:p>
    <w:p w14:paraId="1E36FD34">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2、其他要求：一号坑作为博物院的核心景点之一，参观环境对于提升游客的整体游览体验具有关键作用。要求制作详细的施工计划与时间，确实保证文物安全与游客安全。</w:t>
      </w:r>
    </w:p>
    <w:p w14:paraId="38753A8A">
      <w:pPr>
        <w:pStyle w:val="14"/>
        <w:widowControl w:val="0"/>
        <w:spacing w:line="377" w:lineRule="auto"/>
        <w:ind w:firstLine="512" w:firstLineChars="200"/>
        <w:rPr>
          <w:rFonts w:hint="eastAsia" w:ascii="仿宋" w:hAnsi="仿宋" w:eastAsia="仿宋" w:cs="仿宋"/>
          <w:spacing w:val="8"/>
          <w:sz w:val="24"/>
          <w:szCs w:val="24"/>
          <w:highlight w:val="yellow"/>
          <w:lang w:eastAsia="zh-CN"/>
        </w:rPr>
      </w:pPr>
      <w:r>
        <w:rPr>
          <w:rFonts w:hint="eastAsia" w:ascii="仿宋" w:hAnsi="仿宋" w:eastAsia="仿宋" w:cs="仿宋"/>
          <w:spacing w:val="8"/>
          <w:sz w:val="24"/>
          <w:szCs w:val="24"/>
          <w:highlight w:val="none"/>
          <w:lang w:eastAsia="zh-CN"/>
        </w:rPr>
        <w:t xml:space="preserve">3、工程量清单：详见附件 </w:t>
      </w:r>
    </w:p>
    <w:p w14:paraId="1929E1B3">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 xml:space="preserve">4、图纸：详见附件 </w:t>
      </w:r>
    </w:p>
    <w:p w14:paraId="71CFE172">
      <w:pPr>
        <w:pStyle w:val="14"/>
        <w:widowControl w:val="0"/>
        <w:spacing w:line="377" w:lineRule="auto"/>
        <w:ind w:firstLine="512" w:firstLineChars="200"/>
        <w:outlineLvl w:val="2"/>
        <w:rPr>
          <w:rFonts w:hint="eastAsia" w:ascii="仿宋" w:hAnsi="仿宋" w:eastAsia="仿宋" w:cs="仿宋"/>
          <w:spacing w:val="8"/>
          <w:sz w:val="24"/>
          <w:szCs w:val="24"/>
          <w:highlight w:val="none"/>
          <w:lang w:eastAsia="zh-CN"/>
        </w:rPr>
      </w:pPr>
      <w:bookmarkStart w:id="60" w:name="_Toc3049"/>
      <w:r>
        <w:rPr>
          <w:rFonts w:hint="eastAsia" w:ascii="仿宋" w:hAnsi="仿宋" w:eastAsia="仿宋" w:cs="仿宋"/>
          <w:spacing w:val="8"/>
          <w:sz w:val="24"/>
          <w:szCs w:val="24"/>
          <w:highlight w:val="none"/>
          <w:lang w:eastAsia="zh-CN"/>
        </w:rPr>
        <w:t>二</w:t>
      </w:r>
      <w:bookmarkEnd w:id="60"/>
      <w:bookmarkStart w:id="61" w:name="_Toc31301"/>
      <w:r>
        <w:rPr>
          <w:rFonts w:hint="eastAsia" w:ascii="仿宋" w:hAnsi="仿宋" w:eastAsia="仿宋" w:cs="仿宋"/>
          <w:spacing w:val="8"/>
          <w:sz w:val="24"/>
          <w:szCs w:val="24"/>
          <w:highlight w:val="none"/>
          <w:lang w:eastAsia="zh-CN"/>
        </w:rPr>
        <w:t>、其他要求：</w:t>
      </w:r>
      <w:bookmarkEnd w:id="61"/>
    </w:p>
    <w:p w14:paraId="688357C7">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（一）施工总体要求：</w:t>
      </w:r>
    </w:p>
    <w:p w14:paraId="5FC6B67C">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1、时间规划：通常为闭馆后至次日开馆前，确保白天参观活动不受影响。同时需预留足够时间进行现场清理和检查，确保白天开放前恢复原有参观环境。</w:t>
      </w:r>
    </w:p>
    <w:p w14:paraId="73996FDA">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2、污染控制：文物区施工避免污染对文物以及游客的影响。</w:t>
      </w:r>
    </w:p>
    <w:p w14:paraId="79DBA9A1">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3、交通组织：施工期间，增设临时指示标志，引导游客和工作人员。</w:t>
      </w:r>
    </w:p>
    <w:p w14:paraId="583EB824">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（二）文物保护措施</w:t>
      </w:r>
    </w:p>
    <w:p w14:paraId="711A0E34">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1、施工区域隔离：一号坑作为兵马俑主要展厅需要设置围挡时，应提前三日与</w:t>
      </w:r>
      <w:r>
        <w:rPr>
          <w:rFonts w:hint="eastAsia" w:ascii="仿宋" w:hAnsi="仿宋" w:eastAsia="仿宋" w:cs="仿宋"/>
          <w:spacing w:val="8"/>
          <w:sz w:val="24"/>
          <w:szCs w:val="24"/>
          <w:highlight w:val="none"/>
          <w:lang w:val="en-US" w:eastAsia="zh-CN"/>
        </w:rPr>
        <w:t>采购人</w:t>
      </w:r>
      <w:r>
        <w:rPr>
          <w:rFonts w:hint="eastAsia" w:ascii="仿宋" w:hAnsi="仿宋" w:eastAsia="仿宋" w:cs="仿宋"/>
          <w:spacing w:val="8"/>
          <w:sz w:val="24"/>
          <w:szCs w:val="24"/>
          <w:highlight w:val="none"/>
          <w:lang w:eastAsia="zh-CN"/>
        </w:rPr>
        <w:t>沟通，经采购人单位研究后方可实施，防止施工活动直接接触文物本体。围挡应当稳固且不影响游客，同时设置文物保护标语。</w:t>
      </w:r>
    </w:p>
    <w:p w14:paraId="1CB9CD2E">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2、专业指导与监督：采购人单位文物保护专家将全程参与施工指导与监督，施工人员要接受文物保护培训，了解遵守文物保护法规。</w:t>
      </w:r>
    </w:p>
    <w:p w14:paraId="29BE648F">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3、环境监测：兵马俑一号坑内装有环境监测设备，对施工区域湿度、温度、震动等环境参数进行实时监测，施工过程中如遇到系统告警应及时停止施工，并及时上报，待全面评估过后方可继续施工。</w:t>
      </w:r>
    </w:p>
    <w:p w14:paraId="526BA801">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4、防尘与防水措施：采用湿法作业等防尘措施，减少施工扬尘对文物的影响。同时，确保施工区域排水畅通，防止雨水渗入文物保护区。</w:t>
      </w:r>
    </w:p>
    <w:p w14:paraId="659C9AF0">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5、应急预案：制定详细的安全事故等突发事件的应对措施。施工期间，配备必要的应急救援设备和物资，定期组织应急演练。</w:t>
      </w:r>
    </w:p>
    <w:p w14:paraId="5CA2D059">
      <w:pPr>
        <w:pStyle w:val="14"/>
        <w:widowControl w:val="0"/>
        <w:spacing w:line="377" w:lineRule="auto"/>
        <w:outlineLvl w:val="1"/>
        <w:rPr>
          <w:rFonts w:hint="eastAsia" w:ascii="仿宋" w:hAnsi="仿宋" w:eastAsia="仿宋" w:cs="仿宋"/>
          <w:b/>
          <w:bCs/>
          <w:spacing w:val="8"/>
          <w:position w:val="15"/>
          <w:sz w:val="24"/>
          <w:szCs w:val="24"/>
          <w:highlight w:val="none"/>
          <w:lang w:eastAsia="zh-CN"/>
        </w:rPr>
      </w:pPr>
      <w:bookmarkStart w:id="62" w:name="_Toc12590"/>
      <w:r>
        <w:rPr>
          <w:rFonts w:hint="eastAsia" w:ascii="仿宋" w:hAnsi="仿宋" w:eastAsia="仿宋" w:cs="仿宋"/>
          <w:b/>
          <w:bCs/>
          <w:spacing w:val="8"/>
          <w:position w:val="15"/>
          <w:sz w:val="24"/>
          <w:szCs w:val="24"/>
          <w:highlight w:val="none"/>
          <w:lang w:eastAsia="zh-CN"/>
        </w:rPr>
        <w:t>3.4 商务要求</w:t>
      </w:r>
      <w:bookmarkEnd w:id="62"/>
    </w:p>
    <w:p w14:paraId="760D694A">
      <w:pPr>
        <w:pStyle w:val="14"/>
        <w:widowControl w:val="0"/>
        <w:spacing w:line="377" w:lineRule="auto"/>
        <w:ind w:firstLine="512" w:firstLineChars="200"/>
        <w:rPr>
          <w:rFonts w:hint="eastAsia" w:ascii="仿宋" w:hAnsi="仿宋" w:eastAsia="仿宋" w:cs="仿宋"/>
          <w:color w:val="FF0000"/>
          <w:spacing w:val="8"/>
          <w:sz w:val="24"/>
          <w:szCs w:val="24"/>
          <w:highlight w:val="none"/>
          <w:lang w:eastAsia="zh-CN"/>
        </w:rPr>
      </w:pPr>
      <w:r>
        <w:rPr>
          <w:rFonts w:hint="eastAsia" w:ascii="仿宋" w:hAnsi="仿宋" w:eastAsia="仿宋" w:cs="仿宋"/>
          <w:spacing w:val="8"/>
          <w:sz w:val="24"/>
          <w:szCs w:val="24"/>
          <w:highlight w:val="none"/>
          <w:lang w:eastAsia="zh-CN"/>
        </w:rPr>
        <w:t>1、工期：总工期45天，保证游客正常参观秩序。</w:t>
      </w:r>
    </w:p>
    <w:p w14:paraId="15B53EB8">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2、施工地点：秦始皇帝陵博物院一号坑</w:t>
      </w:r>
    </w:p>
    <w:p w14:paraId="25486102">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3、质量：</w:t>
      </w:r>
      <w:r>
        <w:rPr>
          <w:rFonts w:hint="eastAsia" w:ascii="仿宋" w:hAnsi="仿宋" w:eastAsia="仿宋" w:cs="仿宋"/>
          <w:color w:val="auto"/>
          <w:sz w:val="24"/>
          <w:szCs w:val="24"/>
          <w:highlight w:val="none"/>
          <w:lang w:eastAsia="zh-CN"/>
        </w:rPr>
        <w:t>符合国家现行施工及验收规范的合格标准。</w:t>
      </w:r>
    </w:p>
    <w:p w14:paraId="70607CBB">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4、支付约定：合同签订中标人进场后支付合同价款的</w:t>
      </w:r>
      <w:r>
        <w:rPr>
          <w:rFonts w:hint="eastAsia" w:ascii="仿宋" w:hAnsi="仿宋" w:eastAsia="仿宋" w:cs="仿宋"/>
          <w:spacing w:val="8"/>
          <w:sz w:val="24"/>
          <w:szCs w:val="24"/>
          <w:highlight w:val="none"/>
          <w:lang w:val="en-US" w:eastAsia="zh-CN"/>
        </w:rPr>
        <w:t>4</w:t>
      </w:r>
      <w:r>
        <w:rPr>
          <w:rFonts w:hint="eastAsia" w:ascii="仿宋" w:hAnsi="仿宋" w:eastAsia="仿宋" w:cs="仿宋"/>
          <w:spacing w:val="8"/>
          <w:sz w:val="24"/>
          <w:szCs w:val="24"/>
          <w:highlight w:val="none"/>
          <w:lang w:eastAsia="zh-CN"/>
        </w:rPr>
        <w:t>0%为预付款，工程竣工验收合格后支付至合同价款</w:t>
      </w:r>
      <w:r>
        <w:rPr>
          <w:rFonts w:hint="eastAsia" w:ascii="仿宋" w:hAnsi="仿宋" w:eastAsia="仿宋" w:cs="仿宋"/>
          <w:spacing w:val="8"/>
          <w:sz w:val="24"/>
          <w:szCs w:val="24"/>
          <w:highlight w:val="none"/>
          <w:lang w:val="en-US" w:eastAsia="zh-CN"/>
        </w:rPr>
        <w:t>8</w:t>
      </w:r>
      <w:r>
        <w:rPr>
          <w:rFonts w:hint="eastAsia" w:ascii="仿宋" w:hAnsi="仿宋" w:eastAsia="仿宋" w:cs="仿宋"/>
          <w:spacing w:val="8"/>
          <w:sz w:val="24"/>
          <w:szCs w:val="24"/>
          <w:highlight w:val="none"/>
          <w:lang w:eastAsia="zh-CN"/>
        </w:rPr>
        <w:t>0%，审计完成后支付至审计价款的97%，剩余3%在质保期满</w:t>
      </w:r>
      <w:r>
        <w:rPr>
          <w:rFonts w:hint="eastAsia" w:ascii="仿宋" w:hAnsi="仿宋" w:eastAsia="仿宋" w:cs="仿宋"/>
          <w:color w:val="auto"/>
          <w:spacing w:val="8"/>
          <w:sz w:val="24"/>
          <w:szCs w:val="24"/>
          <w:highlight w:val="none"/>
          <w:lang w:eastAsia="zh-CN"/>
        </w:rPr>
        <w:t>（自竣工验收合格之日起计算，2年）</w:t>
      </w:r>
      <w:r>
        <w:rPr>
          <w:rFonts w:hint="eastAsia" w:ascii="仿宋" w:hAnsi="仿宋" w:eastAsia="仿宋" w:cs="仿宋"/>
          <w:spacing w:val="8"/>
          <w:sz w:val="24"/>
          <w:szCs w:val="24"/>
          <w:highlight w:val="none"/>
          <w:lang w:eastAsia="zh-CN"/>
        </w:rPr>
        <w:t>后支付。</w:t>
      </w:r>
    </w:p>
    <w:p w14:paraId="7E1450FF">
      <w:pPr>
        <w:pStyle w:val="14"/>
        <w:widowControl w:val="0"/>
        <w:spacing w:line="377" w:lineRule="auto"/>
        <w:ind w:firstLine="512" w:firstLineChars="200"/>
        <w:outlineLvl w:val="2"/>
        <w:rPr>
          <w:rFonts w:hint="eastAsia" w:ascii="仿宋" w:hAnsi="仿宋" w:eastAsia="仿宋" w:cs="仿宋"/>
          <w:spacing w:val="8"/>
          <w:sz w:val="24"/>
          <w:szCs w:val="24"/>
          <w:highlight w:val="none"/>
          <w:lang w:eastAsia="zh-CN"/>
        </w:rPr>
      </w:pPr>
      <w:bookmarkStart w:id="63" w:name="_Toc4309"/>
      <w:r>
        <w:rPr>
          <w:rFonts w:hint="eastAsia" w:ascii="仿宋" w:hAnsi="仿宋" w:eastAsia="仿宋" w:cs="仿宋"/>
          <w:spacing w:val="8"/>
          <w:sz w:val="24"/>
          <w:szCs w:val="24"/>
          <w:highlight w:val="none"/>
          <w:lang w:eastAsia="zh-CN"/>
        </w:rPr>
        <w:t>5、验收标准和方法：按照招标文件要求及合同约定执行。</w:t>
      </w:r>
      <w:bookmarkEnd w:id="63"/>
    </w:p>
    <w:p w14:paraId="62C60040">
      <w:pPr>
        <w:pStyle w:val="14"/>
        <w:widowControl w:val="0"/>
        <w:spacing w:line="377" w:lineRule="auto"/>
        <w:outlineLvl w:val="1"/>
        <w:rPr>
          <w:rFonts w:hint="eastAsia" w:ascii="仿宋" w:hAnsi="仿宋" w:eastAsia="仿宋" w:cs="仿宋"/>
          <w:b/>
          <w:bCs/>
          <w:spacing w:val="8"/>
          <w:position w:val="15"/>
          <w:sz w:val="24"/>
          <w:szCs w:val="24"/>
          <w:highlight w:val="none"/>
          <w:lang w:eastAsia="zh-CN"/>
        </w:rPr>
      </w:pPr>
      <w:bookmarkStart w:id="64" w:name="_Toc31149"/>
      <w:r>
        <w:rPr>
          <w:rFonts w:hint="eastAsia" w:ascii="仿宋" w:hAnsi="仿宋" w:eastAsia="仿宋" w:cs="仿宋"/>
          <w:b/>
          <w:bCs/>
          <w:spacing w:val="8"/>
          <w:position w:val="15"/>
          <w:sz w:val="24"/>
          <w:szCs w:val="24"/>
          <w:highlight w:val="none"/>
          <w:lang w:eastAsia="zh-CN"/>
        </w:rPr>
        <w:t>3.5 施工要求</w:t>
      </w:r>
      <w:bookmarkEnd w:id="64"/>
    </w:p>
    <w:p w14:paraId="41292872">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1、在施工期间，中标人必须注意院内人员安全,加强安全措施，并对施工人员进行安全教育。施工人员必须持证上岗。因采购人工作的特殊性，要求中标投标人在施工中做到封闭性施工。</w:t>
      </w:r>
    </w:p>
    <w:p w14:paraId="08FB2091">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中标人应完成所需设备、材料的供应、运输至采购人指定地点，并按照国家相关规范完成施工安装并交付采购人验收合格。中标人应当保证所供材料的来源渠道正常，因中标人施工不善或材料使用不当发生工程事故的，责任由中标人全权负责。</w:t>
      </w:r>
    </w:p>
    <w:p w14:paraId="515C948C">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3、中标人应当做到文明施工，合理安排作业时间，合理降低噪音污染、粉尘污染，确保施工现场周围的正常工作与休息，按国家有关施工时间规定进行施工，施工中避免给他人带来干扰。</w:t>
      </w:r>
    </w:p>
    <w:p w14:paraId="3E199FF1">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4、根据实际需要，中标人应在工程施工实施期间进行巡查，若出现质量问题，中标人应及时对工程出现的问题进行维修，期间产生的费用由中标人承担。</w:t>
      </w:r>
    </w:p>
    <w:p w14:paraId="437C8894">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5、中标人负责办理建筑垃圾外运有关手续并承担所有费用，建筑垃圾日产日清。</w:t>
      </w:r>
    </w:p>
    <w:p w14:paraId="7C69E935">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6、中标人应切实加强施工安全管理，如因措施不力造成人员伤亡或财产损失等一切事故，中标人负全责并承担所有费用。</w:t>
      </w:r>
    </w:p>
    <w:p w14:paraId="0D97236F">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7、工程实施完全符合合同规定的技术、方案、质量、规格、材质等要求。因中标人原因工程质量达不到约定的质量标准，中标人承担违约责任。</w:t>
      </w:r>
    </w:p>
    <w:p w14:paraId="5EC94568">
      <w:pPr>
        <w:pStyle w:val="14"/>
        <w:widowControl w:val="0"/>
        <w:spacing w:line="377" w:lineRule="auto"/>
        <w:outlineLvl w:val="1"/>
        <w:rPr>
          <w:rFonts w:hint="eastAsia" w:ascii="仿宋" w:hAnsi="仿宋" w:eastAsia="仿宋" w:cs="仿宋"/>
          <w:b/>
          <w:bCs/>
          <w:spacing w:val="8"/>
          <w:position w:val="15"/>
          <w:sz w:val="24"/>
          <w:szCs w:val="24"/>
          <w:highlight w:val="none"/>
          <w:lang w:eastAsia="zh-CN"/>
        </w:rPr>
      </w:pPr>
      <w:bookmarkStart w:id="65" w:name="_Toc10475"/>
      <w:r>
        <w:rPr>
          <w:rFonts w:hint="eastAsia" w:ascii="仿宋" w:hAnsi="仿宋" w:eastAsia="仿宋" w:cs="仿宋"/>
          <w:b/>
          <w:bCs/>
          <w:spacing w:val="8"/>
          <w:position w:val="15"/>
          <w:sz w:val="24"/>
          <w:szCs w:val="24"/>
          <w:highlight w:val="none"/>
          <w:lang w:eastAsia="zh-CN"/>
        </w:rPr>
        <w:t>3.6 其它需要说明的事项</w:t>
      </w:r>
      <w:bookmarkEnd w:id="65"/>
    </w:p>
    <w:p w14:paraId="58337109">
      <w:pPr>
        <w:pStyle w:val="14"/>
        <w:widowControl w:val="0"/>
        <w:spacing w:line="377" w:lineRule="auto"/>
        <w:ind w:firstLine="512" w:firstLineChars="200"/>
        <w:outlineLvl w:val="2"/>
        <w:rPr>
          <w:rFonts w:hint="eastAsia" w:ascii="仿宋" w:hAnsi="仿宋" w:eastAsia="仿宋" w:cs="仿宋"/>
          <w:spacing w:val="8"/>
          <w:sz w:val="24"/>
          <w:szCs w:val="24"/>
          <w:highlight w:val="none"/>
          <w:lang w:eastAsia="zh-CN"/>
        </w:rPr>
      </w:pPr>
      <w:bookmarkStart w:id="66" w:name="_Toc6740"/>
      <w:r>
        <w:rPr>
          <w:rFonts w:hint="eastAsia" w:ascii="仿宋" w:hAnsi="仿宋" w:eastAsia="仿宋" w:cs="仿宋"/>
          <w:spacing w:val="8"/>
          <w:sz w:val="24"/>
          <w:szCs w:val="24"/>
          <w:highlight w:val="none"/>
          <w:lang w:eastAsia="zh-CN"/>
        </w:rPr>
        <w:t>1、质量验收标准或规范</w:t>
      </w:r>
      <w:bookmarkEnd w:id="66"/>
      <w:r>
        <w:rPr>
          <w:rFonts w:hint="eastAsia" w:ascii="仿宋" w:hAnsi="仿宋" w:eastAsia="仿宋" w:cs="仿宋"/>
          <w:spacing w:val="8"/>
          <w:sz w:val="24"/>
          <w:szCs w:val="24"/>
          <w:highlight w:val="none"/>
          <w:lang w:eastAsia="zh-CN"/>
        </w:rPr>
        <w:t>：符合国家及陕西省、西安市相关规定，完成验收后，进行工程竣工验收。竣工验收后一个月内，提交竣工图及完整资料文件四套。</w:t>
      </w:r>
    </w:p>
    <w:p w14:paraId="6603A23B">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2、质量保修要求自工程竣工验收合格之日进入免费保修期，免费保修内容为由中标人负责的本工程全部质量问题。响应时间为正常工作日2小时内答复，12小时内到现场处理。节假日及法定休息日6小时内答复，24小时内到现场处理。</w:t>
      </w:r>
    </w:p>
    <w:p w14:paraId="42F0E035">
      <w:pPr>
        <w:pStyle w:val="14"/>
        <w:widowControl w:val="0"/>
        <w:spacing w:line="377" w:lineRule="auto"/>
        <w:ind w:firstLine="512" w:firstLineChars="200"/>
        <w:rPr>
          <w:rFonts w:hint="eastAsia" w:ascii="仿宋" w:hAnsi="仿宋" w:eastAsia="仿宋" w:cs="仿宋"/>
          <w:spacing w:val="8"/>
          <w:sz w:val="24"/>
          <w:szCs w:val="24"/>
          <w:highlight w:val="none"/>
          <w:lang w:eastAsia="zh-CN"/>
        </w:rPr>
        <w:sectPr>
          <w:footerReference r:id="rId5" w:type="default"/>
          <w:pgSz w:w="11900" w:h="16839"/>
          <w:pgMar w:top="1406" w:right="1242" w:bottom="896" w:left="1406" w:header="0" w:footer="731" w:gutter="0"/>
          <w:cols w:space="0" w:num="1"/>
        </w:sectPr>
      </w:pPr>
      <w:r>
        <w:rPr>
          <w:rFonts w:hint="eastAsia" w:ascii="仿宋" w:hAnsi="仿宋" w:eastAsia="仿宋" w:cs="仿宋"/>
          <w:spacing w:val="8"/>
          <w:sz w:val="24"/>
          <w:szCs w:val="24"/>
          <w:highlight w:val="none"/>
          <w:lang w:eastAsia="zh-CN"/>
        </w:rPr>
        <w:t>3、本工程的施工过程和成果必须符合国家有关工程建设标准强制性条文和国家或有关部门关于工程施工方面现行的标准、规范、规程、定额、办法、示例，以及陕西省关于工程施工方面的文件、规定。中标人在施工过程中使用或参考上述标准、规范以外的技术标准、规范时，应征得采购人指定代表人的同意。在施工过程中，如果国家或有关部门颁布了新的技术标准或规范，则中标人应采用新的标准或规范进行施工。</w:t>
      </w:r>
    </w:p>
    <w:p w14:paraId="2D25AA3E">
      <w:pPr>
        <w:spacing w:before="71" w:line="224" w:lineRule="auto"/>
        <w:jc w:val="center"/>
        <w:outlineLvl w:val="0"/>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pPr>
      <w:bookmarkStart w:id="67" w:name="_Toc21342"/>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第四章 资格审查</w:t>
      </w:r>
      <w:bookmarkEnd w:id="67"/>
    </w:p>
    <w:p w14:paraId="61416369">
      <w:pPr>
        <w:pStyle w:val="2"/>
        <w:rPr>
          <w:rFonts w:hint="eastAsia"/>
          <w:highlight w:val="none"/>
        </w:rPr>
      </w:pPr>
    </w:p>
    <w:p w14:paraId="2004EEA6">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资格审查由采购人或代理机构组建的资格审查小组依据法律法规和招标文件的规定，对投标文件中的资格证明等进行审查， 以确定投标人是否具备投标资格，并出具资格审查报告。</w:t>
      </w:r>
    </w:p>
    <w:p w14:paraId="512D5757">
      <w:pPr>
        <w:pStyle w:val="14"/>
        <w:widowControl w:val="0"/>
        <w:spacing w:line="377" w:lineRule="auto"/>
        <w:ind w:firstLine="512" w:firstLineChars="200"/>
        <w:rPr>
          <w:rFonts w:hint="eastAsia"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资格审查标准及要求如下：</w:t>
      </w:r>
    </w:p>
    <w:p w14:paraId="5AD8F66A">
      <w:pPr>
        <w:spacing w:before="161" w:line="228" w:lineRule="auto"/>
        <w:ind w:left="8"/>
        <w:outlineLvl w:val="1"/>
        <w:rPr>
          <w:rFonts w:hint="eastAsia" w:ascii="仿宋" w:hAnsi="仿宋" w:eastAsia="仿宋" w:cs="仿宋"/>
          <w:sz w:val="24"/>
          <w:szCs w:val="24"/>
          <w:highlight w:val="none"/>
        </w:rPr>
      </w:pPr>
      <w:bookmarkStart w:id="68" w:name="_Toc8283"/>
      <w:r>
        <w:rPr>
          <w:rFonts w:hint="eastAsia" w:ascii="仿宋" w:hAnsi="仿宋" w:eastAsia="仿宋" w:cs="仿宋"/>
          <w:b/>
          <w:bCs/>
          <w:spacing w:val="14"/>
          <w:sz w:val="24"/>
          <w:szCs w:val="24"/>
          <w:highlight w:val="none"/>
        </w:rPr>
        <w:t>4.1</w:t>
      </w:r>
      <w:r>
        <w:rPr>
          <w:rFonts w:hint="eastAsia" w:ascii="仿宋" w:hAnsi="仿宋" w:eastAsia="仿宋" w:cs="仿宋"/>
          <w:b/>
          <w:bCs/>
          <w:spacing w:val="42"/>
          <w:sz w:val="24"/>
          <w:szCs w:val="24"/>
          <w:highlight w:val="none"/>
        </w:rPr>
        <w:t xml:space="preserve"> </w:t>
      </w:r>
      <w:r>
        <w:rPr>
          <w:rFonts w:hint="eastAsia" w:ascii="仿宋" w:hAnsi="仿宋" w:eastAsia="仿宋" w:cs="仿宋"/>
          <w:spacing w:val="14"/>
          <w:sz w:val="24"/>
          <w:szCs w:val="24"/>
          <w:highlight w:val="none"/>
          <w14:textOutline w14:w="3797" w14:cap="sq" w14:cmpd="sng" w14:algn="ctr">
            <w14:solidFill>
              <w14:srgbClr w14:val="000000"/>
            </w14:solidFill>
            <w14:prstDash w14:val="solid"/>
            <w14:bevel/>
          </w14:textOutline>
        </w:rPr>
        <w:t>一般资格审查</w:t>
      </w:r>
      <w:bookmarkEnd w:id="68"/>
    </w:p>
    <w:tbl>
      <w:tblPr>
        <w:tblStyle w:val="24"/>
        <w:tblW w:w="93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1"/>
        <w:gridCol w:w="2820"/>
        <w:gridCol w:w="5880"/>
      </w:tblGrid>
      <w:tr w14:paraId="6800E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651" w:type="dxa"/>
            <w:vAlign w:val="center"/>
          </w:tcPr>
          <w:p w14:paraId="1642DA32">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2820" w:type="dxa"/>
            <w:vAlign w:val="center"/>
          </w:tcPr>
          <w:p w14:paraId="69BA8A6C">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资格审查要求概况</w:t>
            </w:r>
          </w:p>
        </w:tc>
        <w:tc>
          <w:tcPr>
            <w:tcW w:w="5880" w:type="dxa"/>
            <w:vAlign w:val="center"/>
          </w:tcPr>
          <w:p w14:paraId="44DA933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评审点具体描述</w:t>
            </w:r>
          </w:p>
        </w:tc>
      </w:tr>
      <w:tr w14:paraId="05746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651" w:type="dxa"/>
            <w:vAlign w:val="center"/>
          </w:tcPr>
          <w:p w14:paraId="138F030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2820" w:type="dxa"/>
            <w:vAlign w:val="center"/>
          </w:tcPr>
          <w:p w14:paraId="37A534F4">
            <w:pPr>
              <w:pStyle w:val="25"/>
              <w:rPr>
                <w:rFonts w:hint="eastAsia"/>
                <w:color w:val="000000" w:themeColor="text1"/>
                <w:highlight w:val="none"/>
                <w14:textFill>
                  <w14:solidFill>
                    <w14:schemeClr w14:val="tx1"/>
                  </w14:solidFill>
                </w14:textFill>
              </w:rPr>
            </w:pPr>
            <w:r>
              <w:rPr>
                <w:rFonts w:hint="eastAsia"/>
                <w:color w:val="000000" w:themeColor="text1"/>
                <w:spacing w:val="-1"/>
                <w:highlight w:val="none"/>
                <w14:textFill>
                  <w14:solidFill>
                    <w14:schemeClr w14:val="tx1"/>
                  </w14:solidFill>
                </w14:textFill>
              </w:rPr>
              <w:t>投标人应具备《中华</w:t>
            </w:r>
            <w:r>
              <w:rPr>
                <w:rFonts w:hint="eastAsia"/>
                <w:color w:val="000000" w:themeColor="text1"/>
                <w:highlight w:val="none"/>
                <w14:textFill>
                  <w14:solidFill>
                    <w14:schemeClr w14:val="tx1"/>
                  </w14:solidFill>
                </w14:textFill>
              </w:rPr>
              <w:t>人民共和国政府采购法》第二十二条规定</w:t>
            </w:r>
            <w:r>
              <w:rPr>
                <w:rFonts w:hint="eastAsia"/>
                <w:color w:val="000000" w:themeColor="text1"/>
                <w:spacing w:val="-3"/>
                <w:highlight w:val="none"/>
                <w14:textFill>
                  <w14:solidFill>
                    <w14:schemeClr w14:val="tx1"/>
                  </w14:solidFill>
                </w14:textFill>
              </w:rPr>
              <w:t>的条件</w:t>
            </w:r>
          </w:p>
        </w:tc>
        <w:tc>
          <w:tcPr>
            <w:tcW w:w="5880" w:type="dxa"/>
            <w:vAlign w:val="center"/>
          </w:tcPr>
          <w:p w14:paraId="7E125FA6">
            <w:pPr>
              <w:pStyle w:val="25"/>
              <w:jc w:val="left"/>
              <w:rPr>
                <w:rFonts w:hint="eastAsia"/>
                <w:color w:val="000000" w:themeColor="text1"/>
                <w:highlight w:val="none"/>
                <w14:textFill>
                  <w14:solidFill>
                    <w14:schemeClr w14:val="tx1"/>
                  </w14:solidFill>
                </w14:textFill>
              </w:rPr>
            </w:pPr>
            <w:r>
              <w:rPr>
                <w:rFonts w:hint="eastAsia"/>
                <w:color w:val="000000" w:themeColor="text1"/>
                <w:spacing w:val="-1"/>
                <w:highlight w:val="none"/>
                <w14:textFill>
                  <w14:solidFill>
                    <w14:schemeClr w14:val="tx1"/>
                  </w14:solidFill>
                </w14:textFill>
              </w:rPr>
              <w:t>投标人</w:t>
            </w:r>
            <w:r>
              <w:rPr>
                <w:rFonts w:hint="eastAsia"/>
                <w:color w:val="000000" w:themeColor="text1"/>
                <w:highlight w:val="none"/>
                <w14:textFill>
                  <w14:solidFill>
                    <w14:schemeClr w14:val="tx1"/>
                  </w14:solidFill>
                </w14:textFill>
              </w:rPr>
              <w:t>需在项目电子化交易系统中按要求填写</w:t>
            </w:r>
            <w:r>
              <w:rPr>
                <w:rFonts w:hint="eastAsia"/>
                <w:color w:val="000000" w:themeColor="text1"/>
                <w:spacing w:val="-1"/>
                <w:highlight w:val="none"/>
                <w14:textFill>
                  <w14:solidFill>
                    <w14:schemeClr w14:val="tx1"/>
                  </w14:solidFill>
                </w14:textFill>
              </w:rPr>
              <w:t>《投标函》完成承</w:t>
            </w:r>
            <w:r>
              <w:rPr>
                <w:rFonts w:hint="eastAsia"/>
                <w:color w:val="000000" w:themeColor="text1"/>
                <w:highlight w:val="none"/>
                <w14:textFill>
                  <w14:solidFill>
                    <w14:schemeClr w14:val="tx1"/>
                  </w14:solidFill>
                </w14:textFill>
              </w:rPr>
              <w:t xml:space="preserve"> </w:t>
            </w:r>
            <w:r>
              <w:rPr>
                <w:rFonts w:hint="eastAsia"/>
                <w:color w:val="000000" w:themeColor="text1"/>
                <w:spacing w:val="-5"/>
                <w:highlight w:val="none"/>
                <w14:textFill>
                  <w14:solidFill>
                    <w14:schemeClr w14:val="tx1"/>
                  </w14:solidFill>
                </w14:textFill>
              </w:rPr>
              <w:t>诺并进行电子签章。</w:t>
            </w:r>
          </w:p>
        </w:tc>
      </w:tr>
      <w:tr w14:paraId="5DC04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651" w:type="dxa"/>
            <w:vAlign w:val="center"/>
          </w:tcPr>
          <w:p w14:paraId="10CD58C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2820" w:type="dxa"/>
            <w:vAlign w:val="center"/>
          </w:tcPr>
          <w:p w14:paraId="5CD57CCB">
            <w:pPr>
              <w:pStyle w:val="25"/>
              <w:rPr>
                <w:rFonts w:hint="eastAsia"/>
                <w:color w:val="000000" w:themeColor="text1"/>
                <w:spacing w:val="-1"/>
                <w:highlight w:val="none"/>
                <w14:textFill>
                  <w14:solidFill>
                    <w14:schemeClr w14:val="tx1"/>
                  </w14:solidFill>
                </w14:textFill>
              </w:rPr>
            </w:pPr>
            <w:r>
              <w:rPr>
                <w:rFonts w:hint="eastAsia"/>
                <w:color w:val="000000" w:themeColor="text1"/>
                <w:highlight w:val="none"/>
                <w14:textFill>
                  <w14:solidFill>
                    <w14:schemeClr w14:val="tx1"/>
                  </w14:solidFill>
                </w14:textFill>
              </w:rPr>
              <w:t>投标人应提供健全的财务会计制度的证明材料</w:t>
            </w:r>
          </w:p>
        </w:tc>
        <w:tc>
          <w:tcPr>
            <w:tcW w:w="5880" w:type="dxa"/>
            <w:vAlign w:val="center"/>
          </w:tcPr>
          <w:p w14:paraId="0E0A4C15">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需在项目电子化交易系统中按要求上传2023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w:t>
            </w:r>
          </w:p>
          <w:p w14:paraId="120B9439">
            <w:pPr>
              <w:pStyle w:val="25"/>
              <w:jc w:val="left"/>
              <w:rPr>
                <w:rFonts w:hint="eastAsia"/>
                <w:color w:val="000000" w:themeColor="text1"/>
                <w:spacing w:val="-1"/>
                <w:highlight w:val="none"/>
                <w14:textFill>
                  <w14:solidFill>
                    <w14:schemeClr w14:val="tx1"/>
                  </w14:solidFill>
                </w14:textFill>
              </w:rPr>
            </w:pPr>
            <w:r>
              <w:rPr>
                <w:rFonts w:hint="eastAsia"/>
                <w:color w:val="000000" w:themeColor="text1"/>
                <w:highlight w:val="none"/>
                <w14:textFill>
                  <w14:solidFill>
                    <w14:schemeClr w14:val="tx1"/>
                  </w14:solidFill>
                </w14:textFill>
              </w:rPr>
              <w:t>投标时提供扫描件并进行电子签章。</w:t>
            </w:r>
          </w:p>
        </w:tc>
      </w:tr>
    </w:tbl>
    <w:p w14:paraId="4BCED206">
      <w:pPr>
        <w:spacing w:before="30" w:line="227" w:lineRule="auto"/>
        <w:ind w:left="8"/>
        <w:rPr>
          <w:rFonts w:hint="eastAsia" w:ascii="仿宋" w:hAnsi="仿宋" w:eastAsia="仿宋" w:cs="仿宋"/>
          <w:b/>
          <w:bCs/>
          <w:spacing w:val="2"/>
          <w:sz w:val="24"/>
          <w:szCs w:val="24"/>
          <w:highlight w:val="none"/>
          <w:lang w:eastAsia="zh-CN"/>
        </w:rPr>
      </w:pPr>
    </w:p>
    <w:p w14:paraId="692EC3A8">
      <w:pPr>
        <w:spacing w:before="30" w:line="227" w:lineRule="auto"/>
        <w:ind w:left="8"/>
        <w:outlineLvl w:val="1"/>
        <w:rPr>
          <w:rFonts w:hint="eastAsia" w:ascii="仿宋" w:hAnsi="仿宋" w:eastAsia="仿宋" w:cs="仿宋"/>
          <w:sz w:val="24"/>
          <w:szCs w:val="24"/>
          <w:highlight w:val="none"/>
          <w:lang w:eastAsia="zh-CN"/>
        </w:rPr>
      </w:pPr>
      <w:bookmarkStart w:id="69" w:name="_Toc12613"/>
      <w:r>
        <w:rPr>
          <w:rFonts w:hint="eastAsia" w:ascii="仿宋" w:hAnsi="仿宋" w:eastAsia="仿宋" w:cs="仿宋"/>
          <w:b/>
          <w:bCs/>
          <w:spacing w:val="2"/>
          <w:sz w:val="24"/>
          <w:szCs w:val="24"/>
          <w:highlight w:val="none"/>
          <w:lang w:eastAsia="zh-CN"/>
        </w:rPr>
        <w:t>4.2</w:t>
      </w:r>
      <w:r>
        <w:rPr>
          <w:rFonts w:hint="eastAsia" w:ascii="仿宋" w:hAnsi="仿宋" w:eastAsia="仿宋" w:cs="仿宋"/>
          <w:b/>
          <w:bCs/>
          <w:sz w:val="24"/>
          <w:szCs w:val="24"/>
          <w:highlight w:val="none"/>
          <w:lang w:eastAsia="zh-CN"/>
        </w:rPr>
        <w:t xml:space="preserve"> </w:t>
      </w:r>
      <w:r>
        <w:rPr>
          <w:rFonts w:hint="eastAsia" w:ascii="仿宋" w:hAnsi="仿宋" w:eastAsia="仿宋" w:cs="仿宋"/>
          <w:spacing w:val="2"/>
          <w:sz w:val="24"/>
          <w:szCs w:val="24"/>
          <w:highlight w:val="none"/>
          <w:lang w:eastAsia="zh-CN"/>
          <w14:textOutline w14:w="3797" w14:cap="sq" w14:cmpd="sng" w14:algn="ctr">
            <w14:solidFill>
              <w14:srgbClr w14:val="000000"/>
            </w14:solidFill>
            <w14:prstDash w14:val="solid"/>
            <w14:bevel/>
          </w14:textOutline>
        </w:rPr>
        <w:t>落实政府采购政策资格审查</w:t>
      </w:r>
      <w:bookmarkEnd w:id="69"/>
    </w:p>
    <w:tbl>
      <w:tblPr>
        <w:tblStyle w:val="24"/>
        <w:tblW w:w="93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6"/>
        <w:gridCol w:w="2809"/>
        <w:gridCol w:w="5921"/>
      </w:tblGrid>
      <w:tr w14:paraId="10590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636" w:type="dxa"/>
            <w:vAlign w:val="center"/>
          </w:tcPr>
          <w:p w14:paraId="3A3BA13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2809" w:type="dxa"/>
            <w:vAlign w:val="center"/>
          </w:tcPr>
          <w:p w14:paraId="6BAE7641">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资格审查要求概况</w:t>
            </w:r>
          </w:p>
        </w:tc>
        <w:tc>
          <w:tcPr>
            <w:tcW w:w="5921" w:type="dxa"/>
            <w:vAlign w:val="center"/>
          </w:tcPr>
          <w:p w14:paraId="321E4055">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评审点具体描述</w:t>
            </w:r>
          </w:p>
        </w:tc>
      </w:tr>
      <w:tr w14:paraId="724D5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636" w:type="dxa"/>
            <w:vAlign w:val="center"/>
          </w:tcPr>
          <w:p w14:paraId="1F36459C">
            <w:pPr>
              <w:spacing w:before="61" w:line="185"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2809" w:type="dxa"/>
            <w:vAlign w:val="center"/>
          </w:tcPr>
          <w:p w14:paraId="1476B4DE">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本项目专门面向中小企业采购</w:t>
            </w:r>
          </w:p>
        </w:tc>
        <w:tc>
          <w:tcPr>
            <w:tcW w:w="5921" w:type="dxa"/>
            <w:vAlign w:val="center"/>
          </w:tcPr>
          <w:p w14:paraId="55AA3EE4">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参与的投标人（联合体）提供的工程全部由符合政策要求的中小企业承接。</w:t>
            </w:r>
          </w:p>
          <w:p w14:paraId="426A6046">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投标时提供中小企业声明函、残疾人福利性单位声明、监狱企业的证明文件（符合其一即可，提供扫描件并进行电子签章。）</w:t>
            </w:r>
          </w:p>
        </w:tc>
      </w:tr>
    </w:tbl>
    <w:p w14:paraId="05658C6C">
      <w:pPr>
        <w:spacing w:before="245" w:line="228" w:lineRule="auto"/>
        <w:ind w:left="8"/>
        <w:outlineLvl w:val="1"/>
        <w:rPr>
          <w:rFonts w:hint="eastAsia" w:ascii="仿宋" w:hAnsi="仿宋" w:eastAsia="仿宋" w:cs="仿宋"/>
          <w:sz w:val="24"/>
          <w:szCs w:val="24"/>
          <w:highlight w:val="none"/>
        </w:rPr>
      </w:pPr>
      <w:bookmarkStart w:id="70" w:name="_Toc13907"/>
      <w:r>
        <w:rPr>
          <w:rFonts w:hint="eastAsia" w:ascii="仿宋" w:hAnsi="仿宋" w:eastAsia="仿宋" w:cs="仿宋"/>
          <w:b/>
          <w:bCs/>
          <w:spacing w:val="8"/>
          <w:sz w:val="24"/>
          <w:szCs w:val="24"/>
          <w:highlight w:val="none"/>
        </w:rPr>
        <w:t>4.</w:t>
      </w:r>
      <w:r>
        <w:rPr>
          <w:rFonts w:hint="eastAsia" w:ascii="仿宋" w:hAnsi="仿宋" w:eastAsia="仿宋" w:cs="仿宋"/>
          <w:b/>
          <w:bCs/>
          <w:spacing w:val="8"/>
          <w:sz w:val="24"/>
          <w:szCs w:val="24"/>
          <w:highlight w:val="none"/>
          <w:lang w:eastAsia="zh-CN"/>
        </w:rPr>
        <w:t>3</w:t>
      </w:r>
      <w:r>
        <w:rPr>
          <w:rFonts w:hint="eastAsia" w:ascii="仿宋" w:hAnsi="仿宋" w:eastAsia="仿宋" w:cs="仿宋"/>
          <w:b/>
          <w:bCs/>
          <w:spacing w:val="39"/>
          <w:w w:val="101"/>
          <w:sz w:val="24"/>
          <w:szCs w:val="24"/>
          <w:highlight w:val="none"/>
        </w:rPr>
        <w:t xml:space="preserve"> </w:t>
      </w:r>
      <w:r>
        <w:rPr>
          <w:rFonts w:hint="eastAsia" w:ascii="仿宋" w:hAnsi="仿宋" w:eastAsia="仿宋" w:cs="仿宋"/>
          <w:spacing w:val="8"/>
          <w:sz w:val="24"/>
          <w:szCs w:val="24"/>
          <w:highlight w:val="none"/>
          <w14:textOutline w14:w="3797" w14:cap="sq" w14:cmpd="sng" w14:algn="ctr">
            <w14:solidFill>
              <w14:srgbClr w14:val="000000"/>
            </w14:solidFill>
            <w14:prstDash w14:val="solid"/>
            <w14:bevel/>
          </w14:textOutline>
        </w:rPr>
        <w:t>特殊资格审查</w:t>
      </w:r>
      <w:bookmarkEnd w:id="70"/>
    </w:p>
    <w:tbl>
      <w:tblPr>
        <w:tblStyle w:val="24"/>
        <w:tblW w:w="93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1"/>
        <w:gridCol w:w="2827"/>
        <w:gridCol w:w="5873"/>
      </w:tblGrid>
      <w:tr w14:paraId="3B921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6" w:hRule="atLeast"/>
        </w:trPr>
        <w:tc>
          <w:tcPr>
            <w:tcW w:w="651" w:type="dxa"/>
            <w:vAlign w:val="center"/>
          </w:tcPr>
          <w:p w14:paraId="33A67B89">
            <w:pPr>
              <w:pStyle w:val="25"/>
              <w:jc w:val="cente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2827" w:type="dxa"/>
            <w:vAlign w:val="center"/>
          </w:tcPr>
          <w:p w14:paraId="46EB12C0">
            <w:pPr>
              <w:pStyle w:val="25"/>
              <w:jc w:val="cente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资格审查要求概况</w:t>
            </w:r>
          </w:p>
        </w:tc>
        <w:tc>
          <w:tcPr>
            <w:tcW w:w="5873" w:type="dxa"/>
            <w:vAlign w:val="center"/>
          </w:tcPr>
          <w:p w14:paraId="385EE887">
            <w:pPr>
              <w:pStyle w:val="25"/>
              <w:jc w:val="cente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评审点具体描述</w:t>
            </w:r>
          </w:p>
        </w:tc>
      </w:tr>
      <w:tr w14:paraId="1EBA1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651" w:type="dxa"/>
            <w:vAlign w:val="center"/>
          </w:tcPr>
          <w:p w14:paraId="6E9E6BF6">
            <w:pPr>
              <w:spacing w:before="61" w:line="185"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2827" w:type="dxa"/>
            <w:vAlign w:val="center"/>
          </w:tcPr>
          <w:p w14:paraId="08718369">
            <w:pPr>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具有独立承担民事责任的能力</w:t>
            </w:r>
          </w:p>
        </w:tc>
        <w:tc>
          <w:tcPr>
            <w:tcW w:w="5873" w:type="dxa"/>
            <w:vAlign w:val="center"/>
          </w:tcPr>
          <w:p w14:paraId="475024B3">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企业法人应提供标识有统一社会信用代码的营业执照；事业法人应提供事业单位法人证书；其他组织应提供合法登记证明文件，自然人提供身份证。</w:t>
            </w:r>
          </w:p>
          <w:p w14:paraId="72B0B331">
            <w:pPr>
              <w:pStyle w:val="25"/>
              <w:jc w:val="both"/>
              <w:rPr>
                <w:rFonts w:hint="eastAsia"/>
                <w:color w:val="000000" w:themeColor="text1"/>
                <w:spacing w:val="9"/>
                <w:highlight w:val="none"/>
                <w14:textFill>
                  <w14:solidFill>
                    <w14:schemeClr w14:val="tx1"/>
                  </w14:solidFill>
                </w14:textFill>
              </w:rPr>
            </w:pPr>
            <w:r>
              <w:rPr>
                <w:rFonts w:hint="eastAsia"/>
                <w:color w:val="000000" w:themeColor="text1"/>
                <w:highlight w:val="none"/>
                <w14:textFill>
                  <w14:solidFill>
                    <w14:schemeClr w14:val="tx1"/>
                  </w14:solidFill>
                </w14:textFill>
              </w:rPr>
              <w:t>投标时提供扫描件并进行电子签章。</w:t>
            </w:r>
          </w:p>
        </w:tc>
      </w:tr>
      <w:tr w14:paraId="3A089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3" w:hRule="atLeast"/>
        </w:trPr>
        <w:tc>
          <w:tcPr>
            <w:tcW w:w="651" w:type="dxa"/>
            <w:vAlign w:val="center"/>
          </w:tcPr>
          <w:p w14:paraId="7FC51062">
            <w:pPr>
              <w:spacing w:before="61" w:line="185" w:lineRule="auto"/>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p>
        </w:tc>
        <w:tc>
          <w:tcPr>
            <w:tcW w:w="2827" w:type="dxa"/>
            <w:vAlign w:val="center"/>
          </w:tcPr>
          <w:p w14:paraId="096B980A">
            <w:pPr>
              <w:pStyle w:val="25"/>
              <w:rPr>
                <w:rFonts w:hint="eastAsia"/>
                <w:color w:val="000000" w:themeColor="text1"/>
                <w:highlight w:val="none"/>
                <w14:textFill>
                  <w14:solidFill>
                    <w14:schemeClr w14:val="tx1"/>
                  </w14:solidFill>
                </w14:textFill>
              </w:rPr>
            </w:pPr>
            <w:r>
              <w:rPr>
                <w:rFonts w:hint="eastAsia"/>
                <w:color w:val="000000" w:themeColor="text1"/>
                <w:spacing w:val="-1"/>
                <w:highlight w:val="none"/>
                <w14:textFill>
                  <w14:solidFill>
                    <w14:schemeClr w14:val="tx1"/>
                  </w14:solidFill>
                </w14:textFill>
              </w:rPr>
              <w:t>施工</w:t>
            </w:r>
            <w:r>
              <w:rPr>
                <w:rFonts w:hint="eastAsia"/>
                <w:color w:val="000000" w:themeColor="text1"/>
                <w:highlight w:val="none"/>
                <w14:textFill>
                  <w14:solidFill>
                    <w14:schemeClr w14:val="tx1"/>
                  </w14:solidFill>
                </w14:textFill>
              </w:rPr>
              <w:t>资质要求</w:t>
            </w:r>
          </w:p>
        </w:tc>
        <w:tc>
          <w:tcPr>
            <w:tcW w:w="5873" w:type="dxa"/>
            <w:vAlign w:val="center"/>
          </w:tcPr>
          <w:p w14:paraId="20D83349">
            <w:pPr>
              <w:pStyle w:val="25"/>
              <w:jc w:val="left"/>
              <w:rPr>
                <w:rFonts w:hint="eastAsia" w:eastAsia="仿宋"/>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具有建设行政主管部门颁发的建筑工程施工总承包三级及以上资质，且</w:t>
            </w:r>
            <w:r>
              <w:rPr>
                <w:rFonts w:hint="eastAsia"/>
                <w:color w:val="000000" w:themeColor="text1"/>
                <w:highlight w:val="none"/>
                <w:lang w:eastAsia="zh-CN"/>
                <w14:textFill>
                  <w14:solidFill>
                    <w14:schemeClr w14:val="tx1"/>
                  </w14:solidFill>
                </w14:textFill>
              </w:rPr>
              <w:t>具</w:t>
            </w:r>
            <w:r>
              <w:rPr>
                <w:rFonts w:hint="eastAsia"/>
                <w:color w:val="000000" w:themeColor="text1"/>
                <w:highlight w:val="none"/>
                <w14:textFill>
                  <w14:solidFill>
                    <w14:schemeClr w14:val="tx1"/>
                  </w14:solidFill>
                </w14:textFill>
              </w:rPr>
              <w:t>有合法有效的安全生产许可证。</w:t>
            </w:r>
          </w:p>
          <w:p w14:paraId="7209CD27">
            <w:pPr>
              <w:pStyle w:val="25"/>
              <w:jc w:val="left"/>
              <w:rPr>
                <w:rFonts w:hint="eastAsia"/>
                <w:color w:val="000000" w:themeColor="text1"/>
                <w:spacing w:val="9"/>
                <w:highlight w:val="none"/>
                <w14:textFill>
                  <w14:solidFill>
                    <w14:schemeClr w14:val="tx1"/>
                  </w14:solidFill>
                </w14:textFill>
              </w:rPr>
            </w:pPr>
            <w:r>
              <w:rPr>
                <w:rFonts w:hint="eastAsia"/>
                <w:color w:val="000000" w:themeColor="text1"/>
                <w:highlight w:val="none"/>
                <w14:textFill>
                  <w14:solidFill>
                    <w14:schemeClr w14:val="tx1"/>
                  </w14:solidFill>
                </w14:textFill>
              </w:rPr>
              <w:t>投标时提供扫描件并进行电子签章。</w:t>
            </w:r>
          </w:p>
        </w:tc>
      </w:tr>
      <w:tr w14:paraId="2D13C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651" w:type="dxa"/>
            <w:vAlign w:val="center"/>
          </w:tcPr>
          <w:p w14:paraId="000A9104">
            <w:pPr>
              <w:spacing w:before="61" w:line="185" w:lineRule="auto"/>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p>
        </w:tc>
        <w:tc>
          <w:tcPr>
            <w:tcW w:w="2827" w:type="dxa"/>
            <w:vAlign w:val="center"/>
          </w:tcPr>
          <w:p w14:paraId="6812DD36">
            <w:pPr>
              <w:pStyle w:val="25"/>
              <w:rPr>
                <w:rFonts w:hint="eastAsia"/>
                <w:color w:val="000000" w:themeColor="text1"/>
                <w:spacing w:val="-1"/>
                <w:highlight w:val="none"/>
                <w14:textFill>
                  <w14:solidFill>
                    <w14:schemeClr w14:val="tx1"/>
                  </w14:solidFill>
                </w14:textFill>
              </w:rPr>
            </w:pPr>
            <w:r>
              <w:rPr>
                <w:rFonts w:hint="eastAsia"/>
                <w:color w:val="000000" w:themeColor="text1"/>
                <w:highlight w:val="none"/>
                <w14:textFill>
                  <w14:solidFill>
                    <w14:schemeClr w14:val="tx1"/>
                  </w14:solidFill>
                </w14:textFill>
              </w:rPr>
              <w:t>拟派项目负责人资质和专业要求</w:t>
            </w:r>
          </w:p>
        </w:tc>
        <w:tc>
          <w:tcPr>
            <w:tcW w:w="5873" w:type="dxa"/>
            <w:vAlign w:val="center"/>
          </w:tcPr>
          <w:p w14:paraId="24EDF4CA">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拟派施工项目经理：须具有本单位注册的建筑工程专业二级及以上注册建造师证书</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有效的安全生产考核合格证书（B证），且无在建工程（提供承诺书)</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 xml:space="preserve"> </w:t>
            </w:r>
          </w:p>
          <w:p w14:paraId="15CA06BB">
            <w:pPr>
              <w:pStyle w:val="25"/>
              <w:jc w:val="left"/>
              <w:rPr>
                <w:rFonts w:hint="eastAsia"/>
                <w:color w:val="000000" w:themeColor="text1"/>
                <w:spacing w:val="9"/>
                <w:highlight w:val="none"/>
                <w14:textFill>
                  <w14:solidFill>
                    <w14:schemeClr w14:val="tx1"/>
                  </w14:solidFill>
                </w14:textFill>
              </w:rPr>
            </w:pPr>
            <w:r>
              <w:rPr>
                <w:rFonts w:hint="eastAsia"/>
                <w:color w:val="000000" w:themeColor="text1"/>
                <w:highlight w:val="none"/>
                <w14:textFill>
                  <w14:solidFill>
                    <w14:schemeClr w14:val="tx1"/>
                  </w14:solidFill>
                </w14:textFill>
              </w:rPr>
              <w:t>投标时提供扫描件并进行电子签章。</w:t>
            </w:r>
          </w:p>
        </w:tc>
      </w:tr>
      <w:tr w14:paraId="322BF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651" w:type="dxa"/>
            <w:vAlign w:val="center"/>
          </w:tcPr>
          <w:p w14:paraId="136EC2BE">
            <w:pPr>
              <w:spacing w:before="269" w:line="185" w:lineRule="auto"/>
              <w:ind w:left="112"/>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p>
        </w:tc>
        <w:tc>
          <w:tcPr>
            <w:tcW w:w="2827" w:type="dxa"/>
            <w:vAlign w:val="center"/>
          </w:tcPr>
          <w:p w14:paraId="2CCCC502">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投标人关联关系声明</w:t>
            </w:r>
          </w:p>
        </w:tc>
        <w:tc>
          <w:tcPr>
            <w:tcW w:w="5873" w:type="dxa"/>
            <w:vAlign w:val="center"/>
          </w:tcPr>
          <w:p w14:paraId="202F89FA">
            <w:pPr>
              <w:pStyle w:val="25"/>
              <w:jc w:val="left"/>
              <w:rPr>
                <w:rFonts w:hint="eastAsia" w:eastAsia="仿宋"/>
                <w:b/>
                <w:bCs/>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投标人关联关系声明，包括：①控股管理关系（不得与参加本项目的其他供应商单位负责人为同一人或者存在直接控股、管理关系），②未为本项目提供整体设计、规范编制或者项目管理、监理、检测等服务</w:t>
            </w:r>
            <w:r>
              <w:rPr>
                <w:rFonts w:hint="eastAsia"/>
                <w:color w:val="000000" w:themeColor="text1"/>
                <w:highlight w:val="none"/>
                <w:lang w:eastAsia="zh-CN"/>
                <w14:textFill>
                  <w14:solidFill>
                    <w14:schemeClr w14:val="tx1"/>
                  </w14:solidFill>
                </w14:textFill>
              </w:rPr>
              <w:t>。</w:t>
            </w:r>
          </w:p>
        </w:tc>
      </w:tr>
      <w:tr w14:paraId="1A851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651" w:type="dxa"/>
            <w:vAlign w:val="center"/>
          </w:tcPr>
          <w:p w14:paraId="43C83175">
            <w:pPr>
              <w:spacing w:before="269" w:line="185" w:lineRule="auto"/>
              <w:ind w:left="112"/>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p>
        </w:tc>
        <w:tc>
          <w:tcPr>
            <w:tcW w:w="2827" w:type="dxa"/>
            <w:vAlign w:val="center"/>
          </w:tcPr>
          <w:p w14:paraId="61D2A006">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信誉要求</w:t>
            </w:r>
          </w:p>
        </w:tc>
        <w:tc>
          <w:tcPr>
            <w:tcW w:w="5873" w:type="dxa"/>
            <w:vAlign w:val="center"/>
          </w:tcPr>
          <w:p w14:paraId="5596D3BA">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①投标人“全国建筑市场监管公共服务平台”可查询且无不良记录。</w:t>
            </w:r>
          </w:p>
          <w:p w14:paraId="53083DD6">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②投标人未被“信用中国”网站（www.creditchina.gov.cn）列入失信被执行人和重大税收违法失信主体，未被中国政府采购网（www.ccgp.gov.cn）列入政府采购严重违法失信行为记录名单。</w:t>
            </w:r>
          </w:p>
          <w:p w14:paraId="4AB50125">
            <w:pPr>
              <w:pStyle w:val="25"/>
              <w:jc w:val="left"/>
              <w:rPr>
                <w:rFonts w:hint="eastAsia" w:eastAsia="仿宋"/>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投标时</w:t>
            </w:r>
            <w:r>
              <w:rPr>
                <w:rFonts w:hint="eastAsia" w:ascii="仿宋" w:hAnsi="仿宋" w:eastAsia="仿宋" w:cs="仿宋"/>
                <w:snapToGrid/>
                <w:color w:val="auto"/>
                <w:highlight w:val="none"/>
                <w:lang w:eastAsia="zh-CN"/>
              </w:rPr>
              <w:t>提供开标截止时间前3天内任意时段的</w:t>
            </w:r>
            <w:r>
              <w:rPr>
                <w:rFonts w:hint="eastAsia" w:cs="仿宋"/>
                <w:snapToGrid/>
                <w:color w:val="auto"/>
                <w:highlight w:val="none"/>
                <w:lang w:eastAsia="zh-CN"/>
              </w:rPr>
              <w:t>网页查询</w:t>
            </w:r>
            <w:r>
              <w:rPr>
                <w:rFonts w:hint="eastAsia" w:ascii="仿宋" w:hAnsi="仿宋" w:eastAsia="仿宋" w:cs="仿宋"/>
                <w:snapToGrid/>
                <w:color w:val="auto"/>
                <w:highlight w:val="none"/>
                <w:lang w:eastAsia="zh-CN"/>
              </w:rPr>
              <w:t>截图</w:t>
            </w:r>
            <w:r>
              <w:rPr>
                <w:rFonts w:hint="eastAsia"/>
                <w:color w:val="000000" w:themeColor="text1"/>
                <w:highlight w:val="none"/>
                <w14:textFill>
                  <w14:solidFill>
                    <w14:schemeClr w14:val="tx1"/>
                  </w14:solidFill>
                </w14:textFill>
              </w:rPr>
              <w:t>并进行电子签章</w:t>
            </w:r>
            <w:r>
              <w:rPr>
                <w:rFonts w:hint="eastAsia"/>
                <w:color w:val="000000" w:themeColor="text1"/>
                <w:highlight w:val="none"/>
                <w:lang w:val="en-US" w:eastAsia="zh-CN"/>
                <w14:textFill>
                  <w14:solidFill>
                    <w14:schemeClr w14:val="tx1"/>
                  </w14:solidFill>
                </w14:textFill>
              </w:rPr>
              <w:t>，资格审查时采购代理机构对信誉情况再次进行核查。</w:t>
            </w:r>
          </w:p>
        </w:tc>
      </w:tr>
    </w:tbl>
    <w:p w14:paraId="0879026F">
      <w:pPr>
        <w:pStyle w:val="2"/>
        <w:rPr>
          <w:rFonts w:hint="eastAsia"/>
          <w:highlight w:val="none"/>
        </w:rPr>
      </w:pPr>
    </w:p>
    <w:p w14:paraId="1F870F8B">
      <w:pPr>
        <w:rPr>
          <w:rFonts w:hint="eastAsia" w:ascii="仿宋" w:hAnsi="仿宋" w:eastAsia="仿宋" w:cs="仿宋"/>
          <w:sz w:val="24"/>
          <w:szCs w:val="24"/>
          <w:highlight w:val="none"/>
          <w:lang w:eastAsia="zh-CN"/>
        </w:rPr>
        <w:sectPr>
          <w:footerReference r:id="rId6" w:type="default"/>
          <w:pgSz w:w="11900" w:h="16839"/>
          <w:pgMar w:top="1406" w:right="1242" w:bottom="896" w:left="1406" w:header="0" w:footer="731" w:gutter="0"/>
          <w:cols w:space="0" w:num="1"/>
        </w:sectPr>
      </w:pPr>
    </w:p>
    <w:p w14:paraId="38589B7B">
      <w:pPr>
        <w:spacing w:before="71" w:line="224" w:lineRule="auto"/>
        <w:jc w:val="center"/>
        <w:outlineLvl w:val="0"/>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pPr>
      <w:bookmarkStart w:id="71" w:name="_Toc24948"/>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第五章 评标办法</w:t>
      </w:r>
      <w:bookmarkEnd w:id="71"/>
    </w:p>
    <w:p w14:paraId="2B72E2E1">
      <w:pPr>
        <w:pStyle w:val="2"/>
        <w:rPr>
          <w:rFonts w:hint="eastAsia"/>
          <w:highlight w:val="none"/>
        </w:rPr>
      </w:pPr>
    </w:p>
    <w:p w14:paraId="0F508D5C">
      <w:pPr>
        <w:widowControl w:val="0"/>
        <w:spacing w:before="65" w:line="228" w:lineRule="auto"/>
        <w:ind w:left="3"/>
        <w:outlineLvl w:val="1"/>
        <w:rPr>
          <w:rFonts w:hint="eastAsia" w:ascii="仿宋" w:hAnsi="仿宋" w:eastAsia="仿宋" w:cs="仿宋"/>
          <w:sz w:val="24"/>
          <w:szCs w:val="24"/>
          <w:highlight w:val="none"/>
          <w:lang w:eastAsia="zh-CN"/>
        </w:rPr>
      </w:pPr>
      <w:bookmarkStart w:id="72" w:name="_Toc19491"/>
      <w:r>
        <w:rPr>
          <w:rFonts w:hint="eastAsia" w:ascii="仿宋" w:hAnsi="仿宋" w:eastAsia="仿宋" w:cs="仿宋"/>
          <w:b/>
          <w:bCs/>
          <w:spacing w:val="2"/>
          <w:sz w:val="24"/>
          <w:szCs w:val="24"/>
          <w:highlight w:val="none"/>
          <w:lang w:eastAsia="zh-CN"/>
        </w:rPr>
        <w:t>5.1</w:t>
      </w:r>
      <w:r>
        <w:rPr>
          <w:rFonts w:hint="eastAsia" w:ascii="仿宋" w:hAnsi="仿宋" w:eastAsia="仿宋" w:cs="仿宋"/>
          <w:b/>
          <w:bCs/>
          <w:spacing w:val="35"/>
          <w:w w:val="101"/>
          <w:sz w:val="24"/>
          <w:szCs w:val="24"/>
          <w:highlight w:val="none"/>
          <w:lang w:eastAsia="zh-CN"/>
        </w:rPr>
        <w:t xml:space="preserve"> </w:t>
      </w:r>
      <w:r>
        <w:rPr>
          <w:rFonts w:hint="eastAsia" w:ascii="仿宋" w:hAnsi="仿宋" w:eastAsia="仿宋" w:cs="仿宋"/>
          <w:spacing w:val="2"/>
          <w:sz w:val="24"/>
          <w:szCs w:val="24"/>
          <w:highlight w:val="none"/>
          <w:lang w:eastAsia="zh-CN"/>
          <w14:textOutline w14:w="3797" w14:cap="sq" w14:cmpd="sng" w14:algn="ctr">
            <w14:solidFill>
              <w14:srgbClr w14:val="000000"/>
            </w14:solidFill>
            <w14:prstDash w14:val="solid"/>
            <w14:bevel/>
          </w14:textOutline>
        </w:rPr>
        <w:t>总则</w:t>
      </w:r>
      <w:bookmarkEnd w:id="72"/>
    </w:p>
    <w:p w14:paraId="2DFF266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一、根据《中华人民共和国政府采购法》《中华人民共和国政府采购法实施条例》《陕西省政府采购评审专家管理实施办法》等法律规章，结合采购项目特点制定本评标办法。</w:t>
      </w:r>
    </w:p>
    <w:p w14:paraId="527EE11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二、评标工作由代理机构负责组织，具体评标事务由采购人或代理机构依法组建的评标委员会负责。评标委员会由采购人代表和评审专家组成。</w:t>
      </w:r>
    </w:p>
    <w:p w14:paraId="415D952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三、评标工作应遵循公平、公正、科学及择优的原则，并以相同的评标程序和标准对待所有的投标人。</w:t>
      </w:r>
    </w:p>
    <w:p w14:paraId="667F198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四、本项目采取电子评标，通过项目电子化交易系统完成评标工作。评标委员会成员、采购人、代理机构和投标人应当按照本招标文件规定和项目电子化交易系统操作要求开展或者参加评标活动。</w:t>
      </w:r>
    </w:p>
    <w:p w14:paraId="33C0181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五、评标过程中的书面材料往来均通过项目电子化交易系统传递，投标人通过互认的证书及签章 加盖其电子印章后生效。出现无法在线签章的特殊情况，评标委员会成员可以线下签署评标报告，由代理机构对原件扫描后以附件形式上传。</w:t>
      </w:r>
    </w:p>
    <w:p w14:paraId="6FF36DE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4E65823A">
      <w:pPr>
        <w:widowControl w:val="0"/>
        <w:spacing w:before="162" w:line="227" w:lineRule="auto"/>
        <w:ind w:left="3"/>
        <w:outlineLvl w:val="1"/>
        <w:rPr>
          <w:rFonts w:hint="eastAsia" w:ascii="仿宋" w:hAnsi="仿宋" w:eastAsia="仿宋" w:cs="仿宋"/>
          <w:sz w:val="24"/>
          <w:szCs w:val="24"/>
          <w:highlight w:val="none"/>
          <w:lang w:eastAsia="zh-CN"/>
        </w:rPr>
      </w:pPr>
      <w:bookmarkStart w:id="73" w:name="_Toc14095"/>
      <w:r>
        <w:rPr>
          <w:rFonts w:hint="eastAsia" w:ascii="仿宋" w:hAnsi="仿宋" w:eastAsia="仿宋" w:cs="仿宋"/>
          <w:b/>
          <w:bCs/>
          <w:spacing w:val="14"/>
          <w:sz w:val="24"/>
          <w:szCs w:val="24"/>
          <w:highlight w:val="none"/>
          <w:lang w:eastAsia="zh-CN"/>
        </w:rPr>
        <w:t>5.2</w:t>
      </w:r>
      <w:r>
        <w:rPr>
          <w:rFonts w:hint="eastAsia" w:ascii="仿宋" w:hAnsi="仿宋" w:eastAsia="仿宋" w:cs="仿宋"/>
          <w:b/>
          <w:bCs/>
          <w:spacing w:val="39"/>
          <w:sz w:val="24"/>
          <w:szCs w:val="24"/>
          <w:highlight w:val="none"/>
          <w:lang w:eastAsia="zh-CN"/>
        </w:rPr>
        <w:t xml:space="preserve"> </w:t>
      </w:r>
      <w:r>
        <w:rPr>
          <w:rFonts w:hint="eastAsia" w:ascii="仿宋" w:hAnsi="仿宋" w:eastAsia="仿宋" w:cs="仿宋"/>
          <w:spacing w:val="14"/>
          <w:sz w:val="24"/>
          <w:szCs w:val="24"/>
          <w:highlight w:val="none"/>
          <w:lang w:eastAsia="zh-CN"/>
          <w14:textOutline w14:w="3797" w14:cap="sq" w14:cmpd="sng" w14:algn="ctr">
            <w14:solidFill>
              <w14:srgbClr w14:val="000000"/>
            </w14:solidFill>
            <w14:prstDash w14:val="solid"/>
            <w14:bevel/>
          </w14:textOutline>
        </w:rPr>
        <w:t>评标委员会</w:t>
      </w:r>
      <w:bookmarkEnd w:id="73"/>
    </w:p>
    <w:p w14:paraId="592A4B0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一、评审专家是采取随机方式在政府采购平台的专家库系统（以下简称专家库系统）抽取/由采购人根据《陕西省政府采购评审专家管理实施办法》（陕财办采〔2018〕20 号）的规定，报主管部门同意后自行选定。</w:t>
      </w:r>
    </w:p>
    <w:p w14:paraId="730F6E1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0937D44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评标委员会成员获取解密后的投标文件，开展评标活动。出现应当回避的情形时，评标委员会成员应当主动回避；代理机构按规定申请补充抽取评审专家；无法及时补充抽取的，采购人或者代理机构应当封存投标人投标文件，按规定重新组建评标委员会，解封投标文件后，开展评标活动。</w:t>
      </w:r>
    </w:p>
    <w:p w14:paraId="566B996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四、评标委员会按照招标文件规定的评标程序、评标方法和标准进行评标，并独立履行下列职责：</w:t>
      </w:r>
    </w:p>
    <w:p w14:paraId="3D629BA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（一）熟悉和理解招标文件；</w:t>
      </w:r>
    </w:p>
    <w:p w14:paraId="4693EA8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（二）审查投标人投标文件等是否满足招标文件要求，并作出评价；</w:t>
      </w:r>
    </w:p>
    <w:p w14:paraId="6D219BD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（三）根据需要要求采购组织单位对招标文件作出解释；根据需要要求投标人对投标文件有关事项作出澄清、说明或者更正；</w:t>
      </w:r>
    </w:p>
    <w:p w14:paraId="07D2FC9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（四）推荐中标候选投标人，或者受采购人委托确定中标投标人；</w:t>
      </w:r>
    </w:p>
    <w:p w14:paraId="34EA06E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（五）起草评标报告并进行签署；</w:t>
      </w:r>
    </w:p>
    <w:p w14:paraId="5024E6F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（六）向采购组织单位、财政部门或者其他监督部门报告非法干预评审工作的行为；</w:t>
      </w:r>
    </w:p>
    <w:p w14:paraId="6F0E3C15">
      <w:pPr>
        <w:widowControl w:val="0"/>
        <w:spacing w:before="163" w:line="228" w:lineRule="auto"/>
        <w:ind w:firstLine="512" w:firstLineChars="200"/>
        <w:outlineLvl w:val="2"/>
        <w:rPr>
          <w:rFonts w:hint="eastAsia" w:ascii="仿宋" w:hAnsi="仿宋" w:eastAsia="仿宋" w:cs="仿宋"/>
          <w:spacing w:val="8"/>
          <w:position w:val="15"/>
          <w:sz w:val="24"/>
          <w:szCs w:val="24"/>
          <w:highlight w:val="none"/>
          <w:lang w:eastAsia="zh-CN"/>
        </w:rPr>
      </w:pPr>
      <w:bookmarkStart w:id="74" w:name="_Toc26574"/>
      <w:r>
        <w:rPr>
          <w:rFonts w:hint="eastAsia" w:ascii="仿宋" w:hAnsi="仿宋" w:eastAsia="仿宋" w:cs="仿宋"/>
          <w:spacing w:val="8"/>
          <w:position w:val="15"/>
          <w:sz w:val="24"/>
          <w:szCs w:val="24"/>
          <w:highlight w:val="none"/>
          <w:lang w:eastAsia="zh-CN"/>
        </w:rPr>
        <w:t>（七）法律、法规和规章规定的其他职责。</w:t>
      </w:r>
      <w:bookmarkEnd w:id="74"/>
    </w:p>
    <w:p w14:paraId="4F6A38CB">
      <w:pPr>
        <w:widowControl w:val="0"/>
        <w:spacing w:before="162" w:line="228" w:lineRule="auto"/>
        <w:ind w:left="1"/>
        <w:outlineLvl w:val="1"/>
        <w:rPr>
          <w:rFonts w:hint="eastAsia" w:ascii="仿宋" w:hAnsi="仿宋" w:eastAsia="仿宋" w:cs="仿宋"/>
          <w:sz w:val="24"/>
          <w:szCs w:val="24"/>
          <w:highlight w:val="none"/>
          <w:lang w:eastAsia="zh-CN"/>
        </w:rPr>
      </w:pPr>
      <w:bookmarkStart w:id="75" w:name="_Toc27066"/>
      <w:r>
        <w:rPr>
          <w:rFonts w:hint="eastAsia" w:ascii="仿宋" w:hAnsi="仿宋" w:eastAsia="仿宋" w:cs="仿宋"/>
          <w:b/>
          <w:bCs/>
          <w:spacing w:val="11"/>
          <w:sz w:val="24"/>
          <w:szCs w:val="24"/>
          <w:highlight w:val="none"/>
          <w:lang w:eastAsia="zh-CN"/>
        </w:rPr>
        <w:t>5.3</w:t>
      </w:r>
      <w:r>
        <w:rPr>
          <w:rFonts w:hint="eastAsia" w:ascii="仿宋" w:hAnsi="仿宋" w:eastAsia="仿宋" w:cs="仿宋"/>
          <w:b/>
          <w:bCs/>
          <w:spacing w:val="37"/>
          <w:sz w:val="24"/>
          <w:szCs w:val="24"/>
          <w:highlight w:val="none"/>
          <w:lang w:eastAsia="zh-CN"/>
        </w:rPr>
        <w:t xml:space="preserve"> </w:t>
      </w:r>
      <w:r>
        <w:rPr>
          <w:rFonts w:hint="eastAsia" w:ascii="仿宋" w:hAnsi="仿宋" w:eastAsia="仿宋" w:cs="仿宋"/>
          <w:spacing w:val="11"/>
          <w:sz w:val="24"/>
          <w:szCs w:val="24"/>
          <w:highlight w:val="none"/>
          <w:lang w:eastAsia="zh-CN"/>
          <w14:textOutline w14:w="3797" w14:cap="sq" w14:cmpd="sng" w14:algn="ctr">
            <w14:solidFill>
              <w14:srgbClr w14:val="000000"/>
            </w14:solidFill>
            <w14:prstDash w14:val="solid"/>
            <w14:bevel/>
          </w14:textOutline>
        </w:rPr>
        <w:t>评标方法：</w:t>
      </w:r>
      <w:r>
        <w:rPr>
          <w:rFonts w:hint="eastAsia" w:ascii="仿宋" w:hAnsi="仿宋" w:eastAsia="仿宋" w:cs="仿宋"/>
          <w:spacing w:val="-31"/>
          <w:sz w:val="24"/>
          <w:szCs w:val="24"/>
          <w:highlight w:val="none"/>
          <w:lang w:eastAsia="zh-CN"/>
        </w:rPr>
        <w:t xml:space="preserve"> </w:t>
      </w:r>
      <w:r>
        <w:rPr>
          <w:rFonts w:hint="eastAsia" w:ascii="仿宋" w:hAnsi="仿宋" w:eastAsia="仿宋" w:cs="仿宋"/>
          <w:spacing w:val="11"/>
          <w:sz w:val="24"/>
          <w:szCs w:val="24"/>
          <w:highlight w:val="none"/>
          <w:lang w:eastAsia="zh-CN"/>
          <w14:textOutline w14:w="3797" w14:cap="sq" w14:cmpd="sng" w14:algn="ctr">
            <w14:solidFill>
              <w14:srgbClr w14:val="000000"/>
            </w14:solidFill>
            <w14:prstDash w14:val="solid"/>
            <w14:bevel/>
          </w14:textOutline>
        </w:rPr>
        <w:t>综合评分法</w:t>
      </w:r>
      <w:bookmarkEnd w:id="75"/>
    </w:p>
    <w:p w14:paraId="6C99E0DF">
      <w:pPr>
        <w:widowControl w:val="0"/>
        <w:spacing w:before="221" w:line="228" w:lineRule="auto"/>
        <w:ind w:left="1"/>
        <w:outlineLvl w:val="1"/>
        <w:rPr>
          <w:rFonts w:hint="eastAsia" w:ascii="仿宋" w:hAnsi="仿宋" w:eastAsia="仿宋" w:cs="仿宋"/>
          <w:sz w:val="24"/>
          <w:szCs w:val="24"/>
          <w:highlight w:val="none"/>
          <w:lang w:eastAsia="zh-CN"/>
        </w:rPr>
      </w:pPr>
      <w:bookmarkStart w:id="76" w:name="_Toc11629"/>
      <w:r>
        <w:rPr>
          <w:rFonts w:hint="eastAsia" w:ascii="仿宋" w:hAnsi="仿宋" w:eastAsia="仿宋" w:cs="仿宋"/>
          <w:b/>
          <w:bCs/>
          <w:spacing w:val="20"/>
          <w:sz w:val="24"/>
          <w:szCs w:val="24"/>
          <w:highlight w:val="none"/>
          <w:lang w:eastAsia="zh-CN"/>
        </w:rPr>
        <w:t>5.4</w:t>
      </w:r>
      <w:r>
        <w:rPr>
          <w:rFonts w:hint="eastAsia" w:ascii="仿宋" w:hAnsi="仿宋" w:eastAsia="仿宋" w:cs="仿宋"/>
          <w:b/>
          <w:bCs/>
          <w:spacing w:val="44"/>
          <w:sz w:val="24"/>
          <w:szCs w:val="24"/>
          <w:highlight w:val="none"/>
          <w:lang w:eastAsia="zh-CN"/>
        </w:rPr>
        <w:t xml:space="preserve"> </w:t>
      </w:r>
      <w:r>
        <w:rPr>
          <w:rFonts w:hint="eastAsia" w:ascii="仿宋" w:hAnsi="仿宋" w:eastAsia="仿宋" w:cs="仿宋"/>
          <w:spacing w:val="20"/>
          <w:sz w:val="24"/>
          <w:szCs w:val="24"/>
          <w:highlight w:val="none"/>
          <w:lang w:eastAsia="zh-CN"/>
          <w14:textOutline w14:w="3797" w14:cap="sq" w14:cmpd="sng" w14:algn="ctr">
            <w14:solidFill>
              <w14:srgbClr w14:val="000000"/>
            </w14:solidFill>
            <w14:prstDash w14:val="solid"/>
            <w14:bevel/>
          </w14:textOutline>
        </w:rPr>
        <w:t>评标程序</w:t>
      </w:r>
      <w:bookmarkEnd w:id="76"/>
    </w:p>
    <w:p w14:paraId="5FE5CFD4">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77" w:name="_Toc13345"/>
      <w:r>
        <w:rPr>
          <w:rFonts w:hint="eastAsia" w:ascii="仿宋" w:hAnsi="仿宋" w:eastAsia="仿宋" w:cs="仿宋"/>
          <w:spacing w:val="8"/>
          <w:position w:val="15"/>
          <w:sz w:val="24"/>
          <w:szCs w:val="24"/>
          <w:highlight w:val="none"/>
          <w:lang w:eastAsia="zh-CN"/>
        </w:rPr>
        <w:t>5.4.1 熟悉和理解招标文件和停止评标</w:t>
      </w:r>
      <w:bookmarkEnd w:id="77"/>
    </w:p>
    <w:p w14:paraId="0C322B7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一、评标委员会正式评审前，应当对招标文件进行熟悉和理解，内容主要包括招标文件中投标人 资格资质性要求、采购项目技术、服务和商务要求、评审方法和标准以及可能涉及签订政府采购合同的内容等。</w:t>
      </w:r>
    </w:p>
    <w:p w14:paraId="2763442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二、本招标文件有下列情形之一的，评标委员会应当停止评标：</w:t>
      </w:r>
    </w:p>
    <w:p w14:paraId="4C1D9CD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（一）招标文件的规定存在歧义、重大缺陷的；</w:t>
      </w:r>
    </w:p>
    <w:p w14:paraId="138959A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（二）招标文件明显以不合理条件对投标人实行差别待遇或者歧视待遇的；</w:t>
      </w:r>
    </w:p>
    <w:p w14:paraId="7259D22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（三）采购项目属于国家规定的优先、强制采购范围，但是招标文件未依法体现优先、强制采购相关规定的；</w:t>
      </w:r>
    </w:p>
    <w:p w14:paraId="64E3C20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（四）采购项目属于政府采购促进中小企业发展的范围，但是招标文件未依法体现促进中小企业发展相关规定的；</w:t>
      </w:r>
    </w:p>
    <w:p w14:paraId="5A4D6A0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（五）招标文件规定的评标方法是综合评分法、最低评标价法之外的评标方法，或者虽然名称为综合评分法、最低评标价法，但实际上不符合国家规定；</w:t>
      </w:r>
    </w:p>
    <w:p w14:paraId="3120769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（六）招标文件有违反国家其他有关强制性规定的情形。</w:t>
      </w:r>
    </w:p>
    <w:p w14:paraId="6E149DB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出现上述应当停止评标情形的，评标委员会应当通过项目电子化交易系统向采购组织单位提交相关说明材料，说明停止评审的情形和具体理由。除上述情形外，评标委员会不得以任何方式和理由停止评标。</w:t>
      </w:r>
    </w:p>
    <w:p w14:paraId="6DEF786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出现上述应当停止评标情形的，采购组织单位应当通过项目电子化交易系统书面告知参加采购活动的投标人，并说明具体原因，同时在陕西省政府采购网公告。采购组织单位认为评标委员会不应当停止评标的，可以书面报告采购项目同级财政部门依法处理，并提供相关证明材料。</w:t>
      </w:r>
    </w:p>
    <w:p w14:paraId="0845AA37">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78" w:name="_Toc24585"/>
      <w:r>
        <w:rPr>
          <w:rFonts w:hint="eastAsia" w:ascii="仿宋" w:hAnsi="仿宋" w:eastAsia="仿宋" w:cs="仿宋"/>
          <w:spacing w:val="8"/>
          <w:position w:val="15"/>
          <w:sz w:val="24"/>
          <w:szCs w:val="24"/>
          <w:highlight w:val="none"/>
          <w:lang w:eastAsia="zh-CN"/>
        </w:rPr>
        <w:t>5.4.2 符合性审查</w:t>
      </w:r>
      <w:bookmarkEnd w:id="78"/>
    </w:p>
    <w:p w14:paraId="14B8A9B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评标委员会依据本招标文件的实质性要求，对符合资格的投标文件进行审查，以确定其是否满足 本招标文件的实质性要求。本项目符合性审查事项，必须以本招标文件的明确规定的实质性要求作为依据。</w:t>
      </w:r>
    </w:p>
    <w:p w14:paraId="1E99292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在符合性审查过程中，如果出现评标委员会成员意见不一致的情况，按照少数服从多数的原则确定，但不得违背政府采购基本原则和招标文件规定。</w:t>
      </w:r>
    </w:p>
    <w:p w14:paraId="3E95E62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符合性审查标准见下表（按以下顺序审查）：</w:t>
      </w:r>
    </w:p>
    <w:tbl>
      <w:tblPr>
        <w:tblStyle w:val="24"/>
        <w:tblW w:w="924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7"/>
        <w:gridCol w:w="1957"/>
        <w:gridCol w:w="6662"/>
      </w:tblGrid>
      <w:tr w14:paraId="29891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jc w:val="center"/>
        </w:trPr>
        <w:tc>
          <w:tcPr>
            <w:tcW w:w="627" w:type="dxa"/>
          </w:tcPr>
          <w:p w14:paraId="1318D4C1">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1957" w:type="dxa"/>
          </w:tcPr>
          <w:p w14:paraId="18AF2C4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符合审查要求</w:t>
            </w:r>
          </w:p>
        </w:tc>
        <w:tc>
          <w:tcPr>
            <w:tcW w:w="6662" w:type="dxa"/>
          </w:tcPr>
          <w:p w14:paraId="4DCEE98E">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评审点具体描述</w:t>
            </w:r>
          </w:p>
        </w:tc>
      </w:tr>
      <w:tr w14:paraId="671C2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1" w:hRule="atLeast"/>
          <w:jc w:val="center"/>
        </w:trPr>
        <w:tc>
          <w:tcPr>
            <w:tcW w:w="627" w:type="dxa"/>
            <w:vAlign w:val="center"/>
          </w:tcPr>
          <w:p w14:paraId="5E4D7F4A">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1957" w:type="dxa"/>
            <w:vAlign w:val="center"/>
          </w:tcPr>
          <w:p w14:paraId="6DF12AEE">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 xml:space="preserve">不正当竞争预防措施（实质性要求） </w:t>
            </w:r>
          </w:p>
        </w:tc>
        <w:tc>
          <w:tcPr>
            <w:tcW w:w="6662" w:type="dxa"/>
            <w:vAlign w:val="center"/>
          </w:tcPr>
          <w:p w14:paraId="5E0378AA">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color w:val="000000" w:themeColor="text1"/>
                <w:highlight w:val="none"/>
                <w:lang w:val="zh-CN"/>
                <w14:textFill>
                  <w14:solidFill>
                    <w14:schemeClr w14:val="tx1"/>
                  </w14:solidFill>
                </w14:textFill>
              </w:rPr>
              <w:t>评标委员会认为投标人的报价明显低于其他实质性响应的投标人报价，有可能影响工程质量或者不能诚信履约的，应当要求其在评审现场合理的时间内提供书面说明，必要时提交相关证明材料；投标人不能证明其报价合理性的，评标委员会应当将其作为无效响应处理。</w:t>
            </w:r>
          </w:p>
          <w:p w14:paraId="499D7F1A">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2、投标人通过项目电子化交易系统在评标委员会要求的合理时间内提交说明，否则无效。</w:t>
            </w:r>
          </w:p>
        </w:tc>
      </w:tr>
      <w:tr w14:paraId="66CC4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0" w:hRule="atLeast"/>
          <w:jc w:val="center"/>
        </w:trPr>
        <w:tc>
          <w:tcPr>
            <w:tcW w:w="627" w:type="dxa"/>
            <w:vAlign w:val="center"/>
          </w:tcPr>
          <w:p w14:paraId="631B8EA5">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1957" w:type="dxa"/>
            <w:vAlign w:val="center"/>
          </w:tcPr>
          <w:p w14:paraId="7F6207B1">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投标报价</w:t>
            </w:r>
          </w:p>
        </w:tc>
        <w:tc>
          <w:tcPr>
            <w:tcW w:w="6662" w:type="dxa"/>
            <w:vAlign w:val="center"/>
          </w:tcPr>
          <w:p w14:paraId="7E853345">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color w:val="000000" w:themeColor="text1"/>
                <w:highlight w:val="none"/>
                <w:lang w:val="zh-CN"/>
                <w14:textFill>
                  <w14:solidFill>
                    <w14:schemeClr w14:val="tx1"/>
                  </w14:solidFill>
                </w14:textFill>
              </w:rPr>
              <w:t xml:space="preserve">报价唯一； </w:t>
            </w:r>
          </w:p>
          <w:p w14:paraId="1B944C21">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2、报价格式、</w:t>
            </w:r>
            <w:r>
              <w:rPr>
                <w:rFonts w:hint="eastAsia"/>
                <w:color w:val="000000" w:themeColor="text1"/>
                <w:highlight w:val="none"/>
                <w:lang w:val="zh-CN"/>
                <w14:textFill>
                  <w14:solidFill>
                    <w14:schemeClr w14:val="tx1"/>
                  </w14:solidFill>
                </w14:textFill>
              </w:rPr>
              <w:t>报价货币符合</w:t>
            </w:r>
            <w:r>
              <w:rPr>
                <w:rFonts w:hint="eastAsia"/>
                <w:color w:val="000000" w:themeColor="text1"/>
                <w:highlight w:val="none"/>
                <w14:textFill>
                  <w14:solidFill>
                    <w14:schemeClr w14:val="tx1"/>
                  </w14:solidFill>
                </w14:textFill>
              </w:rPr>
              <w:t>招标</w:t>
            </w:r>
            <w:r>
              <w:rPr>
                <w:rFonts w:hint="eastAsia"/>
                <w:color w:val="000000" w:themeColor="text1"/>
                <w:highlight w:val="none"/>
                <w:lang w:val="zh-CN"/>
                <w14:textFill>
                  <w14:solidFill>
                    <w14:schemeClr w14:val="tx1"/>
                  </w14:solidFill>
                </w14:textFill>
              </w:rPr>
              <w:t xml:space="preserve">文件要求 ; </w:t>
            </w:r>
          </w:p>
          <w:p w14:paraId="3323D9A3">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3、</w:t>
            </w:r>
            <w:r>
              <w:rPr>
                <w:rFonts w:hint="eastAsia"/>
                <w:color w:val="000000" w:themeColor="text1"/>
                <w:highlight w:val="none"/>
                <w:lang w:val="zh-CN"/>
                <w14:textFill>
                  <w14:solidFill>
                    <w14:schemeClr w14:val="tx1"/>
                  </w14:solidFill>
                </w14:textFill>
              </w:rPr>
              <w:t>未超出项目采购预算或</w:t>
            </w:r>
            <w:r>
              <w:rPr>
                <w:rFonts w:hint="eastAsia"/>
                <w:color w:val="000000" w:themeColor="text1"/>
                <w:highlight w:val="none"/>
                <w14:textFill>
                  <w14:solidFill>
                    <w14:schemeClr w14:val="tx1"/>
                  </w14:solidFill>
                </w14:textFill>
              </w:rPr>
              <w:t>招标</w:t>
            </w:r>
            <w:r>
              <w:rPr>
                <w:rFonts w:hint="eastAsia"/>
                <w:color w:val="000000" w:themeColor="text1"/>
                <w:highlight w:val="none"/>
                <w:lang w:val="zh-CN"/>
                <w14:textFill>
                  <w14:solidFill>
                    <w14:schemeClr w14:val="tx1"/>
                  </w14:solidFill>
                </w14:textFill>
              </w:rPr>
              <w:t>文件规定的最高限价。</w:t>
            </w:r>
          </w:p>
        </w:tc>
      </w:tr>
      <w:tr w14:paraId="6C6D8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1" w:hRule="atLeast"/>
          <w:jc w:val="center"/>
        </w:trPr>
        <w:tc>
          <w:tcPr>
            <w:tcW w:w="627" w:type="dxa"/>
            <w:vAlign w:val="center"/>
          </w:tcPr>
          <w:p w14:paraId="3CDC56A4">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3</w:t>
            </w:r>
          </w:p>
        </w:tc>
        <w:tc>
          <w:tcPr>
            <w:tcW w:w="1957" w:type="dxa"/>
            <w:vAlign w:val="center"/>
          </w:tcPr>
          <w:p w14:paraId="377F09A6">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签署、盖章</w:t>
            </w:r>
          </w:p>
        </w:tc>
        <w:tc>
          <w:tcPr>
            <w:tcW w:w="6662" w:type="dxa"/>
            <w:vAlign w:val="center"/>
          </w:tcPr>
          <w:p w14:paraId="0BEDA493">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投标文件封面、响应函</w:t>
            </w:r>
            <w:r>
              <w:rPr>
                <w:rFonts w:hint="eastAsia"/>
                <w:color w:val="000000" w:themeColor="text1"/>
                <w:highlight w:val="none"/>
                <w:lang w:val="en-US" w:eastAsia="zh-CN"/>
                <w14:textFill>
                  <w14:solidFill>
                    <w14:schemeClr w14:val="tx1"/>
                  </w14:solidFill>
                </w14:textFill>
              </w:rPr>
              <w:t>、已标价工程量清单扉页</w:t>
            </w:r>
            <w:r>
              <w:rPr>
                <w:rFonts w:hint="eastAsia"/>
                <w:color w:val="000000" w:themeColor="text1"/>
                <w:highlight w:val="none"/>
                <w:lang w:val="zh-CN"/>
                <w14:textFill>
                  <w14:solidFill>
                    <w14:schemeClr w14:val="tx1"/>
                  </w14:solidFill>
                </w14:textFill>
              </w:rPr>
              <w:t>符合</w:t>
            </w:r>
            <w:r>
              <w:rPr>
                <w:rFonts w:hint="eastAsia"/>
                <w:color w:val="000000" w:themeColor="text1"/>
                <w:highlight w:val="none"/>
                <w14:textFill>
                  <w14:solidFill>
                    <w14:schemeClr w14:val="tx1"/>
                  </w14:solidFill>
                </w14:textFill>
              </w:rPr>
              <w:t>招标</w:t>
            </w:r>
            <w:r>
              <w:rPr>
                <w:rFonts w:hint="eastAsia"/>
                <w:color w:val="000000" w:themeColor="text1"/>
                <w:highlight w:val="none"/>
                <w:lang w:val="zh-CN"/>
                <w14:textFill>
                  <w14:solidFill>
                    <w14:schemeClr w14:val="tx1"/>
                  </w14:solidFill>
                </w14:textFill>
              </w:rPr>
              <w:t>文件签署盖章要求。</w:t>
            </w:r>
          </w:p>
        </w:tc>
      </w:tr>
      <w:tr w14:paraId="1A4BB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jc w:val="center"/>
        </w:trPr>
        <w:tc>
          <w:tcPr>
            <w:tcW w:w="627" w:type="dxa"/>
            <w:vAlign w:val="center"/>
          </w:tcPr>
          <w:p w14:paraId="7F75DC15">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4</w:t>
            </w:r>
          </w:p>
        </w:tc>
        <w:tc>
          <w:tcPr>
            <w:tcW w:w="1957" w:type="dxa"/>
            <w:vAlign w:val="center"/>
          </w:tcPr>
          <w:p w14:paraId="152763ED">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投标有效期</w:t>
            </w:r>
          </w:p>
        </w:tc>
        <w:tc>
          <w:tcPr>
            <w:tcW w:w="6662" w:type="dxa"/>
            <w:vAlign w:val="center"/>
          </w:tcPr>
          <w:p w14:paraId="7A48B313">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从递交</w:t>
            </w:r>
            <w:r>
              <w:rPr>
                <w:rFonts w:hint="eastAsia"/>
                <w:color w:val="000000" w:themeColor="text1"/>
                <w:highlight w:val="none"/>
                <w14:textFill>
                  <w14:solidFill>
                    <w14:schemeClr w14:val="tx1"/>
                  </w14:solidFill>
                </w14:textFill>
              </w:rPr>
              <w:t>投标</w:t>
            </w:r>
            <w:r>
              <w:rPr>
                <w:rFonts w:hint="eastAsia"/>
                <w:color w:val="000000" w:themeColor="text1"/>
                <w:highlight w:val="none"/>
                <w:lang w:val="zh-CN"/>
                <w14:textFill>
                  <w14:solidFill>
                    <w14:schemeClr w14:val="tx1"/>
                  </w14:solidFill>
                </w14:textFill>
              </w:rPr>
              <w:t>文件的截止之日起算不少于90个日历日。</w:t>
            </w:r>
          </w:p>
        </w:tc>
      </w:tr>
      <w:tr w14:paraId="58CF8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jc w:val="center"/>
        </w:trPr>
        <w:tc>
          <w:tcPr>
            <w:tcW w:w="627" w:type="dxa"/>
            <w:vAlign w:val="center"/>
          </w:tcPr>
          <w:p w14:paraId="634D8D2D">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5</w:t>
            </w:r>
          </w:p>
        </w:tc>
        <w:tc>
          <w:tcPr>
            <w:tcW w:w="1957" w:type="dxa"/>
            <w:vAlign w:val="center"/>
          </w:tcPr>
          <w:p w14:paraId="58EECDC6">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合同条款</w:t>
            </w:r>
          </w:p>
        </w:tc>
        <w:tc>
          <w:tcPr>
            <w:tcW w:w="6662" w:type="dxa"/>
            <w:vAlign w:val="center"/>
          </w:tcPr>
          <w:p w14:paraId="0CF93AAE">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响应</w:t>
            </w:r>
            <w:r>
              <w:rPr>
                <w:rFonts w:hint="eastAsia"/>
                <w:color w:val="000000" w:themeColor="text1"/>
                <w:highlight w:val="none"/>
                <w14:textFill>
                  <w14:solidFill>
                    <w14:schemeClr w14:val="tx1"/>
                  </w14:solidFill>
                </w14:textFill>
              </w:rPr>
              <w:t>招标</w:t>
            </w:r>
            <w:r>
              <w:rPr>
                <w:rFonts w:hint="eastAsia"/>
                <w:color w:val="000000" w:themeColor="text1"/>
                <w:highlight w:val="none"/>
                <w:lang w:val="zh-CN"/>
                <w14:textFill>
                  <w14:solidFill>
                    <w14:schemeClr w14:val="tx1"/>
                  </w14:solidFill>
                </w14:textFill>
              </w:rPr>
              <w:t>文件合同条款未出现负偏离且响应的内容中未附有采购人不能接受的附加条件。</w:t>
            </w:r>
          </w:p>
        </w:tc>
      </w:tr>
      <w:tr w14:paraId="5958C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0" w:hRule="atLeast"/>
          <w:jc w:val="center"/>
        </w:trPr>
        <w:tc>
          <w:tcPr>
            <w:tcW w:w="627" w:type="dxa"/>
            <w:vAlign w:val="center"/>
          </w:tcPr>
          <w:p w14:paraId="28082160">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w:t>
            </w:r>
          </w:p>
        </w:tc>
        <w:tc>
          <w:tcPr>
            <w:tcW w:w="1957" w:type="dxa"/>
            <w:vAlign w:val="center"/>
          </w:tcPr>
          <w:p w14:paraId="12BDEB6F">
            <w:pPr>
              <w:pStyle w:val="25"/>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法定代表人身份证明或法定代表人授权委托书</w:t>
            </w:r>
          </w:p>
        </w:tc>
        <w:tc>
          <w:tcPr>
            <w:tcW w:w="6662" w:type="dxa"/>
            <w:vAlign w:val="center"/>
          </w:tcPr>
          <w:p w14:paraId="7A481232">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根据情况选择其一，其中：</w:t>
            </w:r>
          </w:p>
          <w:p w14:paraId="7FBD8FA6">
            <w:pPr>
              <w:pStyle w:val="25"/>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法定代表人直接参加投标的，须提供法定代表人身份证明；</w:t>
            </w:r>
          </w:p>
          <w:p w14:paraId="63CDB86A">
            <w:pPr>
              <w:pStyle w:val="25"/>
              <w:jc w:val="left"/>
              <w:rPr>
                <w:rFonts w:hint="eastAsia"/>
                <w:color w:val="000000" w:themeColor="text1"/>
                <w:highlight w:val="none"/>
                <w:lang w:val="zh-CN"/>
                <w14:textFill>
                  <w14:solidFill>
                    <w14:schemeClr w14:val="tx1"/>
                  </w14:solidFill>
                </w14:textFill>
              </w:rPr>
            </w:pPr>
            <w:r>
              <w:rPr>
                <w:rFonts w:hint="eastAsia"/>
                <w:color w:val="000000" w:themeColor="text1"/>
                <w:highlight w:val="none"/>
                <w14:textFill>
                  <w14:solidFill>
                    <w14:schemeClr w14:val="tx1"/>
                  </w14:solidFill>
                </w14:textFill>
              </w:rPr>
              <w:t>法定代表人授权代表参加投标的，须提供法定代表人授权委托书。（授权代表必须为本单位在职员工）</w:t>
            </w:r>
          </w:p>
        </w:tc>
      </w:tr>
    </w:tbl>
    <w:p w14:paraId="20DFAE2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以上实质性要求全部响应并满足招标文件要求的，则通过符合性审查；如有任意一项未响应或不满足招标文件要求的，则按无效投标文件处理。如果评标委员会认为投标人有任意一项不通过的，应在符合性审查表中载明不通过的具体原因。</w:t>
      </w:r>
    </w:p>
    <w:p w14:paraId="1BED94AA">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79" w:name="_Toc15348"/>
      <w:r>
        <w:rPr>
          <w:rFonts w:hint="eastAsia" w:ascii="仿宋" w:hAnsi="仿宋" w:eastAsia="仿宋" w:cs="仿宋"/>
          <w:spacing w:val="8"/>
          <w:position w:val="15"/>
          <w:sz w:val="24"/>
          <w:szCs w:val="24"/>
          <w:highlight w:val="none"/>
          <w:lang w:eastAsia="zh-CN"/>
        </w:rPr>
        <w:t>5.4.3 解释、澄清有关问题</w:t>
      </w:r>
      <w:bookmarkEnd w:id="79"/>
    </w:p>
    <w:p w14:paraId="7F11B51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一、评标过程中，评标委员会认为招标文件有关事项表述不明确或需要说明的，可以提请代理机 构书面解释。代理机构的解释不得改变招标文件的原义或者影响公平、公正，解释事项如果涉及投标人权益的以有利于投标人的原则进行解释。</w:t>
      </w:r>
    </w:p>
    <w:p w14:paraId="2CBF7FA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 者改变投标文件的实质性内容。澄清、说明或者更正不影响投标文件的效力，有效的澄清、说明或者更正材料是投标文件的组成部分。</w:t>
      </w:r>
    </w:p>
    <w:p w14:paraId="01017A7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三、投标人的澄清、说明或者更正需进行电子签章，应当不超出投标文件的范围、不实质性改变 投标文件的内容、不影响投标人的公平竞争、不导致投标文件从不响应招标文件变为响应招标文件的条件。下列内容不得澄清：</w:t>
      </w:r>
    </w:p>
    <w:p w14:paraId="33474626">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（一）投标人投标文件中不响应招标文件规定的技术参数指标和商务应答；</w:t>
      </w:r>
    </w:p>
    <w:p w14:paraId="756DF21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（二）投标人投标文件中未提供的证明其是否符合招标文件资格、符合性规定要求的相关材料。</w:t>
      </w:r>
    </w:p>
    <w:p w14:paraId="490D939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（三）投标人投标文件中的材料因印刷、影印等不清晰而难以辨认的。</w:t>
      </w:r>
    </w:p>
    <w:p w14:paraId="0F2872C7">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四、投标文件报价出现下列情况的，按以下原则处理：</w:t>
      </w:r>
    </w:p>
    <w:p w14:paraId="1120CD0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（一）投标文件中开标一览表（报价表）内容与投标文件中相应内容不一致的，以开标一览表（报价表）为准；</w:t>
      </w:r>
    </w:p>
    <w:p w14:paraId="42E9E82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（二）大写金额和小写金额不一致的，以大写金额为准，但大写金额出现文字错误，导致金额无法判断的除外；</w:t>
      </w:r>
    </w:p>
    <w:p w14:paraId="685FA92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（三）单价金额小数点或者百分比有明显错位的，以开标一览表总价为准，并修改单价；</w:t>
      </w:r>
    </w:p>
    <w:p w14:paraId="239F0C8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（四）总价金额与按单价汇总金额不一致的，以单价金额计算结果为准。</w:t>
      </w:r>
    </w:p>
    <w:p w14:paraId="3465379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同时出现两种以上不一致的，按照前款规定的顺序修正。修正后的报价经投标人确认后产生约束力，投标人不确认的，其投标无效。</w:t>
      </w:r>
    </w:p>
    <w:p w14:paraId="16D624B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五、对不同语言文本投标文件的解释发生异议的， 以中文文本为准。</w:t>
      </w:r>
    </w:p>
    <w:p w14:paraId="038AA29F">
      <w:pPr>
        <w:widowControl w:val="0"/>
        <w:spacing w:before="163" w:line="228" w:lineRule="auto"/>
        <w:ind w:firstLine="514" w:firstLineChars="200"/>
        <w:rPr>
          <w:rFonts w:hint="eastAsia" w:ascii="仿宋" w:hAnsi="仿宋" w:eastAsia="仿宋" w:cs="仿宋"/>
          <w:b/>
          <w:bCs/>
          <w:spacing w:val="8"/>
          <w:position w:val="15"/>
          <w:sz w:val="24"/>
          <w:szCs w:val="24"/>
          <w:highlight w:val="none"/>
          <w:lang w:eastAsia="zh-CN"/>
        </w:rPr>
      </w:pPr>
      <w:r>
        <w:rPr>
          <w:rFonts w:hint="eastAsia" w:ascii="仿宋" w:hAnsi="仿宋" w:eastAsia="仿宋" w:cs="仿宋"/>
          <w:b/>
          <w:bCs/>
          <w:spacing w:val="8"/>
          <w:position w:val="15"/>
          <w:sz w:val="24"/>
          <w:szCs w:val="24"/>
          <w:highlight w:val="none"/>
          <w:lang w:eastAsia="zh-CN"/>
        </w:rPr>
        <w:t>六、代理机构宣布评标结束前，投标人应通过项目电子化交易系统随时关注评标消息提示，及时响应评标委员会发出的澄清、说明或更正要求。投标人未能及时响应的，自行承担不利后果。</w:t>
      </w:r>
    </w:p>
    <w:p w14:paraId="43B5B4D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评标委员会应当积极履行澄清、说明或者更正的职责，不得滥用权力。</w:t>
      </w:r>
    </w:p>
    <w:p w14:paraId="6F2BC2CF">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80" w:name="_Toc27193"/>
      <w:r>
        <w:rPr>
          <w:rFonts w:hint="eastAsia" w:ascii="仿宋" w:hAnsi="仿宋" w:eastAsia="仿宋" w:cs="仿宋"/>
          <w:spacing w:val="8"/>
          <w:position w:val="15"/>
          <w:sz w:val="24"/>
          <w:szCs w:val="24"/>
          <w:highlight w:val="none"/>
          <w:lang w:eastAsia="zh-CN"/>
        </w:rPr>
        <w:t>5.4.4 比较与评价</w:t>
      </w:r>
      <w:bookmarkEnd w:id="80"/>
    </w:p>
    <w:p w14:paraId="6EF908C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评标委员会应当按照招标文件规定的评标细则及标准，对符合性检查合格的投标文件进行商务和技术评估，综合比较和评价。</w:t>
      </w:r>
    </w:p>
    <w:p w14:paraId="02ECFD74">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81" w:name="_Toc13961"/>
      <w:r>
        <w:rPr>
          <w:rFonts w:hint="eastAsia" w:ascii="仿宋" w:hAnsi="仿宋" w:eastAsia="仿宋" w:cs="仿宋"/>
          <w:spacing w:val="8"/>
          <w:position w:val="15"/>
          <w:sz w:val="24"/>
          <w:szCs w:val="24"/>
          <w:highlight w:val="none"/>
          <w:lang w:eastAsia="zh-CN"/>
        </w:rPr>
        <w:t>5.4.5 复核</w:t>
      </w:r>
      <w:bookmarkEnd w:id="81"/>
    </w:p>
    <w:p w14:paraId="752CA6B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评分汇总结束后，评标委员会应当进行复核，对拟推荐为中标候选人、报价最低、投标文件被认定为无效等进行重点复核。</w:t>
      </w:r>
    </w:p>
    <w:p w14:paraId="456CA79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评标结果汇总完成后，评标委员会拟出具评标报告前，代理机构应当组织不少于 2名工作人员，在采购监督人员的监督之下，依据有关的法律制度和招标文件对评标结果进行复核，出具复核报告。</w:t>
      </w:r>
    </w:p>
    <w:p w14:paraId="5CB5A44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评标结果汇总完成后，除下列情形外，任何人不得修改评标结果：</w:t>
      </w:r>
    </w:p>
    <w:p w14:paraId="2C80AA6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（一）分值汇总计算错误的；</w:t>
      </w:r>
    </w:p>
    <w:p w14:paraId="6158C6B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（二）分项评分超出评分标准范围的；</w:t>
      </w:r>
    </w:p>
    <w:p w14:paraId="6606A2B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（三）评标委员会成员对客观评审因素评分不一致的；</w:t>
      </w:r>
    </w:p>
    <w:p w14:paraId="7A97F6F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（四）经评标委员会认定评分畸高、畸低的。</w:t>
      </w:r>
    </w:p>
    <w:p w14:paraId="26B4565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28189488">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82" w:name="_Toc13484"/>
      <w:r>
        <w:rPr>
          <w:rFonts w:hint="eastAsia" w:ascii="仿宋" w:hAnsi="仿宋" w:eastAsia="仿宋" w:cs="仿宋"/>
          <w:spacing w:val="8"/>
          <w:position w:val="15"/>
          <w:sz w:val="24"/>
          <w:szCs w:val="24"/>
          <w:highlight w:val="none"/>
          <w:lang w:eastAsia="zh-CN"/>
        </w:rPr>
        <w:t>5.4.6 确定中标候选人名单</w:t>
      </w:r>
      <w:bookmarkEnd w:id="82"/>
    </w:p>
    <w:p w14:paraId="2ABD177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 xml:space="preserve">按投标人综合得分从高到低进行排序，确定3名中标候选人。中标候选人得分相同的，按投标报价由低到高顺序排列。得分且投标报价相同的，按照技术指标优劣进行排序；若上述两项得分都相同，则由评标委员会无记名投票，以得票高者排序在先，评标委员会依据评标结果写出评标报告。 </w:t>
      </w:r>
    </w:p>
    <w:p w14:paraId="26DA150C">
      <w:pPr>
        <w:widowControl w:val="0"/>
        <w:spacing w:before="163" w:line="228" w:lineRule="auto"/>
        <w:outlineLvl w:val="2"/>
        <w:rPr>
          <w:rFonts w:hint="eastAsia" w:ascii="仿宋" w:hAnsi="仿宋" w:eastAsia="仿宋" w:cs="仿宋"/>
          <w:spacing w:val="8"/>
          <w:position w:val="15"/>
          <w:sz w:val="24"/>
          <w:szCs w:val="24"/>
          <w:highlight w:val="none"/>
          <w:lang w:eastAsia="zh-CN"/>
        </w:rPr>
      </w:pPr>
      <w:bookmarkStart w:id="83" w:name="_Toc6079"/>
      <w:r>
        <w:rPr>
          <w:rFonts w:hint="eastAsia" w:ascii="仿宋" w:hAnsi="仿宋" w:eastAsia="仿宋" w:cs="仿宋"/>
          <w:spacing w:val="8"/>
          <w:position w:val="15"/>
          <w:sz w:val="24"/>
          <w:szCs w:val="24"/>
          <w:highlight w:val="none"/>
          <w:lang w:eastAsia="zh-CN"/>
        </w:rPr>
        <w:t>5.4.7 编写评标报告</w:t>
      </w:r>
      <w:bookmarkEnd w:id="83"/>
    </w:p>
    <w:p w14:paraId="57B1D5C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评标报告是评标委员会根据全体评标成员签字的评标记录和评标结果编写的报告，其主要内容包括：</w:t>
      </w:r>
    </w:p>
    <w:p w14:paraId="371F425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一、招标公告刊登的媒体名称、开标日期和地点；</w:t>
      </w:r>
    </w:p>
    <w:p w14:paraId="48E923E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二、投标人名单和评标委员会成员名单；</w:t>
      </w:r>
    </w:p>
    <w:p w14:paraId="214BFF6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三、评审方法和标准；</w:t>
      </w:r>
    </w:p>
    <w:p w14:paraId="67281DB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四、开标记录和评审情况及说明，包括投标无效投标人名单及原因；</w:t>
      </w:r>
    </w:p>
    <w:p w14:paraId="6C20F2B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五、评标结果，确定的中标候选人名单或者经采购人委托直接确定的中标人</w:t>
      </w:r>
    </w:p>
    <w:p w14:paraId="44F6A34C">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六、其他需要说明的情况，包括评标过程中投标人根据评标委员会要求进行的澄清、说明或者补正，评标委员会成员的更换等；</w:t>
      </w:r>
    </w:p>
    <w:p w14:paraId="49D9A64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七、报价最高的投标人为中标候选人的，评标委员会应当对其报价的合理性予以特别说明。</w:t>
      </w:r>
    </w:p>
    <w:p w14:paraId="66AB527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7EE073F8">
      <w:pPr>
        <w:spacing w:before="162" w:line="228" w:lineRule="auto"/>
        <w:ind w:left="1"/>
        <w:outlineLvl w:val="1"/>
        <w:rPr>
          <w:rFonts w:hint="eastAsia" w:ascii="仿宋" w:hAnsi="仿宋" w:eastAsia="仿宋" w:cs="仿宋"/>
          <w:sz w:val="24"/>
          <w:szCs w:val="24"/>
          <w:highlight w:val="none"/>
          <w:lang w:eastAsia="zh-CN"/>
        </w:rPr>
      </w:pPr>
      <w:bookmarkStart w:id="84" w:name="_Toc518"/>
      <w:r>
        <w:rPr>
          <w:rFonts w:hint="eastAsia" w:ascii="仿宋" w:hAnsi="仿宋" w:eastAsia="仿宋" w:cs="仿宋"/>
          <w:b/>
          <w:bCs/>
          <w:spacing w:val="6"/>
          <w:sz w:val="24"/>
          <w:szCs w:val="24"/>
          <w:highlight w:val="none"/>
          <w:lang w:eastAsia="zh-CN"/>
        </w:rPr>
        <w:t>5.5</w:t>
      </w:r>
      <w:r>
        <w:rPr>
          <w:rFonts w:hint="eastAsia" w:ascii="仿宋" w:hAnsi="仿宋" w:eastAsia="仿宋" w:cs="仿宋"/>
          <w:b/>
          <w:bCs/>
          <w:spacing w:val="39"/>
          <w:sz w:val="24"/>
          <w:szCs w:val="24"/>
          <w:highlight w:val="none"/>
          <w:lang w:eastAsia="zh-CN"/>
        </w:rPr>
        <w:t xml:space="preserve"> </w:t>
      </w:r>
      <w:r>
        <w:rPr>
          <w:rFonts w:hint="eastAsia" w:ascii="仿宋" w:hAnsi="仿宋" w:eastAsia="仿宋" w:cs="仿宋"/>
          <w:spacing w:val="6"/>
          <w:sz w:val="24"/>
          <w:szCs w:val="24"/>
          <w:highlight w:val="none"/>
          <w:lang w:eastAsia="zh-CN"/>
          <w14:textOutline w14:w="3797" w14:cap="sq" w14:cmpd="sng" w14:algn="ctr">
            <w14:solidFill>
              <w14:srgbClr w14:val="000000"/>
            </w14:solidFill>
            <w14:prstDash w14:val="solid"/>
            <w14:bevel/>
          </w14:textOutline>
        </w:rPr>
        <w:t>评标争议处理规则</w:t>
      </w:r>
      <w:bookmarkEnd w:id="84"/>
    </w:p>
    <w:p w14:paraId="2C38DF6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评标委员会在评标过程中，对于符合性审查、对投标人投标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75B5DF43">
      <w:pPr>
        <w:spacing w:before="157" w:line="228" w:lineRule="auto"/>
        <w:ind w:left="1"/>
        <w:outlineLvl w:val="1"/>
        <w:rPr>
          <w:rFonts w:hint="eastAsia" w:ascii="仿宋" w:hAnsi="仿宋" w:eastAsia="仿宋" w:cs="仿宋"/>
          <w:sz w:val="24"/>
          <w:szCs w:val="24"/>
          <w:highlight w:val="none"/>
          <w:lang w:eastAsia="zh-CN"/>
        </w:rPr>
      </w:pPr>
      <w:bookmarkStart w:id="85" w:name="_Toc17629"/>
      <w:r>
        <w:rPr>
          <w:rFonts w:hint="eastAsia" w:ascii="仿宋" w:hAnsi="仿宋" w:eastAsia="仿宋" w:cs="仿宋"/>
          <w:b/>
          <w:bCs/>
          <w:spacing w:val="8"/>
          <w:sz w:val="24"/>
          <w:szCs w:val="24"/>
          <w:highlight w:val="none"/>
          <w:lang w:eastAsia="zh-CN"/>
        </w:rPr>
        <w:t>5.6</w:t>
      </w:r>
      <w:r>
        <w:rPr>
          <w:rFonts w:hint="eastAsia" w:ascii="仿宋" w:hAnsi="仿宋" w:eastAsia="仿宋" w:cs="仿宋"/>
          <w:b/>
          <w:bCs/>
          <w:spacing w:val="39"/>
          <w:sz w:val="24"/>
          <w:szCs w:val="24"/>
          <w:highlight w:val="none"/>
          <w:lang w:eastAsia="zh-CN"/>
        </w:rPr>
        <w:t xml:space="preserve"> </w:t>
      </w:r>
      <w:r>
        <w:rPr>
          <w:rFonts w:hint="eastAsia" w:ascii="仿宋" w:hAnsi="仿宋" w:eastAsia="仿宋" w:cs="仿宋"/>
          <w:spacing w:val="8"/>
          <w:sz w:val="24"/>
          <w:szCs w:val="24"/>
          <w:highlight w:val="none"/>
          <w:lang w:eastAsia="zh-CN"/>
          <w14:textOutline w14:w="3797" w14:cap="sq" w14:cmpd="sng" w14:algn="ctr">
            <w14:solidFill>
              <w14:srgbClr w14:val="000000"/>
            </w14:solidFill>
            <w14:prstDash w14:val="solid"/>
            <w14:bevel/>
          </w14:textOutline>
        </w:rPr>
        <w:t>评标细则及标准</w:t>
      </w:r>
      <w:bookmarkEnd w:id="85"/>
    </w:p>
    <w:p w14:paraId="46FCFEC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一、评标委员会只对通过资格审查的投标文件，根据招标文件的要求采用相同的评标程序、评分办法及标准进行评价和比较。</w:t>
      </w:r>
    </w:p>
    <w:p w14:paraId="40222E1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二、评标委员会成员应依据招标文件规定的评分标准和方法独立评审。</w:t>
      </w:r>
    </w:p>
    <w:p w14:paraId="65CFFD97">
      <w:pPr>
        <w:widowControl w:val="0"/>
        <w:spacing w:before="163" w:line="228" w:lineRule="auto"/>
        <w:ind w:firstLine="512" w:firstLineChars="200"/>
        <w:outlineLvl w:val="2"/>
        <w:rPr>
          <w:rFonts w:hint="eastAsia" w:ascii="仿宋" w:hAnsi="仿宋" w:eastAsia="仿宋" w:cs="仿宋"/>
          <w:spacing w:val="8"/>
          <w:position w:val="15"/>
          <w:sz w:val="24"/>
          <w:szCs w:val="24"/>
          <w:highlight w:val="none"/>
          <w:lang w:eastAsia="zh-CN"/>
        </w:rPr>
      </w:pPr>
      <w:bookmarkStart w:id="86" w:name="_Toc707"/>
      <w:r>
        <w:rPr>
          <w:rFonts w:hint="eastAsia" w:ascii="仿宋" w:hAnsi="仿宋" w:eastAsia="仿宋" w:cs="仿宋"/>
          <w:spacing w:val="8"/>
          <w:position w:val="15"/>
          <w:sz w:val="24"/>
          <w:szCs w:val="24"/>
          <w:highlight w:val="none"/>
          <w:lang w:eastAsia="zh-CN"/>
        </w:rPr>
        <w:t>三、评分标准</w:t>
      </w:r>
      <w:bookmarkEnd w:id="86"/>
    </w:p>
    <w:tbl>
      <w:tblPr>
        <w:tblStyle w:val="20"/>
        <w:tblW w:w="0" w:type="auto"/>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fixed"/>
        <w:tblCellMar>
          <w:top w:w="0" w:type="dxa"/>
          <w:left w:w="0" w:type="dxa"/>
          <w:bottom w:w="0" w:type="dxa"/>
          <w:right w:w="0" w:type="dxa"/>
        </w:tblCellMar>
      </w:tblPr>
      <w:tblGrid>
        <w:gridCol w:w="702"/>
        <w:gridCol w:w="1035"/>
        <w:gridCol w:w="6615"/>
        <w:gridCol w:w="787"/>
      </w:tblGrid>
      <w:tr w14:paraId="79872D2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742" w:hRule="atLeast"/>
          <w:jc w:val="center"/>
        </w:trPr>
        <w:tc>
          <w:tcPr>
            <w:tcW w:w="702" w:type="dxa"/>
            <w:vAlign w:val="center"/>
          </w:tcPr>
          <w:p w14:paraId="1EA98574">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编号</w:t>
            </w:r>
          </w:p>
        </w:tc>
        <w:tc>
          <w:tcPr>
            <w:tcW w:w="1035" w:type="dxa"/>
            <w:vAlign w:val="center"/>
          </w:tcPr>
          <w:p w14:paraId="4DD6966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评审项</w:t>
            </w:r>
          </w:p>
        </w:tc>
        <w:tc>
          <w:tcPr>
            <w:tcW w:w="6615" w:type="dxa"/>
            <w:vAlign w:val="center"/>
          </w:tcPr>
          <w:p w14:paraId="32885DE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评审要求</w:t>
            </w:r>
          </w:p>
        </w:tc>
        <w:tc>
          <w:tcPr>
            <w:tcW w:w="787" w:type="dxa"/>
            <w:vAlign w:val="center"/>
          </w:tcPr>
          <w:p w14:paraId="330BD48A">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分值</w:t>
            </w:r>
          </w:p>
        </w:tc>
      </w:tr>
      <w:tr w14:paraId="431122B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940" w:hRule="atLeast"/>
          <w:jc w:val="center"/>
        </w:trPr>
        <w:tc>
          <w:tcPr>
            <w:tcW w:w="702" w:type="dxa"/>
            <w:vAlign w:val="center"/>
          </w:tcPr>
          <w:p w14:paraId="6A9397E8">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1035" w:type="dxa"/>
            <w:vAlign w:val="center"/>
          </w:tcPr>
          <w:p w14:paraId="011F3750">
            <w:pPr>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9"/>
                <w:sz w:val="24"/>
                <w:szCs w:val="24"/>
                <w:highlight w:val="none"/>
                <w:lang w:eastAsia="zh-CN"/>
                <w14:textFill>
                  <w14:solidFill>
                    <w14:schemeClr w14:val="tx1"/>
                  </w14:solidFill>
                </w14:textFill>
              </w:rPr>
              <w:t>施工</w:t>
            </w:r>
          </w:p>
          <w:p w14:paraId="379E957F">
            <w:pPr>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9"/>
                <w:sz w:val="24"/>
                <w:szCs w:val="24"/>
                <w:highlight w:val="none"/>
                <w:lang w:eastAsia="zh-CN"/>
                <w14:textFill>
                  <w14:solidFill>
                    <w14:schemeClr w14:val="tx1"/>
                  </w14:solidFill>
                </w14:textFill>
              </w:rPr>
              <w:t>方案</w:t>
            </w:r>
          </w:p>
        </w:tc>
        <w:tc>
          <w:tcPr>
            <w:tcW w:w="6615" w:type="dxa"/>
            <w:vAlign w:val="center"/>
          </w:tcPr>
          <w:p w14:paraId="3E02FB84">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施工方案内容至少包括①施工准备；②施工方法；③重点、难点工程分析及解决措施；④影响正常施工外在因素分析及对应预案等。</w:t>
            </w:r>
          </w:p>
          <w:p w14:paraId="4074A8C8">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以上内容专门针对本项目且符合本项目实际需求的得8分，每缺一项内容扣2分，若上述内容存在瑕疵，每存在1处瑕疵扣1分，扣完为止。</w:t>
            </w:r>
          </w:p>
          <w:p w14:paraId="4AF1ADAB">
            <w:pPr>
              <w:spacing w:before="118"/>
              <w:ind w:right="1" w:firstLine="460" w:firstLineChars="200"/>
              <w:jc w:val="left"/>
              <w:rPr>
                <w:rFonts w:hint="eastAsia"/>
                <w:color w:val="000000" w:themeColor="text1"/>
                <w:highlight w:val="none"/>
                <w:lang w:val="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063CD55C">
            <w:pPr>
              <w:pStyle w:val="2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8.00</w:t>
            </w:r>
          </w:p>
          <w:p w14:paraId="0225B9A2">
            <w:pPr>
              <w:pStyle w:val="25"/>
              <w:rPr>
                <w:rFonts w:hint="eastAsia"/>
                <w:color w:val="000000" w:themeColor="text1"/>
                <w:highlight w:val="none"/>
                <w14:textFill>
                  <w14:solidFill>
                    <w14:schemeClr w14:val="tx1"/>
                  </w14:solidFill>
                </w14:textFill>
              </w:rPr>
            </w:pPr>
          </w:p>
        </w:tc>
      </w:tr>
      <w:tr w14:paraId="608987B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90" w:hRule="atLeast"/>
          <w:jc w:val="center"/>
        </w:trPr>
        <w:tc>
          <w:tcPr>
            <w:tcW w:w="702" w:type="dxa"/>
            <w:vAlign w:val="center"/>
          </w:tcPr>
          <w:p w14:paraId="20B833A7">
            <w:pPr>
              <w:pStyle w:val="25"/>
              <w:rPr>
                <w:rFonts w:hint="eastAsia"/>
                <w:highlight w:val="none"/>
              </w:rPr>
            </w:pPr>
            <w:r>
              <w:rPr>
                <w:rFonts w:hint="eastAsia"/>
                <w:color w:val="auto"/>
                <w:highlight w:val="none"/>
              </w:rPr>
              <w:t>2</w:t>
            </w:r>
          </w:p>
        </w:tc>
        <w:tc>
          <w:tcPr>
            <w:tcW w:w="1035" w:type="dxa"/>
            <w:vAlign w:val="center"/>
          </w:tcPr>
          <w:p w14:paraId="28C16125">
            <w:pPr>
              <w:spacing w:before="1"/>
              <w:ind w:left="24"/>
              <w:jc w:val="center"/>
              <w:rPr>
                <w:rFonts w:hint="eastAsia" w:ascii="仿宋" w:hAnsi="仿宋" w:eastAsia="仿宋" w:cs="仿宋"/>
                <w:color w:val="auto"/>
                <w:spacing w:val="-5"/>
                <w:sz w:val="24"/>
                <w:szCs w:val="24"/>
                <w:highlight w:val="none"/>
              </w:rPr>
            </w:pPr>
            <w:r>
              <w:rPr>
                <w:rFonts w:hint="eastAsia" w:ascii="仿宋" w:hAnsi="仿宋" w:eastAsia="仿宋" w:cs="仿宋"/>
                <w:color w:val="auto"/>
                <w:spacing w:val="-5"/>
                <w:sz w:val="24"/>
                <w:szCs w:val="24"/>
                <w:highlight w:val="none"/>
              </w:rPr>
              <w:t>文物保护</w:t>
            </w:r>
          </w:p>
          <w:p w14:paraId="558171D4">
            <w:pPr>
              <w:spacing w:before="1"/>
              <w:ind w:left="24"/>
              <w:jc w:val="center"/>
              <w:rPr>
                <w:rFonts w:hint="eastAsia" w:ascii="仿宋" w:hAnsi="仿宋" w:eastAsia="仿宋" w:cs="仿宋"/>
                <w:color w:val="auto"/>
                <w:spacing w:val="-3"/>
                <w:position w:val="17"/>
                <w:sz w:val="24"/>
                <w:szCs w:val="24"/>
                <w:highlight w:val="none"/>
              </w:rPr>
            </w:pPr>
            <w:r>
              <w:rPr>
                <w:rFonts w:hint="eastAsia" w:ascii="仿宋" w:hAnsi="仿宋" w:eastAsia="仿宋" w:cs="仿宋"/>
                <w:color w:val="auto"/>
                <w:spacing w:val="-5"/>
                <w:sz w:val="24"/>
                <w:szCs w:val="24"/>
                <w:highlight w:val="none"/>
                <w:lang w:eastAsia="zh-CN"/>
              </w:rPr>
              <w:t>专项方案</w:t>
            </w:r>
          </w:p>
        </w:tc>
        <w:tc>
          <w:tcPr>
            <w:tcW w:w="6615" w:type="dxa"/>
            <w:vAlign w:val="center"/>
          </w:tcPr>
          <w:p w14:paraId="5B95E908">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文物保护施工专项方案内容至少包括①对本次施工现场文物的了解认知；②文物保护工作准备；③施工时对文物的具体保护措施；④文物保护应急预案等。</w:t>
            </w:r>
          </w:p>
          <w:p w14:paraId="138B1EBC">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w:t>
            </w:r>
            <w:r>
              <w:rPr>
                <w:rFonts w:hint="default" w:ascii="仿宋" w:hAnsi="仿宋" w:eastAsia="仿宋" w:cs="仿宋"/>
                <w:color w:val="000000" w:themeColor="text1"/>
                <w:spacing w:val="-5"/>
                <w:sz w:val="24"/>
                <w:szCs w:val="24"/>
                <w:highlight w:val="none"/>
                <w:lang w:val="en-US" w:eastAsia="zh-CN"/>
                <w14:textFill>
                  <w14:solidFill>
                    <w14:schemeClr w14:val="tx1"/>
                  </w14:solidFill>
                </w14:textFill>
              </w:rPr>
              <w:t>12</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分，每缺一项内容扣</w:t>
            </w:r>
            <w:r>
              <w:rPr>
                <w:rFonts w:hint="default" w:ascii="仿宋" w:hAnsi="仿宋" w:eastAsia="仿宋" w:cs="仿宋"/>
                <w:color w:val="000000" w:themeColor="text1"/>
                <w:spacing w:val="-5"/>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分，若上述内容存在瑕疵，每存在1处瑕疵扣1分，扣完为止。</w:t>
            </w:r>
          </w:p>
          <w:p w14:paraId="50D4DB6D">
            <w:pPr>
              <w:spacing w:before="118"/>
              <w:ind w:right="1" w:firstLine="460" w:firstLineChars="200"/>
              <w:jc w:val="left"/>
              <w:rPr>
                <w:rFonts w:hint="eastAsia" w:ascii="仿宋" w:hAnsi="仿宋" w:eastAsia="仿宋" w:cs="仿宋"/>
                <w:color w:val="auto"/>
                <w:spacing w:val="-6"/>
                <w:sz w:val="24"/>
                <w:szCs w:val="24"/>
                <w:highlight w:val="none"/>
                <w:lang w:eastAsia="zh-CN"/>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4028DA3A">
            <w:pPr>
              <w:spacing w:before="78"/>
              <w:jc w:val="center"/>
              <w:rPr>
                <w:rFonts w:hint="eastAsia" w:ascii="仿宋" w:hAnsi="仿宋" w:eastAsia="仿宋" w:cs="仿宋"/>
                <w:color w:val="auto"/>
                <w:sz w:val="24"/>
                <w:szCs w:val="24"/>
                <w:highlight w:val="none"/>
                <w:lang w:eastAsia="zh-CN"/>
              </w:rPr>
            </w:pPr>
            <w:r>
              <w:rPr>
                <w:rFonts w:hint="default"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eastAsia="zh-CN"/>
              </w:rPr>
              <w:t>.00</w:t>
            </w:r>
          </w:p>
        </w:tc>
      </w:tr>
      <w:tr w14:paraId="2465FE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302" w:hRule="atLeast"/>
          <w:jc w:val="center"/>
        </w:trPr>
        <w:tc>
          <w:tcPr>
            <w:tcW w:w="702" w:type="dxa"/>
            <w:vAlign w:val="center"/>
          </w:tcPr>
          <w:p w14:paraId="0B3BAE49">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1035" w:type="dxa"/>
            <w:vAlign w:val="center"/>
          </w:tcPr>
          <w:p w14:paraId="77EE59B7">
            <w:pPr>
              <w:spacing w:before="1"/>
              <w:ind w:left="24"/>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3"/>
                <w:position w:val="17"/>
                <w:sz w:val="24"/>
                <w:szCs w:val="24"/>
                <w:highlight w:val="none"/>
                <w14:textFill>
                  <w14:solidFill>
                    <w14:schemeClr w14:val="tx1"/>
                  </w14:solidFill>
                </w14:textFill>
              </w:rPr>
              <w:t>工程质量</w:t>
            </w:r>
            <w:r>
              <w:rPr>
                <w:rFonts w:hint="eastAsia" w:ascii="仿宋" w:hAnsi="仿宋" w:eastAsia="仿宋" w:cs="仿宋"/>
                <w:color w:val="000000" w:themeColor="text1"/>
                <w:spacing w:val="-3"/>
                <w:position w:val="17"/>
                <w:sz w:val="24"/>
                <w:szCs w:val="24"/>
                <w:highlight w:val="none"/>
                <w:lang w:eastAsia="zh-CN"/>
                <w14:textFill>
                  <w14:solidFill>
                    <w14:schemeClr w14:val="tx1"/>
                  </w14:solidFill>
                </w14:textFill>
              </w:rPr>
              <w:t>保障</w:t>
            </w:r>
            <w:r>
              <w:rPr>
                <w:rFonts w:hint="eastAsia" w:ascii="仿宋" w:hAnsi="仿宋" w:eastAsia="仿宋" w:cs="仿宋"/>
                <w:color w:val="000000" w:themeColor="text1"/>
                <w:spacing w:val="-3"/>
                <w:position w:val="17"/>
                <w:sz w:val="24"/>
                <w:szCs w:val="24"/>
                <w:highlight w:val="none"/>
                <w14:textFill>
                  <w14:solidFill>
                    <w14:schemeClr w14:val="tx1"/>
                  </w14:solidFill>
                </w14:textFill>
              </w:rPr>
              <w:t>措施</w:t>
            </w:r>
          </w:p>
        </w:tc>
        <w:tc>
          <w:tcPr>
            <w:tcW w:w="6615" w:type="dxa"/>
            <w:vAlign w:val="center"/>
          </w:tcPr>
          <w:p w14:paraId="72C2394A">
            <w:pPr>
              <w:spacing w:before="118"/>
              <w:ind w:right="1" w:firstLine="460" w:firstLineChars="200"/>
              <w:jc w:val="left"/>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工程质量保障措施</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内容至少</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包括①工程质量保障方案；②工程质量控制体系；③材料和构配件的质量控制</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等；④施工检测及工序交验方案等。</w:t>
            </w:r>
          </w:p>
          <w:p w14:paraId="72191A1A">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以上内容专门针对本项目且符合本项目实际需求的得8分，每缺一项内容扣2分，若上述内容存在瑕疵，每存在1处瑕疵扣1分，扣完为止。</w:t>
            </w:r>
          </w:p>
          <w:p w14:paraId="3CCE3E30">
            <w:pPr>
              <w:spacing w:before="118"/>
              <w:ind w:right="1" w:firstLine="460" w:firstLineChars="200"/>
              <w:jc w:val="left"/>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41641D7A">
            <w:pPr>
              <w:jc w:val="center"/>
              <w:rPr>
                <w:rFonts w:hint="eastAsia" w:ascii="仿宋" w:hAnsi="仿宋" w:eastAsia="仿宋" w:cs="仿宋"/>
                <w:color w:val="000000" w:themeColor="text1"/>
                <w:sz w:val="24"/>
                <w:szCs w:val="24"/>
                <w:highlight w:val="none"/>
                <w:lang w:eastAsia="zh-CN"/>
                <w14:textFill>
                  <w14:solidFill>
                    <w14:schemeClr w14:val="tx1"/>
                  </w14:solidFill>
                </w14:textFill>
              </w:rPr>
            </w:pPr>
          </w:p>
          <w:p w14:paraId="403A7FB2">
            <w:pPr>
              <w:spacing w:before="78"/>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8.00</w:t>
            </w:r>
          </w:p>
        </w:tc>
      </w:tr>
      <w:tr w14:paraId="729B0F5E">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65" w:hRule="atLeast"/>
          <w:jc w:val="center"/>
        </w:trPr>
        <w:tc>
          <w:tcPr>
            <w:tcW w:w="702" w:type="dxa"/>
            <w:vAlign w:val="center"/>
          </w:tcPr>
          <w:p w14:paraId="025490F9">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1035" w:type="dxa"/>
            <w:vAlign w:val="center"/>
          </w:tcPr>
          <w:p w14:paraId="04DEECF5">
            <w:pPr>
              <w:jc w:val="center"/>
              <w:rPr>
                <w:rFonts w:hint="eastAsia" w:ascii="仿宋" w:hAnsi="仿宋" w:eastAsia="仿宋" w:cs="仿宋"/>
                <w:color w:val="000000" w:themeColor="text1"/>
                <w:spacing w:val="-3"/>
                <w:position w:val="17"/>
                <w:sz w:val="24"/>
                <w:szCs w:val="24"/>
                <w:highlight w:val="none"/>
                <w14:textFill>
                  <w14:solidFill>
                    <w14:schemeClr w14:val="tx1"/>
                  </w14:solidFill>
                </w14:textFill>
              </w:rPr>
            </w:pPr>
            <w:r>
              <w:rPr>
                <w:rFonts w:hint="eastAsia" w:ascii="仿宋" w:hAnsi="仿宋" w:eastAsia="仿宋" w:cs="仿宋"/>
                <w:color w:val="000000" w:themeColor="text1"/>
                <w:spacing w:val="-3"/>
                <w:position w:val="17"/>
                <w:sz w:val="24"/>
                <w:szCs w:val="24"/>
                <w:highlight w:val="none"/>
                <w14:textFill>
                  <w14:solidFill>
                    <w14:schemeClr w14:val="tx1"/>
                  </w14:solidFill>
                </w14:textFill>
              </w:rPr>
              <w:t>安全生产</w:t>
            </w:r>
          </w:p>
          <w:p w14:paraId="554FAFDB">
            <w:pPr>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3"/>
                <w:position w:val="17"/>
                <w:sz w:val="24"/>
                <w:szCs w:val="24"/>
                <w:highlight w:val="none"/>
                <w14:textFill>
                  <w14:solidFill>
                    <w14:schemeClr w14:val="tx1"/>
                  </w14:solidFill>
                </w14:textFill>
              </w:rPr>
              <w:t>措施</w:t>
            </w:r>
          </w:p>
        </w:tc>
        <w:tc>
          <w:tcPr>
            <w:tcW w:w="6615" w:type="dxa"/>
            <w:vAlign w:val="center"/>
          </w:tcPr>
          <w:p w14:paraId="10CEE02A">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安全生产措施</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内容至少</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包括①安全生产管理制度；②配置安全组织机构；③安全隐患排查、整改制度；④应急救援机制等。</w:t>
            </w:r>
          </w:p>
          <w:p w14:paraId="4C4DE33D">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以上内容专门针对本项目且符合本项目实际需求的得8分，每缺一项内容扣2分，若上述内容存在瑕疵，每存在1处瑕疵扣1分，扣完为止。</w:t>
            </w:r>
          </w:p>
          <w:p w14:paraId="4EEFCD94">
            <w:pPr>
              <w:spacing w:before="118"/>
              <w:ind w:right="1" w:firstLine="460" w:firstLineChars="200"/>
              <w:jc w:val="left"/>
              <w:rPr>
                <w:rFonts w:hint="eastAsia" w:ascii="仿宋" w:hAnsi="仿宋" w:eastAsia="仿宋" w:cs="仿宋"/>
                <w:color w:val="000000" w:themeColor="text1"/>
                <w:spacing w:val="8"/>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730D4FFD">
            <w:pPr>
              <w:spacing w:before="78"/>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8.00</w:t>
            </w:r>
          </w:p>
        </w:tc>
      </w:tr>
      <w:tr w14:paraId="6D05464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385" w:hRule="atLeast"/>
          <w:jc w:val="center"/>
        </w:trPr>
        <w:tc>
          <w:tcPr>
            <w:tcW w:w="702" w:type="dxa"/>
            <w:vAlign w:val="center"/>
          </w:tcPr>
          <w:p w14:paraId="52A4F2E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w:t>
            </w:r>
          </w:p>
        </w:tc>
        <w:tc>
          <w:tcPr>
            <w:tcW w:w="1035" w:type="dxa"/>
            <w:vAlign w:val="center"/>
          </w:tcPr>
          <w:p w14:paraId="5FDF5807">
            <w:pPr>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3"/>
                <w:position w:val="17"/>
                <w:sz w:val="24"/>
                <w:szCs w:val="24"/>
                <w:highlight w:val="none"/>
                <w14:textFill>
                  <w14:solidFill>
                    <w14:schemeClr w14:val="tx1"/>
                  </w14:solidFill>
                </w14:textFill>
              </w:rPr>
              <w:t>文明及环境保护措施</w:t>
            </w:r>
          </w:p>
        </w:tc>
        <w:tc>
          <w:tcPr>
            <w:tcW w:w="6615" w:type="dxa"/>
            <w:vAlign w:val="center"/>
          </w:tcPr>
          <w:p w14:paraId="7C9B4D4E">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文明及环境保护措施</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内容至少</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包括①文明及环境保护管理制度；②防尘降噪措施；③节能减排措施；④文明及环境保护施工监督检查机制等。</w:t>
            </w:r>
          </w:p>
          <w:p w14:paraId="1212482C">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以上内容专门针对本项目且符合本项目实际需求的得8分，每缺一项内容扣2分，若上述内容存在瑕疵，每存在1处瑕疵扣1分，扣完为止。</w:t>
            </w:r>
          </w:p>
          <w:p w14:paraId="49C7B893">
            <w:pPr>
              <w:spacing w:before="118"/>
              <w:ind w:right="1" w:firstLine="460" w:firstLineChars="200"/>
              <w:jc w:val="left"/>
              <w:rPr>
                <w:rFonts w:hint="eastAsia"/>
                <w:color w:val="000000" w:themeColor="text1"/>
                <w:spacing w:val="8"/>
                <w:highlight w:val="none"/>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16E3A9D5">
            <w:pPr>
              <w:rPr>
                <w:rFonts w:hint="eastAsia" w:ascii="仿宋" w:hAnsi="仿宋" w:eastAsia="仿宋" w:cs="仿宋"/>
                <w:color w:val="000000" w:themeColor="text1"/>
                <w:sz w:val="24"/>
                <w:szCs w:val="24"/>
                <w:highlight w:val="none"/>
                <w:lang w:eastAsia="zh-CN"/>
                <w14:textFill>
                  <w14:solidFill>
                    <w14:schemeClr w14:val="tx1"/>
                  </w14:solidFill>
                </w14:textFill>
              </w:rPr>
            </w:pPr>
          </w:p>
          <w:p w14:paraId="40F9B441">
            <w:pPr>
              <w:spacing w:before="78"/>
              <w:jc w:val="center"/>
              <w:rPr>
                <w:rFonts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8.00</w:t>
            </w:r>
          </w:p>
          <w:p w14:paraId="2B4FF2D5">
            <w:pPr>
              <w:pStyle w:val="2"/>
              <w:rPr>
                <w:rFonts w:hint="eastAsia"/>
                <w:highlight w:val="none"/>
              </w:rPr>
            </w:pPr>
          </w:p>
        </w:tc>
      </w:tr>
      <w:tr w14:paraId="65E37E1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65" w:hRule="atLeast"/>
          <w:jc w:val="center"/>
        </w:trPr>
        <w:tc>
          <w:tcPr>
            <w:tcW w:w="702" w:type="dxa"/>
            <w:vAlign w:val="center"/>
          </w:tcPr>
          <w:p w14:paraId="58C6A028">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w:t>
            </w:r>
          </w:p>
        </w:tc>
        <w:tc>
          <w:tcPr>
            <w:tcW w:w="1035" w:type="dxa"/>
            <w:vAlign w:val="center"/>
          </w:tcPr>
          <w:p w14:paraId="3FC5A89E">
            <w:pPr>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position w:val="17"/>
                <w:sz w:val="24"/>
                <w:szCs w:val="24"/>
                <w:highlight w:val="none"/>
                <w:lang w:eastAsia="zh-CN"/>
                <w14:textFill>
                  <w14:solidFill>
                    <w14:schemeClr w14:val="tx1"/>
                  </w14:solidFill>
                </w14:textFill>
              </w:rPr>
              <w:t>施工部署与进度计划</w:t>
            </w:r>
          </w:p>
        </w:tc>
        <w:tc>
          <w:tcPr>
            <w:tcW w:w="6615" w:type="dxa"/>
            <w:vAlign w:val="center"/>
          </w:tcPr>
          <w:p w14:paraId="28D1339A">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施工部署与进度计划内容至少包括①进工期目标控制和保证措施；②材料供应措施③成品、半成品保护监管措施等。</w:t>
            </w:r>
          </w:p>
          <w:p w14:paraId="48B50724">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w:t>
            </w:r>
            <w:r>
              <w:rPr>
                <w:rFonts w:hint="eastAsia" w:ascii="仿宋" w:hAnsi="仿宋" w:eastAsia="仿宋" w:cs="仿宋"/>
                <w:color w:val="000000" w:themeColor="text1"/>
                <w:spacing w:val="-5"/>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分，每缺一项内容扣2分，若上述内容存在瑕疵，每存在1处瑕疵扣1分，扣完为止。</w:t>
            </w:r>
          </w:p>
          <w:p w14:paraId="0F20648A">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不完整或缺少关键点</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，或</w:t>
            </w:r>
            <w:r>
              <w:rPr>
                <w:rFonts w:hint="eastAsia" w:ascii="仿宋" w:hAnsi="仿宋" w:eastAsia="仿宋" w:cs="仿宋"/>
                <w:color w:val="000000" w:themeColor="text1"/>
                <w:spacing w:val="-5"/>
                <w:sz w:val="24"/>
                <w:szCs w:val="24"/>
                <w:highlight w:val="none"/>
                <w:lang w:val="zh-CN" w:eastAsia="zh-CN"/>
                <w14:textFill>
                  <w14:solidFill>
                    <w14:schemeClr w14:val="tx1"/>
                  </w14:solidFill>
                </w14:textFill>
              </w:rPr>
              <w:t>不适用本项目特性、套用其他项目内容或</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内容不能满足本项目实际需求的。</w:t>
            </w:r>
          </w:p>
        </w:tc>
        <w:tc>
          <w:tcPr>
            <w:tcW w:w="787" w:type="dxa"/>
            <w:vAlign w:val="center"/>
          </w:tcPr>
          <w:p w14:paraId="0F20308D">
            <w:pPr>
              <w:rPr>
                <w:rFonts w:hint="eastAsia" w:ascii="仿宋" w:hAnsi="仿宋" w:eastAsia="仿宋" w:cs="仿宋"/>
                <w:color w:val="000000" w:themeColor="text1"/>
                <w:sz w:val="24"/>
                <w:szCs w:val="24"/>
                <w:highlight w:val="none"/>
                <w:lang w:eastAsia="zh-CN"/>
                <w14:textFill>
                  <w14:solidFill>
                    <w14:schemeClr w14:val="tx1"/>
                  </w14:solidFill>
                </w14:textFill>
              </w:rPr>
            </w:pPr>
          </w:p>
          <w:p w14:paraId="6C356F74">
            <w:pPr>
              <w:pStyle w:val="2"/>
              <w:rPr>
                <w:rFonts w:hint="eastAsia"/>
                <w:highlight w:val="none"/>
              </w:rPr>
            </w:pPr>
            <w:r>
              <w:rPr>
                <w:rFonts w:hint="eastAsia"/>
                <w:highlight w:val="none"/>
              </w:rPr>
              <w:t>6.00</w:t>
            </w:r>
          </w:p>
        </w:tc>
      </w:tr>
      <w:tr w14:paraId="4807051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65" w:hRule="atLeast"/>
          <w:jc w:val="center"/>
        </w:trPr>
        <w:tc>
          <w:tcPr>
            <w:tcW w:w="702" w:type="dxa"/>
            <w:vAlign w:val="center"/>
          </w:tcPr>
          <w:p w14:paraId="77E0CB4C">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w:t>
            </w:r>
          </w:p>
        </w:tc>
        <w:tc>
          <w:tcPr>
            <w:tcW w:w="1035" w:type="dxa"/>
            <w:vAlign w:val="center"/>
          </w:tcPr>
          <w:p w14:paraId="7EEA9DC4">
            <w:pPr>
              <w:spacing w:before="78"/>
              <w:ind w:left="24"/>
              <w:jc w:val="center"/>
              <w:rPr>
                <w:rFonts w:hint="eastAsia" w:ascii="仿宋" w:hAnsi="仿宋" w:eastAsia="仿宋" w:cs="仿宋"/>
                <w:color w:val="000000" w:themeColor="text1"/>
                <w:spacing w:val="9"/>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position w:val="17"/>
                <w:sz w:val="24"/>
                <w:szCs w:val="24"/>
                <w:highlight w:val="none"/>
                <w:lang w:eastAsia="zh-CN"/>
                <w14:textFill>
                  <w14:solidFill>
                    <w14:schemeClr w14:val="tx1"/>
                  </w14:solidFill>
                </w14:textFill>
              </w:rPr>
              <w:t>施工机械配置和材料投入计划</w:t>
            </w:r>
          </w:p>
        </w:tc>
        <w:tc>
          <w:tcPr>
            <w:tcW w:w="6615" w:type="dxa"/>
            <w:vAlign w:val="center"/>
          </w:tcPr>
          <w:p w14:paraId="684F9873">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施工机械配置和材料投入计划内容至少包括①施工机械配置计划；②施工材料投入计划；③施工机械、材料的维护、监督和检查等。 </w:t>
            </w:r>
          </w:p>
          <w:p w14:paraId="76D321FE">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w:t>
            </w:r>
            <w:r>
              <w:rPr>
                <w:rFonts w:hint="eastAsia" w:ascii="仿宋" w:hAnsi="仿宋" w:eastAsia="仿宋" w:cs="仿宋"/>
                <w:color w:val="000000" w:themeColor="text1"/>
                <w:spacing w:val="-5"/>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分，每缺一项内容扣2分，若上述内容存在瑕疵，每存在1处瑕疵扣1分，扣完为止。 </w:t>
            </w:r>
          </w:p>
          <w:p w14:paraId="69FD5417">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“瑕疵”指缺少一项内容，或内容明显错误，或内容不完整或缺少关键点，或不适用本项目特性、套用其他项目内容或内容不能满足本项目实际需求的。</w:t>
            </w:r>
          </w:p>
        </w:tc>
        <w:tc>
          <w:tcPr>
            <w:tcW w:w="787" w:type="dxa"/>
            <w:vAlign w:val="center"/>
          </w:tcPr>
          <w:p w14:paraId="191FF618">
            <w:pPr>
              <w:jc w:val="center"/>
              <w:rPr>
                <w:rFonts w:hint="eastAsia" w:ascii="仿宋" w:hAnsi="仿宋" w:eastAsia="仿宋" w:cs="仿宋"/>
                <w:color w:val="000000" w:themeColor="text1"/>
                <w:sz w:val="24"/>
                <w:szCs w:val="24"/>
                <w:highlight w:val="none"/>
                <w:lang w:eastAsia="zh-CN"/>
                <w14:textFill>
                  <w14:solidFill>
                    <w14:schemeClr w14:val="tx1"/>
                  </w14:solidFill>
                </w14:textFill>
              </w:rPr>
            </w:pPr>
          </w:p>
          <w:p w14:paraId="2AE24C1B">
            <w:pPr>
              <w:pStyle w:val="2"/>
              <w:rPr>
                <w:rFonts w:hint="eastAsia"/>
                <w:highlight w:val="none"/>
              </w:rPr>
            </w:pPr>
            <w:r>
              <w:rPr>
                <w:rFonts w:hint="eastAsia"/>
                <w:highlight w:val="none"/>
              </w:rPr>
              <w:t>6.00</w:t>
            </w:r>
          </w:p>
        </w:tc>
      </w:tr>
      <w:tr w14:paraId="3692FD7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65" w:hRule="atLeast"/>
          <w:jc w:val="center"/>
        </w:trPr>
        <w:tc>
          <w:tcPr>
            <w:tcW w:w="702" w:type="dxa"/>
            <w:vAlign w:val="center"/>
          </w:tcPr>
          <w:p w14:paraId="06164BD3">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w:t>
            </w:r>
          </w:p>
        </w:tc>
        <w:tc>
          <w:tcPr>
            <w:tcW w:w="1035" w:type="dxa"/>
            <w:vAlign w:val="center"/>
          </w:tcPr>
          <w:p w14:paraId="1EE56363">
            <w:pPr>
              <w:spacing w:before="78"/>
              <w:ind w:left="24"/>
              <w:jc w:val="center"/>
              <w:rPr>
                <w:rFonts w:hint="eastAsia" w:ascii="仿宋" w:hAnsi="仿宋" w:eastAsia="仿宋" w:cs="仿宋"/>
                <w:color w:val="000000" w:themeColor="text1"/>
                <w:spacing w:val="-5"/>
                <w:position w:val="17"/>
                <w:sz w:val="24"/>
                <w:szCs w:val="24"/>
                <w:highlight w:val="none"/>
                <w14:textFill>
                  <w14:solidFill>
                    <w14:schemeClr w14:val="tx1"/>
                  </w14:solidFill>
                </w14:textFill>
              </w:rPr>
            </w:pPr>
            <w:r>
              <w:rPr>
                <w:rFonts w:hint="eastAsia" w:ascii="仿宋" w:hAnsi="仿宋" w:eastAsia="仿宋" w:cs="仿宋"/>
                <w:color w:val="000000" w:themeColor="text1"/>
                <w:spacing w:val="-5"/>
                <w:position w:val="17"/>
                <w:sz w:val="24"/>
                <w:szCs w:val="24"/>
                <w:highlight w:val="none"/>
                <w14:textFill>
                  <w14:solidFill>
                    <w14:schemeClr w14:val="tx1"/>
                  </w14:solidFill>
                </w14:textFill>
              </w:rPr>
              <w:t>主要材料</w:t>
            </w:r>
          </w:p>
          <w:p w14:paraId="4A796DCE">
            <w:pPr>
              <w:spacing w:before="78"/>
              <w:ind w:left="24"/>
              <w:jc w:val="center"/>
              <w:rPr>
                <w:rFonts w:hint="eastAsia" w:ascii="仿宋" w:hAnsi="仿宋" w:eastAsia="仿宋" w:cs="仿宋"/>
                <w:color w:val="000000" w:themeColor="text1"/>
                <w:spacing w:val="-5"/>
                <w:position w:val="17"/>
                <w:sz w:val="24"/>
                <w:szCs w:val="24"/>
                <w:highlight w:val="none"/>
                <w14:textFill>
                  <w14:solidFill>
                    <w14:schemeClr w14:val="tx1"/>
                  </w14:solidFill>
                </w14:textFill>
              </w:rPr>
            </w:pPr>
            <w:r>
              <w:rPr>
                <w:rFonts w:hint="eastAsia" w:ascii="仿宋" w:hAnsi="仿宋" w:eastAsia="仿宋" w:cs="仿宋"/>
                <w:color w:val="000000" w:themeColor="text1"/>
                <w:spacing w:val="-5"/>
                <w:position w:val="17"/>
                <w:sz w:val="24"/>
                <w:szCs w:val="24"/>
                <w:highlight w:val="none"/>
                <w14:textFill>
                  <w14:solidFill>
                    <w14:schemeClr w14:val="tx1"/>
                  </w14:solidFill>
                </w14:textFill>
              </w:rPr>
              <w:t>选型</w:t>
            </w:r>
          </w:p>
        </w:tc>
        <w:tc>
          <w:tcPr>
            <w:tcW w:w="6615" w:type="dxa"/>
            <w:vAlign w:val="center"/>
          </w:tcPr>
          <w:p w14:paraId="68AF61FC">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提供主要材料清单，主要材料选型内容至少包括①主要材料清单品目，②主要材料品牌等。 </w:t>
            </w:r>
          </w:p>
          <w:p w14:paraId="5D75127F">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以上内容专门针对本项目且符合本项目实际需求的得4分，每缺一项内容扣2分，若上述内容存在瑕疵，每存在1处瑕疵扣1分，扣完为止。 </w:t>
            </w:r>
          </w:p>
          <w:p w14:paraId="265D9AF2">
            <w:pPr>
              <w:spacing w:before="118"/>
              <w:ind w:right="1" w:firstLine="460" w:firstLineChars="200"/>
              <w:jc w:val="left"/>
              <w:rPr>
                <w:rFonts w:hint="eastAsia"/>
                <w:highlight w:val="none"/>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“瑕疵”指缺少一项内容，或内容明显错误，或内容不完整或缺少关键点，或不适用本项目特性容或内容不能满足本项目实际需求的。</w:t>
            </w:r>
          </w:p>
        </w:tc>
        <w:tc>
          <w:tcPr>
            <w:tcW w:w="787" w:type="dxa"/>
            <w:vAlign w:val="center"/>
          </w:tcPr>
          <w:p w14:paraId="3BC48E6C">
            <w:pPr>
              <w:spacing w:before="78"/>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4.00</w:t>
            </w:r>
          </w:p>
        </w:tc>
      </w:tr>
      <w:tr w14:paraId="758DF99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2044" w:hRule="atLeast"/>
          <w:jc w:val="center"/>
        </w:trPr>
        <w:tc>
          <w:tcPr>
            <w:tcW w:w="702" w:type="dxa"/>
            <w:vAlign w:val="center"/>
          </w:tcPr>
          <w:p w14:paraId="47CC79A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w:t>
            </w:r>
          </w:p>
        </w:tc>
        <w:tc>
          <w:tcPr>
            <w:tcW w:w="1035" w:type="dxa"/>
            <w:vAlign w:val="center"/>
          </w:tcPr>
          <w:p w14:paraId="5F773ED4">
            <w:pPr>
              <w:spacing w:before="78"/>
              <w:ind w:left="24"/>
              <w:jc w:val="center"/>
              <w:rPr>
                <w:rFonts w:hint="eastAsia" w:ascii="仿宋" w:hAnsi="仿宋" w:eastAsia="仿宋" w:cs="仿宋"/>
                <w:color w:val="000000" w:themeColor="text1"/>
                <w:spacing w:val="-5"/>
                <w:position w:val="17"/>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position w:val="17"/>
                <w:sz w:val="24"/>
                <w:szCs w:val="24"/>
                <w:highlight w:val="none"/>
                <w:lang w:eastAsia="zh-CN"/>
                <w14:textFill>
                  <w14:solidFill>
                    <w14:schemeClr w14:val="tx1"/>
                  </w14:solidFill>
                </w14:textFill>
              </w:rPr>
              <w:t>施工组织和项目管理机构</w:t>
            </w:r>
          </w:p>
        </w:tc>
        <w:tc>
          <w:tcPr>
            <w:tcW w:w="6615" w:type="dxa"/>
            <w:vAlign w:val="center"/>
          </w:tcPr>
          <w:p w14:paraId="466F6A63">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施工组织和项目管理机构内容至少包括①项目管理配置（配备施工员、安全员、资料员、质量员、材料员等）;②管理制度等。 </w:t>
            </w:r>
          </w:p>
          <w:p w14:paraId="703B7BD5">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以上内容专门针对本项目且符合本项目实际需求的得4分，每缺一项内容扣</w:t>
            </w:r>
            <w:r>
              <w:rPr>
                <w:rFonts w:hint="eastAsia" w:ascii="仿宋" w:hAnsi="仿宋" w:eastAsia="仿宋" w:cs="仿宋"/>
                <w:color w:val="000000" w:themeColor="text1"/>
                <w:spacing w:val="-5"/>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分，若上述内容存在瑕疵，每存在1处瑕疵扣1分，扣完为止。 </w:t>
            </w:r>
          </w:p>
          <w:p w14:paraId="7BE0AFAB">
            <w:pPr>
              <w:spacing w:before="118"/>
              <w:ind w:right="1" w:firstLine="460" w:firstLineChars="20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“瑕疵”指缺少一项内容，或内容明显错误，或内容不完整或缺少关键点，或不适用本项目特性、套用其他项目内容或内容不能满足本项目实际需求的。</w:t>
            </w:r>
          </w:p>
        </w:tc>
        <w:tc>
          <w:tcPr>
            <w:tcW w:w="787" w:type="dxa"/>
            <w:vAlign w:val="center"/>
          </w:tcPr>
          <w:p w14:paraId="4BF2FFE8">
            <w:pPr>
              <w:jc w:val="center"/>
              <w:rPr>
                <w:rFonts w:hint="eastAsia" w:ascii="仿宋" w:hAnsi="仿宋" w:eastAsia="仿宋" w:cs="仿宋"/>
                <w:color w:val="000000" w:themeColor="text1"/>
                <w:sz w:val="24"/>
                <w:szCs w:val="24"/>
                <w:highlight w:val="none"/>
                <w:lang w:eastAsia="zh-CN"/>
                <w14:textFill>
                  <w14:solidFill>
                    <w14:schemeClr w14:val="tx1"/>
                  </w14:solidFill>
                </w14:textFill>
              </w:rPr>
            </w:pPr>
          </w:p>
          <w:p w14:paraId="1046CC8F">
            <w:pPr>
              <w:spacing w:before="78"/>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4.00</w:t>
            </w:r>
          </w:p>
        </w:tc>
      </w:tr>
      <w:tr w14:paraId="7A995A3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126" w:hRule="atLeast"/>
          <w:jc w:val="center"/>
        </w:trPr>
        <w:tc>
          <w:tcPr>
            <w:tcW w:w="702" w:type="dxa"/>
            <w:vAlign w:val="center"/>
          </w:tcPr>
          <w:p w14:paraId="05A9FA51">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10</w:t>
            </w:r>
          </w:p>
        </w:tc>
        <w:tc>
          <w:tcPr>
            <w:tcW w:w="1035" w:type="dxa"/>
            <w:vAlign w:val="center"/>
          </w:tcPr>
          <w:p w14:paraId="36DD61AD">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业绩</w:t>
            </w:r>
          </w:p>
        </w:tc>
        <w:tc>
          <w:tcPr>
            <w:tcW w:w="6615" w:type="dxa"/>
            <w:vAlign w:val="center"/>
          </w:tcPr>
          <w:p w14:paraId="5CC0CCD5">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 xml:space="preserve">投标人具有2021年10月1日至今（以合同签订时间为准）的同类项目业绩。每提供一项得1分，满分6分。 </w:t>
            </w:r>
          </w:p>
          <w:p w14:paraId="193661F0">
            <w:pPr>
              <w:spacing w:before="118"/>
              <w:ind w:right="1" w:firstLine="460" w:firstLineChars="200"/>
              <w:jc w:val="left"/>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注：投标文件中提供合同复印件加盖投标人公章。</w:t>
            </w:r>
          </w:p>
        </w:tc>
        <w:tc>
          <w:tcPr>
            <w:tcW w:w="787" w:type="dxa"/>
            <w:vAlign w:val="center"/>
          </w:tcPr>
          <w:p w14:paraId="79058F0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6.00</w:t>
            </w:r>
          </w:p>
        </w:tc>
      </w:tr>
      <w:tr w14:paraId="08BD9E9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356" w:hRule="atLeast"/>
          <w:jc w:val="center"/>
        </w:trPr>
        <w:tc>
          <w:tcPr>
            <w:tcW w:w="702" w:type="dxa"/>
            <w:vAlign w:val="center"/>
          </w:tcPr>
          <w:p w14:paraId="1AE2E8E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w:t>
            </w:r>
          </w:p>
        </w:tc>
        <w:tc>
          <w:tcPr>
            <w:tcW w:w="1035" w:type="dxa"/>
            <w:vAlign w:val="center"/>
          </w:tcPr>
          <w:p w14:paraId="43C69CB0">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价格分</w:t>
            </w:r>
          </w:p>
        </w:tc>
        <w:tc>
          <w:tcPr>
            <w:tcW w:w="6615" w:type="dxa"/>
            <w:vAlign w:val="center"/>
          </w:tcPr>
          <w:p w14:paraId="28968186">
            <w:pPr>
              <w:spacing w:before="118"/>
              <w:ind w:right="1" w:firstLine="460" w:firstLineChars="200"/>
              <w:jc w:val="left"/>
              <w:rPr>
                <w:rFonts w:hint="eastAsia" w:ascii="仿宋" w:hAnsi="仿宋" w:eastAsia="仿宋" w:cs="仿宋"/>
                <w:color w:val="000000" w:themeColor="text1"/>
                <w:spacing w:val="-5"/>
                <w:sz w:val="24"/>
                <w:szCs w:val="24"/>
                <w:highlight w:val="none"/>
                <w:lang w:eastAsia="zh-CN"/>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评标标准价=各有效投标人投标报价的算术平均值。</w:t>
            </w:r>
          </w:p>
          <w:p w14:paraId="2ECFCB71">
            <w:pPr>
              <w:spacing w:before="118"/>
              <w:ind w:right="1" w:firstLine="460" w:firstLineChars="200"/>
              <w:jc w:val="left"/>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pacing w:val="-5"/>
                <w:sz w:val="24"/>
                <w:szCs w:val="24"/>
                <w:highlight w:val="none"/>
                <w:lang w:eastAsia="zh-CN"/>
                <w14:textFill>
                  <w14:solidFill>
                    <w14:schemeClr w14:val="tx1"/>
                  </w14:solidFill>
                </w14:textFill>
              </w:rPr>
              <w:t>最高得分点=评审标准价；其余投标报价与该标准价比较，每高于1％扣0.5分，每低于1％扣0.25分,扣完为止。</w:t>
            </w:r>
          </w:p>
        </w:tc>
        <w:tc>
          <w:tcPr>
            <w:tcW w:w="787" w:type="dxa"/>
            <w:vAlign w:val="center"/>
          </w:tcPr>
          <w:p w14:paraId="43B9745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30.00</w:t>
            </w:r>
          </w:p>
        </w:tc>
      </w:tr>
    </w:tbl>
    <w:p w14:paraId="5AF4FB9F">
      <w:pPr>
        <w:spacing w:line="129" w:lineRule="exact"/>
        <w:rPr>
          <w:rFonts w:hint="eastAsia" w:ascii="仿宋" w:hAnsi="仿宋" w:eastAsia="仿宋" w:cs="仿宋"/>
          <w:color w:val="000000" w:themeColor="text1"/>
          <w:sz w:val="24"/>
          <w:szCs w:val="24"/>
          <w:highlight w:val="none"/>
          <w14:textFill>
            <w14:solidFill>
              <w14:schemeClr w14:val="tx1"/>
            </w14:solidFill>
          </w14:textFill>
        </w:rPr>
      </w:pPr>
    </w:p>
    <w:p w14:paraId="047A3072">
      <w:pPr>
        <w:spacing w:before="28" w:line="228" w:lineRule="auto"/>
        <w:ind w:left="13"/>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7"/>
          <w:sz w:val="24"/>
          <w:szCs w:val="24"/>
          <w:highlight w:val="none"/>
          <w14:textOutline w14:w="3454" w14:cap="sq" w14:cmpd="sng" w14:algn="ctr">
            <w14:solidFill>
              <w14:srgbClr w14:val="000000"/>
            </w14:solidFill>
            <w14:prstDash w14:val="solid"/>
            <w14:bevel/>
          </w14:textOutline>
          <w14:textFill>
            <w14:solidFill>
              <w14:schemeClr w14:val="tx1"/>
            </w14:solidFill>
          </w14:textFill>
        </w:rPr>
        <w:t>价格扣除</w:t>
      </w:r>
    </w:p>
    <w:p w14:paraId="3D1B5CB8">
      <w:pPr>
        <w:spacing w:before="67"/>
        <w:rPr>
          <w:rFonts w:hint="eastAsia" w:ascii="仿宋" w:hAnsi="仿宋" w:eastAsia="仿宋" w:cs="仿宋"/>
          <w:color w:val="000000" w:themeColor="text1"/>
          <w:sz w:val="24"/>
          <w:szCs w:val="24"/>
          <w:highlight w:val="none"/>
          <w14:textFill>
            <w14:solidFill>
              <w14:schemeClr w14:val="tx1"/>
            </w14:solidFill>
          </w14:textFill>
        </w:rPr>
      </w:pPr>
    </w:p>
    <w:tbl>
      <w:tblPr>
        <w:tblStyle w:val="24"/>
        <w:tblW w:w="93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7"/>
        <w:gridCol w:w="1838"/>
        <w:gridCol w:w="1836"/>
        <w:gridCol w:w="917"/>
        <w:gridCol w:w="1836"/>
        <w:gridCol w:w="1972"/>
      </w:tblGrid>
      <w:tr w14:paraId="65E94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927" w:type="dxa"/>
          </w:tcPr>
          <w:p w14:paraId="0CC33FF5">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序号</w:t>
            </w:r>
          </w:p>
        </w:tc>
        <w:tc>
          <w:tcPr>
            <w:tcW w:w="1838" w:type="dxa"/>
          </w:tcPr>
          <w:p w14:paraId="2762224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情形</w:t>
            </w:r>
          </w:p>
        </w:tc>
        <w:tc>
          <w:tcPr>
            <w:tcW w:w="1836" w:type="dxa"/>
          </w:tcPr>
          <w:p w14:paraId="3ACD65DF">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适用对象</w:t>
            </w:r>
          </w:p>
        </w:tc>
        <w:tc>
          <w:tcPr>
            <w:tcW w:w="917" w:type="dxa"/>
          </w:tcPr>
          <w:p w14:paraId="4D3FDB77">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比例</w:t>
            </w:r>
          </w:p>
        </w:tc>
        <w:tc>
          <w:tcPr>
            <w:tcW w:w="1836" w:type="dxa"/>
          </w:tcPr>
          <w:p w14:paraId="74389EE6">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说明</w:t>
            </w:r>
          </w:p>
        </w:tc>
        <w:tc>
          <w:tcPr>
            <w:tcW w:w="1972" w:type="dxa"/>
          </w:tcPr>
          <w:p w14:paraId="725941CB">
            <w:pPr>
              <w:pStyle w:val="25"/>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关联格式</w:t>
            </w:r>
          </w:p>
        </w:tc>
      </w:tr>
      <w:tr w14:paraId="2A1B2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9326" w:type="dxa"/>
            <w:gridSpan w:val="6"/>
          </w:tcPr>
          <w:p w14:paraId="74DE3F0D">
            <w:pPr>
              <w:pStyle w:val="25"/>
              <w:rPr>
                <w:rFonts w:hint="eastAsia"/>
                <w:highlight w:val="none"/>
              </w:rPr>
            </w:pPr>
            <w:r>
              <w:rPr>
                <w:rFonts w:hint="eastAsia"/>
                <w:color w:val="auto"/>
                <w:highlight w:val="none"/>
              </w:rPr>
              <w:t>无</w:t>
            </w:r>
          </w:p>
        </w:tc>
      </w:tr>
    </w:tbl>
    <w:p w14:paraId="66D9F1EF">
      <w:pPr>
        <w:spacing w:before="30" w:line="228" w:lineRule="auto"/>
        <w:ind w:left="43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说明：</w:t>
      </w:r>
    </w:p>
    <w:p w14:paraId="6118CD8C">
      <w:pPr>
        <w:spacing w:before="161" w:line="228" w:lineRule="auto"/>
        <w:ind w:left="442"/>
        <w:rPr>
          <w:rFonts w:hint="eastAsia" w:ascii="仿宋" w:hAnsi="仿宋" w:eastAsia="仿宋" w:cs="仿宋"/>
          <w:sz w:val="24"/>
          <w:szCs w:val="24"/>
          <w:highlight w:val="none"/>
          <w:lang w:eastAsia="zh-CN"/>
        </w:rPr>
      </w:pPr>
      <w:r>
        <w:rPr>
          <w:rFonts w:hint="eastAsia" w:ascii="仿宋" w:hAnsi="仿宋" w:eastAsia="仿宋" w:cs="仿宋"/>
          <w:spacing w:val="7"/>
          <w:sz w:val="24"/>
          <w:szCs w:val="24"/>
          <w:highlight w:val="none"/>
          <w:lang w:eastAsia="zh-CN"/>
        </w:rPr>
        <w:t>1</w:t>
      </w:r>
      <w:r>
        <w:rPr>
          <w:rFonts w:hint="eastAsia" w:ascii="仿宋" w:hAnsi="仿宋" w:eastAsia="仿宋" w:cs="仿宋"/>
          <w:spacing w:val="-12"/>
          <w:sz w:val="24"/>
          <w:szCs w:val="24"/>
          <w:highlight w:val="none"/>
          <w:lang w:eastAsia="zh-CN"/>
        </w:rPr>
        <w:t xml:space="preserve"> </w:t>
      </w:r>
      <w:r>
        <w:rPr>
          <w:rFonts w:hint="eastAsia" w:ascii="仿宋" w:hAnsi="仿宋" w:eastAsia="仿宋" w:cs="仿宋"/>
          <w:spacing w:val="7"/>
          <w:sz w:val="24"/>
          <w:szCs w:val="24"/>
          <w:highlight w:val="none"/>
          <w:lang w:eastAsia="zh-CN"/>
        </w:rPr>
        <w:t>、评分的取值按四舍五入法，保留小数点后两位；</w:t>
      </w:r>
    </w:p>
    <w:p w14:paraId="29281BB2">
      <w:pPr>
        <w:spacing w:before="163" w:line="227" w:lineRule="auto"/>
        <w:ind w:left="436"/>
        <w:rPr>
          <w:rFonts w:hint="eastAsia" w:ascii="仿宋" w:hAnsi="仿宋" w:eastAsia="仿宋" w:cs="仿宋"/>
          <w:sz w:val="24"/>
          <w:szCs w:val="24"/>
          <w:highlight w:val="none"/>
          <w:lang w:eastAsia="zh-CN"/>
        </w:rPr>
      </w:pPr>
      <w:r>
        <w:rPr>
          <w:rFonts w:hint="eastAsia" w:ascii="仿宋" w:hAnsi="仿宋" w:eastAsia="仿宋" w:cs="仿宋"/>
          <w:spacing w:val="8"/>
          <w:sz w:val="24"/>
          <w:szCs w:val="24"/>
          <w:highlight w:val="none"/>
          <w:lang w:eastAsia="zh-CN"/>
        </w:rPr>
        <w:t>2</w:t>
      </w:r>
      <w:r>
        <w:rPr>
          <w:rFonts w:hint="eastAsia" w:ascii="仿宋" w:hAnsi="仿宋" w:eastAsia="仿宋" w:cs="仿宋"/>
          <w:spacing w:val="-22"/>
          <w:sz w:val="24"/>
          <w:szCs w:val="24"/>
          <w:highlight w:val="none"/>
          <w:lang w:eastAsia="zh-CN"/>
        </w:rPr>
        <w:t xml:space="preserve"> </w:t>
      </w:r>
      <w:r>
        <w:rPr>
          <w:rFonts w:hint="eastAsia" w:ascii="仿宋" w:hAnsi="仿宋" w:eastAsia="仿宋" w:cs="仿宋"/>
          <w:spacing w:val="8"/>
          <w:sz w:val="24"/>
          <w:szCs w:val="24"/>
          <w:highlight w:val="none"/>
          <w:lang w:eastAsia="zh-CN"/>
        </w:rPr>
        <w:t>、评分标准中要求提供复印件的证明材料须清晰</w:t>
      </w:r>
      <w:r>
        <w:rPr>
          <w:rFonts w:hint="eastAsia" w:ascii="仿宋" w:hAnsi="仿宋" w:eastAsia="仿宋" w:cs="仿宋"/>
          <w:spacing w:val="7"/>
          <w:sz w:val="24"/>
          <w:szCs w:val="24"/>
          <w:highlight w:val="none"/>
          <w:lang w:eastAsia="zh-CN"/>
        </w:rPr>
        <w:t>可辨并加盖公章。</w:t>
      </w:r>
    </w:p>
    <w:p w14:paraId="1E8BCF7E">
      <w:pPr>
        <w:spacing w:before="166" w:line="228" w:lineRule="auto"/>
        <w:ind w:left="15"/>
        <w:outlineLvl w:val="1"/>
        <w:rPr>
          <w:rFonts w:hint="eastAsia" w:ascii="仿宋" w:hAnsi="仿宋" w:eastAsia="仿宋" w:cs="仿宋"/>
          <w:sz w:val="24"/>
          <w:szCs w:val="24"/>
          <w:highlight w:val="none"/>
          <w:lang w:eastAsia="zh-CN"/>
        </w:rPr>
      </w:pPr>
      <w:bookmarkStart w:id="87" w:name="_Toc21376"/>
      <w:r>
        <w:rPr>
          <w:rFonts w:hint="eastAsia" w:ascii="仿宋" w:hAnsi="仿宋" w:eastAsia="仿宋" w:cs="仿宋"/>
          <w:b/>
          <w:bCs/>
          <w:spacing w:val="7"/>
          <w:sz w:val="24"/>
          <w:szCs w:val="24"/>
          <w:highlight w:val="none"/>
          <w:lang w:eastAsia="zh-CN"/>
        </w:rPr>
        <w:t>5.7</w:t>
      </w:r>
      <w:r>
        <w:rPr>
          <w:rFonts w:hint="eastAsia" w:ascii="仿宋" w:hAnsi="仿宋" w:eastAsia="仿宋" w:cs="仿宋"/>
          <w:b/>
          <w:bCs/>
          <w:spacing w:val="37"/>
          <w:sz w:val="24"/>
          <w:szCs w:val="24"/>
          <w:highlight w:val="none"/>
          <w:lang w:eastAsia="zh-CN"/>
        </w:rPr>
        <w:t xml:space="preserve"> </w:t>
      </w:r>
      <w:r>
        <w:rPr>
          <w:rFonts w:hint="eastAsia" w:ascii="仿宋" w:hAnsi="仿宋" w:eastAsia="仿宋" w:cs="仿宋"/>
          <w:spacing w:val="7"/>
          <w:sz w:val="24"/>
          <w:szCs w:val="24"/>
          <w:highlight w:val="none"/>
          <w:lang w:eastAsia="zh-CN"/>
          <w14:textOutline w14:w="3797" w14:cap="sq" w14:cmpd="sng" w14:algn="ctr">
            <w14:solidFill>
              <w14:srgbClr w14:val="000000"/>
            </w14:solidFill>
            <w14:prstDash w14:val="solid"/>
            <w14:bevel/>
          </w14:textOutline>
        </w:rPr>
        <w:t>废标</w:t>
      </w:r>
      <w:bookmarkEnd w:id="87"/>
    </w:p>
    <w:p w14:paraId="2EE79C74">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本次政府采购活动中，出现下列情形之一的，予以废标：</w:t>
      </w:r>
    </w:p>
    <w:p w14:paraId="25EE3BF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一、符合专业条件的投标人或者对招标文件作实质响应的投标人不足三家的；</w:t>
      </w:r>
    </w:p>
    <w:p w14:paraId="3A5B53D8">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二、出现影响采购公正的违法、违规行为的；</w:t>
      </w:r>
    </w:p>
    <w:p w14:paraId="1A3C207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三、投标人的报价均超过了项目采购预算，采购人不能支付的；</w:t>
      </w:r>
    </w:p>
    <w:p w14:paraId="2196ADEB">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四、因重大变故，采购任务取消的；废标后，代理机构将在“ 陕西省政府采购网”上公告。对于评标过程中废标的采购项目，评标委员会应当对招标文件是否存在不合理条款进行论证，并出具书面论证意见。</w:t>
      </w:r>
    </w:p>
    <w:p w14:paraId="1E081F68">
      <w:pPr>
        <w:spacing w:before="161" w:line="228" w:lineRule="auto"/>
        <w:ind w:left="15"/>
        <w:outlineLvl w:val="1"/>
        <w:rPr>
          <w:rFonts w:hint="eastAsia" w:ascii="仿宋" w:hAnsi="仿宋" w:eastAsia="仿宋" w:cs="仿宋"/>
          <w:sz w:val="24"/>
          <w:szCs w:val="24"/>
          <w:highlight w:val="none"/>
          <w:lang w:eastAsia="zh-CN"/>
        </w:rPr>
      </w:pPr>
      <w:bookmarkStart w:id="88" w:name="_Toc10482"/>
      <w:r>
        <w:rPr>
          <w:rFonts w:hint="eastAsia" w:ascii="仿宋" w:hAnsi="仿宋" w:eastAsia="仿宋" w:cs="仿宋"/>
          <w:b/>
          <w:bCs/>
          <w:spacing w:val="10"/>
          <w:sz w:val="24"/>
          <w:szCs w:val="24"/>
          <w:highlight w:val="none"/>
          <w:lang w:eastAsia="zh-CN"/>
        </w:rPr>
        <w:t>5.8</w:t>
      </w:r>
      <w:r>
        <w:rPr>
          <w:rFonts w:hint="eastAsia" w:ascii="仿宋" w:hAnsi="仿宋" w:eastAsia="仿宋" w:cs="仿宋"/>
          <w:b/>
          <w:bCs/>
          <w:spacing w:val="44"/>
          <w:sz w:val="24"/>
          <w:szCs w:val="24"/>
          <w:highlight w:val="none"/>
          <w:lang w:eastAsia="zh-CN"/>
        </w:rPr>
        <w:t xml:space="preserve"> </w:t>
      </w:r>
      <w:r>
        <w:rPr>
          <w:rFonts w:hint="eastAsia" w:ascii="仿宋" w:hAnsi="仿宋" w:eastAsia="仿宋" w:cs="仿宋"/>
          <w:spacing w:val="10"/>
          <w:sz w:val="24"/>
          <w:szCs w:val="24"/>
          <w:highlight w:val="none"/>
          <w:lang w:eastAsia="zh-CN"/>
          <w14:textOutline w14:w="3797" w14:cap="sq" w14:cmpd="sng" w14:algn="ctr">
            <w14:solidFill>
              <w14:srgbClr w14:val="000000"/>
            </w14:solidFill>
            <w14:prstDash w14:val="solid"/>
            <w14:bevel/>
          </w14:textOutline>
        </w:rPr>
        <w:t>定标</w:t>
      </w:r>
      <w:bookmarkEnd w:id="88"/>
    </w:p>
    <w:p w14:paraId="13AE0EE7">
      <w:pPr>
        <w:spacing w:before="224" w:line="228" w:lineRule="auto"/>
        <w:ind w:left="15"/>
        <w:outlineLvl w:val="2"/>
        <w:rPr>
          <w:rFonts w:hint="eastAsia" w:ascii="仿宋" w:hAnsi="仿宋" w:eastAsia="仿宋" w:cs="仿宋"/>
          <w:sz w:val="24"/>
          <w:szCs w:val="24"/>
          <w:highlight w:val="none"/>
          <w:lang w:eastAsia="zh-CN"/>
        </w:rPr>
      </w:pPr>
      <w:bookmarkStart w:id="89" w:name="_Toc23760"/>
      <w:r>
        <w:rPr>
          <w:rFonts w:hint="eastAsia" w:ascii="仿宋" w:hAnsi="仿宋" w:eastAsia="仿宋" w:cs="仿宋"/>
          <w:spacing w:val="3"/>
          <w:sz w:val="24"/>
          <w:szCs w:val="24"/>
          <w:highlight w:val="none"/>
          <w:lang w:eastAsia="zh-CN"/>
        </w:rPr>
        <w:t>5.8.1</w:t>
      </w:r>
      <w:r>
        <w:rPr>
          <w:rFonts w:hint="eastAsia" w:ascii="仿宋" w:hAnsi="仿宋" w:eastAsia="仿宋" w:cs="仿宋"/>
          <w:spacing w:val="26"/>
          <w:w w:val="101"/>
          <w:sz w:val="24"/>
          <w:szCs w:val="24"/>
          <w:highlight w:val="none"/>
          <w:lang w:eastAsia="zh-CN"/>
        </w:rPr>
        <w:t xml:space="preserve"> </w:t>
      </w:r>
      <w:r>
        <w:rPr>
          <w:rFonts w:hint="eastAsia" w:ascii="仿宋" w:hAnsi="仿宋" w:eastAsia="仿宋" w:cs="仿宋"/>
          <w:spacing w:val="3"/>
          <w:sz w:val="24"/>
          <w:szCs w:val="24"/>
          <w:highlight w:val="none"/>
          <w:lang w:eastAsia="zh-CN"/>
        </w:rPr>
        <w:t>定标原则</w:t>
      </w:r>
      <w:bookmarkEnd w:id="89"/>
    </w:p>
    <w:p w14:paraId="77D4DB9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采购人在评标报告确定的中标候选人名单中按顺序确定1名中标人。中标候选人并列的，由采购人采取随机抽取的方式确定中标人。</w:t>
      </w:r>
    </w:p>
    <w:p w14:paraId="1DF3E681">
      <w:pPr>
        <w:spacing w:before="163" w:line="228" w:lineRule="auto"/>
        <w:outlineLvl w:val="2"/>
        <w:rPr>
          <w:rFonts w:hint="eastAsia" w:ascii="仿宋" w:hAnsi="仿宋" w:eastAsia="仿宋" w:cs="仿宋"/>
          <w:sz w:val="24"/>
          <w:szCs w:val="24"/>
          <w:highlight w:val="none"/>
          <w:lang w:eastAsia="zh-CN"/>
        </w:rPr>
      </w:pPr>
      <w:bookmarkStart w:id="90" w:name="_Toc17160"/>
      <w:r>
        <w:rPr>
          <w:rFonts w:hint="eastAsia" w:ascii="仿宋" w:hAnsi="仿宋" w:eastAsia="仿宋" w:cs="仿宋"/>
          <w:spacing w:val="3"/>
          <w:sz w:val="24"/>
          <w:szCs w:val="24"/>
          <w:highlight w:val="none"/>
          <w:lang w:eastAsia="zh-CN"/>
        </w:rPr>
        <w:t>5.8.2</w:t>
      </w:r>
      <w:r>
        <w:rPr>
          <w:rFonts w:hint="eastAsia" w:ascii="仿宋" w:hAnsi="仿宋" w:eastAsia="仿宋" w:cs="仿宋"/>
          <w:spacing w:val="26"/>
          <w:w w:val="101"/>
          <w:sz w:val="24"/>
          <w:szCs w:val="24"/>
          <w:highlight w:val="none"/>
          <w:lang w:eastAsia="zh-CN"/>
        </w:rPr>
        <w:t xml:space="preserve"> </w:t>
      </w:r>
      <w:r>
        <w:rPr>
          <w:rFonts w:hint="eastAsia" w:ascii="仿宋" w:hAnsi="仿宋" w:eastAsia="仿宋" w:cs="仿宋"/>
          <w:spacing w:val="3"/>
          <w:sz w:val="24"/>
          <w:szCs w:val="24"/>
          <w:highlight w:val="none"/>
          <w:lang w:eastAsia="zh-CN"/>
        </w:rPr>
        <w:t>定标程序</w:t>
      </w:r>
      <w:bookmarkEnd w:id="90"/>
    </w:p>
    <w:p w14:paraId="0660F1E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一、评标委员会在项目电子化交易系统中编制评标情况，生成评标报告。</w:t>
      </w:r>
    </w:p>
    <w:p w14:paraId="6E0359B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二、代理机构在评标结束之日起2个工作日内将评标报告送采购人。</w:t>
      </w:r>
    </w:p>
    <w:p w14:paraId="1D242785">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三、采购人在收到评标报告后5个工作日内，按照评标报告中推荐的中标候选人顺序确定中标人。逾期未确认的，又不能说明合法理由的，视同按评标报告推荐的顺序确定排名第一的中标候选人为中标人。</w:t>
      </w:r>
    </w:p>
    <w:p w14:paraId="2ED0355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四、根据确定的中标人，代理机构在陕西省政府采购网上发布中标结果公告并向中标人发出中标通知书。</w:t>
      </w:r>
    </w:p>
    <w:p w14:paraId="6FF74F25">
      <w:pPr>
        <w:spacing w:before="162" w:line="227" w:lineRule="auto"/>
        <w:ind w:left="1"/>
        <w:outlineLvl w:val="1"/>
        <w:rPr>
          <w:rFonts w:hint="eastAsia" w:ascii="仿宋" w:hAnsi="仿宋" w:eastAsia="仿宋" w:cs="仿宋"/>
          <w:sz w:val="24"/>
          <w:szCs w:val="24"/>
          <w:highlight w:val="none"/>
          <w:lang w:eastAsia="zh-CN"/>
        </w:rPr>
      </w:pPr>
      <w:bookmarkStart w:id="91" w:name="_Toc28570"/>
      <w:r>
        <w:rPr>
          <w:rFonts w:hint="eastAsia" w:ascii="仿宋" w:hAnsi="仿宋" w:eastAsia="仿宋" w:cs="仿宋"/>
          <w:b/>
          <w:bCs/>
          <w:spacing w:val="-1"/>
          <w:sz w:val="24"/>
          <w:szCs w:val="24"/>
          <w:highlight w:val="none"/>
          <w:lang w:eastAsia="zh-CN"/>
        </w:rPr>
        <w:t>5.9</w:t>
      </w:r>
      <w:r>
        <w:rPr>
          <w:rFonts w:hint="eastAsia" w:ascii="仿宋" w:hAnsi="仿宋" w:eastAsia="仿宋" w:cs="仿宋"/>
          <w:b/>
          <w:bCs/>
          <w:spacing w:val="44"/>
          <w:sz w:val="24"/>
          <w:szCs w:val="24"/>
          <w:highlight w:val="none"/>
          <w:lang w:eastAsia="zh-CN"/>
        </w:rPr>
        <w:t xml:space="preserve"> </w:t>
      </w:r>
      <w:r>
        <w:rPr>
          <w:rFonts w:hint="eastAsia" w:ascii="仿宋" w:hAnsi="仿宋" w:eastAsia="仿宋" w:cs="仿宋"/>
          <w:spacing w:val="-1"/>
          <w:sz w:val="24"/>
          <w:szCs w:val="24"/>
          <w:highlight w:val="none"/>
          <w:lang w:eastAsia="zh-CN"/>
          <w14:textOutline w14:w="3797" w14:cap="sq" w14:cmpd="sng" w14:algn="ctr">
            <w14:solidFill>
              <w14:srgbClr w14:val="000000"/>
            </w14:solidFill>
            <w14:prstDash w14:val="solid"/>
            <w14:bevel/>
          </w14:textOutline>
        </w:rPr>
        <w:t>评审专家在政府采购活动承担以下义务</w:t>
      </w:r>
      <w:bookmarkEnd w:id="91"/>
    </w:p>
    <w:p w14:paraId="6B0E36C7">
      <w:pPr>
        <w:widowControl w:val="0"/>
        <w:spacing w:before="163" w:line="228" w:lineRule="auto"/>
        <w:ind w:firstLine="512" w:firstLineChars="200"/>
        <w:outlineLvl w:val="2"/>
        <w:rPr>
          <w:rFonts w:hint="eastAsia" w:ascii="仿宋" w:hAnsi="仿宋" w:eastAsia="仿宋" w:cs="仿宋"/>
          <w:spacing w:val="8"/>
          <w:position w:val="15"/>
          <w:sz w:val="24"/>
          <w:szCs w:val="24"/>
          <w:highlight w:val="none"/>
          <w:lang w:eastAsia="zh-CN"/>
        </w:rPr>
      </w:pPr>
      <w:bookmarkStart w:id="92" w:name="_Toc24098"/>
      <w:r>
        <w:rPr>
          <w:rFonts w:hint="eastAsia" w:ascii="仿宋" w:hAnsi="仿宋" w:eastAsia="仿宋" w:cs="仿宋"/>
          <w:spacing w:val="8"/>
          <w:position w:val="15"/>
          <w:sz w:val="24"/>
          <w:szCs w:val="24"/>
          <w:highlight w:val="none"/>
          <w:lang w:eastAsia="zh-CN"/>
        </w:rPr>
        <w:t>（一）遵守评审工作纪律；</w:t>
      </w:r>
      <w:bookmarkEnd w:id="92"/>
    </w:p>
    <w:p w14:paraId="691D8CC2">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（二）按照客观、公正、审慎的原则，根据招标文件规定的评审程序、评审方法和评审标准进行独立评审；</w:t>
      </w:r>
    </w:p>
    <w:p w14:paraId="5BBF7E2A">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（三）不得泄露招标文件、评审情况和在评审过程中获悉的商业秘密；</w:t>
      </w:r>
    </w:p>
    <w:p w14:paraId="03ED9E5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（四）及时向监督管理部门报告评审过程中的违法违规情况，包括采购组织单位向评审专家作出 倾向性、误导性的解释或者说明情况，投标人行贿、提供虚假材料或者串通情况，其他非法干预评审情况等；</w:t>
      </w:r>
    </w:p>
    <w:p w14:paraId="1768BB9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（五）发现招标文件内容违反国家有关强制性规定或者存在歧义、重大缺陷导致评审工作无法进 行时，停止评审并通过项目电子化交易系统向采购组织单位书面说明情况，说明停止评审的情形和具体理由；</w:t>
      </w:r>
    </w:p>
    <w:p w14:paraId="0E181559">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（六）配合答复处理投标人的询问、质疑和投诉等事项；</w:t>
      </w:r>
    </w:p>
    <w:p w14:paraId="1E3718D1">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（七）法律、法规和规章规定的其他义务。</w:t>
      </w:r>
    </w:p>
    <w:p w14:paraId="65255D1E">
      <w:pPr>
        <w:spacing w:before="165" w:line="227" w:lineRule="auto"/>
        <w:ind w:left="1"/>
        <w:outlineLvl w:val="1"/>
        <w:rPr>
          <w:rFonts w:hint="eastAsia" w:ascii="仿宋" w:hAnsi="仿宋" w:eastAsia="仿宋" w:cs="仿宋"/>
          <w:sz w:val="24"/>
          <w:szCs w:val="24"/>
          <w:highlight w:val="none"/>
          <w:lang w:eastAsia="zh-CN"/>
        </w:rPr>
      </w:pPr>
      <w:bookmarkStart w:id="93" w:name="_Toc16386"/>
      <w:r>
        <w:rPr>
          <w:rFonts w:hint="eastAsia" w:ascii="仿宋" w:hAnsi="仿宋" w:eastAsia="仿宋" w:cs="仿宋"/>
          <w:b/>
          <w:bCs/>
          <w:spacing w:val="-1"/>
          <w:sz w:val="24"/>
          <w:szCs w:val="24"/>
          <w:highlight w:val="none"/>
          <w:lang w:eastAsia="zh-CN"/>
        </w:rPr>
        <w:t>5.10</w:t>
      </w:r>
      <w:r>
        <w:rPr>
          <w:rFonts w:hint="eastAsia" w:ascii="仿宋" w:hAnsi="仿宋" w:eastAsia="仿宋" w:cs="仿宋"/>
          <w:b/>
          <w:bCs/>
          <w:spacing w:val="44"/>
          <w:sz w:val="24"/>
          <w:szCs w:val="24"/>
          <w:highlight w:val="none"/>
          <w:lang w:eastAsia="zh-CN"/>
        </w:rPr>
        <w:t xml:space="preserve"> </w:t>
      </w:r>
      <w:r>
        <w:rPr>
          <w:rFonts w:hint="eastAsia" w:ascii="仿宋" w:hAnsi="仿宋" w:eastAsia="仿宋" w:cs="仿宋"/>
          <w:spacing w:val="-1"/>
          <w:sz w:val="24"/>
          <w:szCs w:val="24"/>
          <w:highlight w:val="none"/>
          <w:lang w:eastAsia="zh-CN"/>
          <w14:textOutline w14:w="3797" w14:cap="sq" w14:cmpd="sng" w14:algn="ctr">
            <w14:solidFill>
              <w14:srgbClr w14:val="000000"/>
            </w14:solidFill>
            <w14:prstDash w14:val="solid"/>
            <w14:bevel/>
          </w14:textOutline>
        </w:rPr>
        <w:t>评审专家在政府采购活动应当遵守以下工作纪律</w:t>
      </w:r>
      <w:bookmarkEnd w:id="93"/>
    </w:p>
    <w:p w14:paraId="442C5DD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（一）遵行《中华人民共和国政府采购法》第十二条和《中华人民共和国政府采购法实施条例》第九条及财政部关于回避的规定。</w:t>
      </w:r>
    </w:p>
    <w:p w14:paraId="2078FDA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（二）评审前，应当将通讯工具或者相关电子设备交由采购组织单位统一保管。</w:t>
      </w:r>
    </w:p>
    <w:p w14:paraId="35D8B2D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（三）评审过程中，不得与外界联系，因发生不可预见情况，确实需要与外界联系的，应当在监督人员监督之下办理。</w:t>
      </w:r>
    </w:p>
    <w:p w14:paraId="7668D00D">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（四）评审过程中，不得干预或者影响正常评审工作，不得发表倾向性、引导性意见，不得修改 或细化采购文件确定的评审程序、评审方法、评审因素和评审标准，不得接受投标人主动提出的澄清 和解释，不得征询采购人代表的意见，不得协商评分，不得违反规定的评审格式评分和撰写评审意见，不得拒绝对自己的评审意见签字确认。</w:t>
      </w:r>
    </w:p>
    <w:p w14:paraId="245CE59F">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（五）在评审过程中和评审结束后，不得记录、复制或带走任何评审资料，除因配合答复处理投标人的询问、质疑和投诉等事项外，不得向外界透露评审内容。</w:t>
      </w:r>
    </w:p>
    <w:p w14:paraId="1FCF1130">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（六）服从评审现场采购组织单位的现场秩序管理，接受评审现场监督人员的合法监督。</w:t>
      </w:r>
    </w:p>
    <w:p w14:paraId="7F9D31A3">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pPr>
      <w:r>
        <w:rPr>
          <w:rFonts w:hint="eastAsia" w:ascii="仿宋" w:hAnsi="仿宋" w:eastAsia="仿宋" w:cs="仿宋"/>
          <w:spacing w:val="8"/>
          <w:position w:val="15"/>
          <w:sz w:val="24"/>
          <w:szCs w:val="24"/>
          <w:highlight w:val="none"/>
          <w:lang w:eastAsia="zh-CN"/>
        </w:rPr>
        <w:t>（七）遵守有关廉洁自律规定，不得私下接触投标人，不得收受投标人及有关业务单位和个人的财物或好处，不得接受采购组织单位的请托。</w:t>
      </w:r>
    </w:p>
    <w:p w14:paraId="453F11FE">
      <w:pPr>
        <w:widowControl w:val="0"/>
        <w:spacing w:before="163" w:line="228" w:lineRule="auto"/>
        <w:ind w:firstLine="512" w:firstLineChars="200"/>
        <w:rPr>
          <w:rFonts w:hint="eastAsia" w:ascii="仿宋" w:hAnsi="仿宋" w:eastAsia="仿宋" w:cs="仿宋"/>
          <w:spacing w:val="8"/>
          <w:position w:val="15"/>
          <w:sz w:val="24"/>
          <w:szCs w:val="24"/>
          <w:highlight w:val="none"/>
          <w:lang w:eastAsia="zh-CN"/>
        </w:rPr>
        <w:sectPr>
          <w:footerReference r:id="rId7" w:type="default"/>
          <w:pgSz w:w="11900" w:h="16839"/>
          <w:pgMar w:top="1406" w:right="1242" w:bottom="896" w:left="1406" w:header="0" w:footer="731" w:gutter="0"/>
          <w:cols w:space="0" w:num="1"/>
        </w:sectPr>
      </w:pPr>
    </w:p>
    <w:p w14:paraId="59521AC7">
      <w:pPr>
        <w:spacing w:before="71" w:line="224" w:lineRule="auto"/>
        <w:jc w:val="center"/>
        <w:outlineLvl w:val="0"/>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pPr>
      <w:bookmarkStart w:id="94" w:name="_Toc13157"/>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w:t>
      </w:r>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六</w:t>
      </w:r>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章 拟签订合同文本</w:t>
      </w:r>
      <w:bookmarkEnd w:id="94"/>
    </w:p>
    <w:p w14:paraId="385F2F84">
      <w:pPr>
        <w:pStyle w:val="2"/>
        <w:rPr>
          <w:highlight w:val="none"/>
        </w:rPr>
      </w:pPr>
    </w:p>
    <w:p w14:paraId="4E53A6F7">
      <w:pPr>
        <w:pStyle w:val="2"/>
        <w:rPr>
          <w:highlight w:val="none"/>
        </w:rPr>
      </w:pPr>
    </w:p>
    <w:p w14:paraId="66E56D26">
      <w:pPr>
        <w:jc w:val="center"/>
        <w:rPr>
          <w:rFonts w:hint="eastAsia" w:ascii="方正小标宋简体" w:hAnsi="方正小标宋简体" w:eastAsia="方正小标宋简体" w:cs="方正小标宋简体"/>
          <w:b/>
          <w:sz w:val="44"/>
          <w:szCs w:val="44"/>
          <w:highlight w:val="none"/>
          <w:lang w:eastAsia="zh-CN"/>
        </w:rPr>
      </w:pPr>
    </w:p>
    <w:p w14:paraId="0D4AA37A">
      <w:pPr>
        <w:pStyle w:val="4"/>
        <w:rPr>
          <w:highlight w:val="none"/>
          <w:lang w:eastAsia="zh-CN"/>
        </w:rPr>
      </w:pPr>
    </w:p>
    <w:p w14:paraId="3CBBB762">
      <w:pPr>
        <w:jc w:val="center"/>
        <w:rPr>
          <w:rFonts w:hint="eastAsia" w:ascii="方正小标宋简体" w:hAnsi="方正小标宋简体" w:eastAsia="方正小标宋简体" w:cs="方正小标宋简体"/>
          <w:b/>
          <w:color w:val="auto"/>
          <w:sz w:val="44"/>
          <w:szCs w:val="44"/>
          <w:highlight w:val="none"/>
          <w:lang w:eastAsia="zh-CN"/>
        </w:rPr>
      </w:pPr>
    </w:p>
    <w:p w14:paraId="17365561">
      <w:pPr>
        <w:jc w:val="center"/>
        <w:rPr>
          <w:rFonts w:hint="eastAsia" w:ascii="方正小标宋简体" w:hAnsi="方正小标宋简体" w:eastAsia="方正小标宋简体" w:cs="方正小标宋简体"/>
          <w:b/>
          <w:color w:val="auto"/>
          <w:sz w:val="44"/>
          <w:szCs w:val="44"/>
          <w:highlight w:val="none"/>
          <w:lang w:eastAsia="zh-CN"/>
        </w:rPr>
      </w:pPr>
    </w:p>
    <w:p w14:paraId="523349C4">
      <w:pPr>
        <w:jc w:val="center"/>
        <w:rPr>
          <w:rFonts w:hint="eastAsia" w:ascii="方正小标宋简体" w:hAnsi="方正小标宋简体" w:eastAsia="方正小标宋简体" w:cs="方正小标宋简体"/>
          <w:b/>
          <w:color w:val="auto"/>
          <w:sz w:val="44"/>
          <w:szCs w:val="44"/>
          <w:highlight w:val="none"/>
          <w:lang w:eastAsia="zh-CN"/>
        </w:rPr>
      </w:pPr>
      <w:r>
        <w:rPr>
          <w:rFonts w:hint="eastAsia" w:ascii="方正小标宋简体" w:hAnsi="方正小标宋简体" w:eastAsia="方正小标宋简体" w:cs="方正小标宋简体"/>
          <w:b/>
          <w:color w:val="auto"/>
          <w:sz w:val="44"/>
          <w:szCs w:val="44"/>
          <w:highlight w:val="none"/>
          <w:lang w:eastAsia="zh-CN"/>
        </w:rPr>
        <w:t>秦始皇帝陵博物院</w:t>
      </w:r>
    </w:p>
    <w:p w14:paraId="406FAB8A">
      <w:pPr>
        <w:jc w:val="center"/>
        <w:rPr>
          <w:rFonts w:hint="eastAsia" w:ascii="方正小标宋简体" w:hAnsi="方正小标宋简体" w:eastAsia="方正小标宋简体" w:cs="方正小标宋简体"/>
          <w:b/>
          <w:color w:val="auto"/>
          <w:sz w:val="44"/>
          <w:szCs w:val="44"/>
          <w:highlight w:val="none"/>
          <w:lang w:eastAsia="zh-CN"/>
        </w:rPr>
      </w:pPr>
      <w:r>
        <w:rPr>
          <w:rFonts w:hint="eastAsia" w:ascii="方正小标宋简体" w:hAnsi="方正小标宋简体" w:eastAsia="方正小标宋简体" w:cs="方正小标宋简体"/>
          <w:b/>
          <w:color w:val="auto"/>
          <w:sz w:val="44"/>
          <w:szCs w:val="44"/>
          <w:highlight w:val="none"/>
          <w:lang w:eastAsia="zh-CN"/>
        </w:rPr>
        <w:t>一号坑主展厅参观环境提升改造合同</w:t>
      </w:r>
    </w:p>
    <w:p w14:paraId="2582F5D1">
      <w:pPr>
        <w:spacing w:line="700" w:lineRule="exact"/>
        <w:ind w:firstLine="1080"/>
        <w:rPr>
          <w:rFonts w:hint="eastAsia" w:ascii="仿宋" w:hAnsi="仿宋" w:eastAsia="仿宋" w:cs="仿宋"/>
          <w:color w:val="auto"/>
          <w:sz w:val="24"/>
          <w:highlight w:val="none"/>
          <w:lang w:eastAsia="zh-CN"/>
        </w:rPr>
      </w:pPr>
    </w:p>
    <w:p w14:paraId="684EC1E9">
      <w:pPr>
        <w:spacing w:line="700" w:lineRule="exact"/>
        <w:ind w:firstLine="1080"/>
        <w:rPr>
          <w:rFonts w:hint="eastAsia" w:ascii="仿宋" w:hAnsi="仿宋" w:eastAsia="仿宋" w:cs="仿宋"/>
          <w:color w:val="auto"/>
          <w:sz w:val="24"/>
          <w:highlight w:val="none"/>
          <w:lang w:eastAsia="zh-CN"/>
        </w:rPr>
      </w:pPr>
    </w:p>
    <w:p w14:paraId="4FA35047">
      <w:pPr>
        <w:spacing w:line="700" w:lineRule="exact"/>
        <w:ind w:firstLine="1080"/>
        <w:rPr>
          <w:rFonts w:hint="eastAsia" w:ascii="仿宋" w:hAnsi="仿宋" w:eastAsia="仿宋" w:cs="仿宋"/>
          <w:color w:val="auto"/>
          <w:sz w:val="24"/>
          <w:highlight w:val="none"/>
          <w:lang w:eastAsia="zh-CN"/>
        </w:rPr>
      </w:pPr>
    </w:p>
    <w:p w14:paraId="3181E3F2">
      <w:pPr>
        <w:spacing w:line="700" w:lineRule="exact"/>
        <w:ind w:firstLine="1080"/>
        <w:rPr>
          <w:rFonts w:hint="eastAsia" w:ascii="仿宋" w:hAnsi="仿宋" w:eastAsia="仿宋" w:cs="仿宋"/>
          <w:color w:val="auto"/>
          <w:sz w:val="24"/>
          <w:highlight w:val="none"/>
          <w:lang w:eastAsia="zh-CN"/>
        </w:rPr>
      </w:pPr>
    </w:p>
    <w:p w14:paraId="0AD5F671">
      <w:pPr>
        <w:spacing w:line="700" w:lineRule="exact"/>
        <w:rPr>
          <w:rFonts w:hint="eastAsia" w:ascii="仿宋" w:hAnsi="仿宋" w:eastAsia="仿宋" w:cs="仿宋"/>
          <w:color w:val="auto"/>
          <w:sz w:val="24"/>
          <w:highlight w:val="none"/>
          <w:lang w:eastAsia="zh-CN"/>
        </w:rPr>
      </w:pPr>
    </w:p>
    <w:p w14:paraId="2529528E">
      <w:pPr>
        <w:spacing w:line="700" w:lineRule="exact"/>
        <w:rPr>
          <w:rFonts w:hint="eastAsia" w:ascii="仿宋" w:hAnsi="仿宋" w:eastAsia="仿宋" w:cs="仿宋"/>
          <w:color w:val="auto"/>
          <w:sz w:val="24"/>
          <w:highlight w:val="none"/>
          <w:lang w:eastAsia="zh-CN"/>
        </w:rPr>
      </w:pPr>
    </w:p>
    <w:p w14:paraId="5D12B22C">
      <w:pPr>
        <w:spacing w:line="700" w:lineRule="exact"/>
        <w:ind w:firstLine="1080"/>
        <w:rPr>
          <w:rFonts w:hint="eastAsia" w:ascii="仿宋" w:hAnsi="仿宋" w:eastAsia="仿宋" w:cs="仿宋"/>
          <w:color w:val="auto"/>
          <w:sz w:val="24"/>
          <w:highlight w:val="none"/>
          <w:lang w:eastAsia="zh-CN"/>
        </w:rPr>
      </w:pPr>
    </w:p>
    <w:p w14:paraId="5DA46C94">
      <w:pPr>
        <w:spacing w:line="480" w:lineRule="auto"/>
        <w:ind w:firstLine="843" w:firstLineChars="300"/>
        <w:rPr>
          <w:rFonts w:hint="eastAsia" w:ascii="仿宋" w:hAnsi="仿宋" w:eastAsia="仿宋" w:cs="仿宋"/>
          <w:b/>
          <w:color w:val="auto"/>
          <w:sz w:val="28"/>
          <w:szCs w:val="28"/>
          <w:highlight w:val="none"/>
          <w:lang w:eastAsia="zh-CN"/>
        </w:rPr>
      </w:pPr>
      <w:bookmarkStart w:id="95" w:name="_Toc102225664"/>
      <w:bookmarkStart w:id="96" w:name="_Toc7566"/>
      <w:r>
        <w:rPr>
          <w:rFonts w:hint="eastAsia" w:ascii="仿宋" w:hAnsi="仿宋" w:eastAsia="仿宋" w:cs="仿宋"/>
          <w:b/>
          <w:color w:val="auto"/>
          <w:sz w:val="28"/>
          <w:szCs w:val="28"/>
          <w:highlight w:val="none"/>
          <w:lang w:eastAsia="zh-CN"/>
        </w:rPr>
        <w:t>甲    方：</w:t>
      </w:r>
      <w:bookmarkEnd w:id="95"/>
      <w:bookmarkEnd w:id="96"/>
      <w:r>
        <w:rPr>
          <w:rFonts w:hint="eastAsia" w:ascii="仿宋" w:hAnsi="仿宋" w:eastAsia="仿宋" w:cs="仿宋"/>
          <w:color w:val="auto"/>
          <w:sz w:val="28"/>
          <w:szCs w:val="28"/>
          <w:highlight w:val="none"/>
          <w:u w:val="single"/>
          <w:lang w:eastAsia="zh-CN"/>
        </w:rPr>
        <w:t xml:space="preserve">                                               </w:t>
      </w:r>
    </w:p>
    <w:p w14:paraId="4A0ED97B">
      <w:pPr>
        <w:spacing w:line="480" w:lineRule="auto"/>
        <w:ind w:firstLine="843" w:firstLineChars="300"/>
        <w:rPr>
          <w:rFonts w:hint="eastAsia" w:ascii="仿宋" w:hAnsi="仿宋" w:eastAsia="仿宋" w:cs="仿宋"/>
          <w:b/>
          <w:color w:val="auto"/>
          <w:sz w:val="28"/>
          <w:szCs w:val="28"/>
          <w:highlight w:val="none"/>
          <w:lang w:eastAsia="zh-CN"/>
        </w:rPr>
      </w:pPr>
      <w:bookmarkStart w:id="97" w:name="_Toc18592"/>
      <w:bookmarkStart w:id="98" w:name="_Toc102225665"/>
      <w:r>
        <w:rPr>
          <w:rFonts w:hint="eastAsia" w:ascii="仿宋" w:hAnsi="仿宋" w:eastAsia="仿宋" w:cs="仿宋"/>
          <w:b/>
          <w:color w:val="auto"/>
          <w:sz w:val="28"/>
          <w:szCs w:val="28"/>
          <w:highlight w:val="none"/>
          <w:lang w:eastAsia="zh-CN"/>
        </w:rPr>
        <w:t>乙    方：</w:t>
      </w:r>
      <w:bookmarkEnd w:id="97"/>
      <w:bookmarkEnd w:id="98"/>
      <w:r>
        <w:rPr>
          <w:rFonts w:hint="eastAsia" w:ascii="仿宋" w:hAnsi="仿宋" w:eastAsia="仿宋" w:cs="仿宋"/>
          <w:color w:val="auto"/>
          <w:sz w:val="28"/>
          <w:szCs w:val="28"/>
          <w:highlight w:val="none"/>
          <w:u w:val="single"/>
          <w:lang w:eastAsia="zh-CN"/>
        </w:rPr>
        <w:t xml:space="preserve">                                               </w:t>
      </w:r>
    </w:p>
    <w:p w14:paraId="1A67DFDF">
      <w:pPr>
        <w:spacing w:line="480" w:lineRule="auto"/>
        <w:ind w:firstLine="843" w:firstLineChars="300"/>
        <w:rPr>
          <w:rFonts w:hint="eastAsia" w:ascii="仿宋" w:hAnsi="仿宋" w:eastAsia="仿宋" w:cs="仿宋"/>
          <w:b/>
          <w:color w:val="auto"/>
          <w:sz w:val="28"/>
          <w:szCs w:val="28"/>
          <w:highlight w:val="none"/>
          <w:u w:val="single"/>
          <w:lang w:eastAsia="zh-CN"/>
        </w:rPr>
      </w:pPr>
      <w:bookmarkStart w:id="99" w:name="_Toc4282"/>
      <w:bookmarkStart w:id="100" w:name="_Toc102225666"/>
      <w:r>
        <w:rPr>
          <w:rFonts w:hint="eastAsia" w:ascii="仿宋" w:hAnsi="仿宋" w:eastAsia="仿宋" w:cs="仿宋"/>
          <w:b/>
          <w:color w:val="auto"/>
          <w:sz w:val="28"/>
          <w:szCs w:val="28"/>
          <w:highlight w:val="none"/>
          <w:lang w:eastAsia="zh-CN"/>
        </w:rPr>
        <w:t>签订日期：</w:t>
      </w:r>
      <w:bookmarkEnd w:id="99"/>
      <w:bookmarkEnd w:id="100"/>
      <w:r>
        <w:rPr>
          <w:rFonts w:hint="eastAsia" w:ascii="仿宋" w:hAnsi="仿宋" w:eastAsia="仿宋" w:cs="仿宋"/>
          <w:color w:val="auto"/>
          <w:sz w:val="28"/>
          <w:szCs w:val="28"/>
          <w:highlight w:val="none"/>
          <w:u w:val="single"/>
          <w:lang w:eastAsia="zh-CN"/>
        </w:rPr>
        <w:t xml:space="preserve">                                               </w:t>
      </w:r>
    </w:p>
    <w:p w14:paraId="01CE1250">
      <w:pPr>
        <w:spacing w:line="360" w:lineRule="auto"/>
        <w:ind w:firstLine="42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573AB643">
      <w:pP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br w:type="page"/>
      </w:r>
    </w:p>
    <w:p w14:paraId="5041A46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发包人（以下简称甲方）：</w:t>
      </w:r>
    </w:p>
    <w:p w14:paraId="71F198F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承包人（以下简称乙方）：</w:t>
      </w:r>
    </w:p>
    <w:p w14:paraId="6662686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中华人民共和国民法典》、《中华人民共和国建筑法》及其他有关法律、法规之规定，遵循平等、自愿、公平和诚实信用原则，熟知甲方的项目管理制度、资金状况，并具有承揽本工程相应的施工及经济能力，在此基础上，经双方协商一致，签订本合同，双方共同遵照执行。</w:t>
      </w:r>
    </w:p>
    <w:p w14:paraId="1294BB47">
      <w:pPr>
        <w:spacing w:line="360" w:lineRule="auto"/>
        <w:ind w:firstLine="482" w:firstLineChars="200"/>
        <w:outlineLvl w:val="1"/>
        <w:rPr>
          <w:rFonts w:hint="eastAsia" w:ascii="仿宋" w:hAnsi="仿宋" w:eastAsia="仿宋" w:cs="仿宋"/>
          <w:color w:val="auto"/>
          <w:sz w:val="24"/>
          <w:szCs w:val="24"/>
          <w:highlight w:val="none"/>
          <w:lang w:eastAsia="zh-CN"/>
        </w:rPr>
      </w:pPr>
      <w:bookmarkStart w:id="101" w:name="_Toc16740"/>
      <w:r>
        <w:rPr>
          <w:rFonts w:hint="eastAsia" w:ascii="仿宋" w:hAnsi="仿宋" w:eastAsia="仿宋" w:cs="仿宋"/>
          <w:b/>
          <w:bCs/>
          <w:color w:val="auto"/>
          <w:sz w:val="24"/>
          <w:szCs w:val="24"/>
          <w:highlight w:val="none"/>
          <w:lang w:eastAsia="zh-CN"/>
        </w:rPr>
        <w:t>第一条 工程概况、工作内容</w:t>
      </w:r>
      <w:bookmarkEnd w:id="101"/>
    </w:p>
    <w:p w14:paraId="6F75AE39">
      <w:pPr>
        <w:spacing w:line="360" w:lineRule="auto"/>
        <w:ind w:firstLine="480" w:firstLineChars="200"/>
        <w:outlineLvl w:val="2"/>
        <w:rPr>
          <w:rFonts w:hint="eastAsia" w:ascii="仿宋" w:hAnsi="仿宋" w:eastAsia="仿宋" w:cs="仿宋"/>
          <w:color w:val="auto"/>
          <w:sz w:val="24"/>
          <w:szCs w:val="24"/>
          <w:highlight w:val="none"/>
          <w:u w:val="single"/>
          <w:lang w:eastAsia="zh-CN"/>
        </w:rPr>
      </w:pPr>
      <w:bookmarkStart w:id="102" w:name="_Toc797"/>
      <w:r>
        <w:rPr>
          <w:rFonts w:hint="eastAsia" w:ascii="仿宋" w:hAnsi="仿宋" w:eastAsia="仿宋" w:cs="仿宋"/>
          <w:color w:val="auto"/>
          <w:sz w:val="24"/>
          <w:szCs w:val="24"/>
          <w:highlight w:val="none"/>
          <w:lang w:eastAsia="zh-CN"/>
        </w:rPr>
        <w:t>1.1工程名称：</w:t>
      </w:r>
      <w:bookmarkEnd w:id="102"/>
      <w:r>
        <w:rPr>
          <w:rFonts w:hint="eastAsia" w:ascii="仿宋" w:hAnsi="仿宋" w:eastAsia="仿宋" w:cs="仿宋"/>
          <w:color w:val="auto"/>
          <w:sz w:val="24"/>
          <w:szCs w:val="24"/>
          <w:highlight w:val="none"/>
          <w:u w:val="single"/>
          <w:lang w:eastAsia="zh-CN"/>
        </w:rPr>
        <w:t>秦始皇帝陵博物院一号坑主展厅参观环境提升改造</w:t>
      </w:r>
      <w:bookmarkStart w:id="177" w:name="_GoBack"/>
      <w:bookmarkEnd w:id="177"/>
      <w:r>
        <w:rPr>
          <w:rFonts w:hint="eastAsia" w:ascii="仿宋" w:hAnsi="仿宋" w:eastAsia="仿宋" w:cs="仿宋"/>
          <w:color w:val="auto"/>
          <w:sz w:val="24"/>
          <w:szCs w:val="24"/>
          <w:highlight w:val="none"/>
          <w:u w:val="single"/>
          <w:lang w:eastAsia="zh-CN"/>
        </w:rPr>
        <w:t xml:space="preserve">          </w:t>
      </w:r>
    </w:p>
    <w:p w14:paraId="5C8DA3B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1.2工程地址：</w:t>
      </w:r>
      <w:r>
        <w:rPr>
          <w:rFonts w:hint="eastAsia" w:ascii="仿宋" w:hAnsi="仿宋" w:eastAsia="仿宋" w:cs="仿宋"/>
          <w:color w:val="auto"/>
          <w:sz w:val="24"/>
          <w:szCs w:val="24"/>
          <w:highlight w:val="none"/>
          <w:u w:val="single"/>
          <w:lang w:eastAsia="zh-CN"/>
        </w:rPr>
        <w:t xml:space="preserve">秦始皇帝陵博物院一号坑                                </w:t>
      </w:r>
      <w:r>
        <w:rPr>
          <w:rFonts w:hint="eastAsia" w:ascii="仿宋" w:hAnsi="仿宋" w:eastAsia="仿宋" w:cs="仿宋"/>
          <w:color w:val="auto"/>
          <w:sz w:val="24"/>
          <w:szCs w:val="24"/>
          <w:highlight w:val="none"/>
          <w:lang w:eastAsia="zh-CN"/>
        </w:rPr>
        <w:t xml:space="preserve"> </w:t>
      </w:r>
    </w:p>
    <w:p w14:paraId="5CBE0C8A">
      <w:pPr>
        <w:spacing w:line="360" w:lineRule="auto"/>
        <w:ind w:firstLine="480" w:firstLineChars="200"/>
        <w:rPr>
          <w:rFonts w:hint="eastAsia" w:ascii="仿宋" w:hAnsi="仿宋" w:eastAsia="仿宋" w:cs="Times New Roman"/>
          <w:color w:val="auto"/>
          <w:kern w:val="2"/>
          <w:sz w:val="24"/>
          <w:szCs w:val="24"/>
          <w:highlight w:val="none"/>
          <w:u w:val="single"/>
          <w:lang w:eastAsia="zh-CN"/>
        </w:rPr>
      </w:pPr>
      <w:r>
        <w:rPr>
          <w:rFonts w:hint="eastAsia" w:ascii="仿宋" w:hAnsi="仿宋" w:eastAsia="仿宋" w:cs="仿宋"/>
          <w:color w:val="auto"/>
          <w:sz w:val="24"/>
          <w:szCs w:val="24"/>
          <w:highlight w:val="none"/>
          <w:lang w:eastAsia="zh-CN"/>
        </w:rPr>
        <w:t>1.3工程概况：</w:t>
      </w:r>
      <w:r>
        <w:rPr>
          <w:rFonts w:hint="eastAsia" w:ascii="仿宋" w:hAnsi="仿宋" w:eastAsia="仿宋" w:cs="仿宋"/>
          <w:color w:val="auto"/>
          <w:sz w:val="24"/>
          <w:szCs w:val="24"/>
          <w:highlight w:val="none"/>
          <w:u w:val="single"/>
          <w:lang w:eastAsia="zh-CN"/>
        </w:rPr>
        <w:t xml:space="preserve">                                                      </w:t>
      </w:r>
    </w:p>
    <w:p w14:paraId="2D8A02F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1.4工作内容：</w:t>
      </w:r>
      <w:r>
        <w:rPr>
          <w:rFonts w:hint="eastAsia" w:ascii="仿宋" w:hAnsi="仿宋" w:eastAsia="仿宋" w:cs="仿宋"/>
          <w:color w:val="auto"/>
          <w:sz w:val="24"/>
          <w:szCs w:val="24"/>
          <w:highlight w:val="none"/>
          <w:u w:val="single"/>
          <w:lang w:eastAsia="zh-CN"/>
        </w:rPr>
        <w:t xml:space="preserve">                                                      </w:t>
      </w:r>
    </w:p>
    <w:p w14:paraId="5F77A40B">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03" w:name="_Toc31157"/>
      <w:r>
        <w:rPr>
          <w:rFonts w:hint="eastAsia" w:ascii="仿宋" w:hAnsi="仿宋" w:eastAsia="仿宋" w:cs="仿宋"/>
          <w:b/>
          <w:bCs/>
          <w:color w:val="auto"/>
          <w:sz w:val="24"/>
          <w:szCs w:val="24"/>
          <w:highlight w:val="none"/>
          <w:lang w:eastAsia="zh-CN"/>
        </w:rPr>
        <w:t>第二条 工期要求</w:t>
      </w:r>
      <w:bookmarkEnd w:id="103"/>
    </w:p>
    <w:p w14:paraId="48519D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2.1总工期为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日历天,计划开工日期：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日,计划完工日期：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日。实际开工日期、完工日期以甲方书面通知为准。</w:t>
      </w:r>
    </w:p>
    <w:p w14:paraId="6A7DCE66">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lang w:eastAsia="zh-CN"/>
        </w:rPr>
        <w:t>2.2主要阶段性节点完成时间：满足甲方的时间节点要求。</w:t>
      </w:r>
      <w:r>
        <w:rPr>
          <w:rFonts w:hint="eastAsia" w:ascii="仿宋" w:hAnsi="仿宋" w:eastAsia="仿宋" w:cs="仿宋"/>
          <w:bCs/>
          <w:color w:val="auto"/>
          <w:sz w:val="24"/>
          <w:szCs w:val="24"/>
          <w:highlight w:val="none"/>
          <w:lang w:eastAsia="zh-CN"/>
        </w:rPr>
        <w:t>若甲方认为有必要调整某节点工区、区段工期时，</w:t>
      </w:r>
      <w:r>
        <w:rPr>
          <w:rFonts w:hint="eastAsia" w:ascii="仿宋" w:hAnsi="仿宋" w:eastAsia="仿宋" w:cs="仿宋"/>
          <w:color w:val="auto"/>
          <w:sz w:val="24"/>
          <w:szCs w:val="24"/>
          <w:highlight w:val="none"/>
          <w:lang w:eastAsia="zh-CN"/>
        </w:rPr>
        <w:t>甲乙双方共同协商后，在合理安排工期内，乙方全力配合</w:t>
      </w:r>
      <w:r>
        <w:rPr>
          <w:rFonts w:hint="eastAsia" w:ascii="仿宋" w:hAnsi="仿宋" w:eastAsia="仿宋" w:cs="仿宋"/>
          <w:bCs/>
          <w:color w:val="auto"/>
          <w:sz w:val="24"/>
          <w:szCs w:val="24"/>
          <w:highlight w:val="none"/>
          <w:lang w:eastAsia="zh-CN"/>
        </w:rPr>
        <w:t>。</w:t>
      </w:r>
    </w:p>
    <w:p w14:paraId="3CF77E9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2.3工期应满足甲方合同约定内总工期及节点工期要求，若不能满足，乙方应承担工期延误违约责任。乙方支付逾期完工违约金后，不免除乙方继续完成施工作业及整改的义务。</w:t>
      </w:r>
    </w:p>
    <w:p w14:paraId="6F915ABB">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04" w:name="_Toc25946"/>
      <w:r>
        <w:rPr>
          <w:rFonts w:hint="eastAsia" w:ascii="仿宋" w:hAnsi="仿宋" w:eastAsia="仿宋" w:cs="仿宋"/>
          <w:color w:val="auto"/>
          <w:sz w:val="24"/>
          <w:szCs w:val="24"/>
          <w:highlight w:val="none"/>
          <w:lang w:eastAsia="zh-CN"/>
        </w:rPr>
        <w:t>2.4经甲方合同授权人书面确认的以下原因，工期可相应顺延：</w:t>
      </w:r>
      <w:bookmarkEnd w:id="104"/>
    </w:p>
    <w:p w14:paraId="1E9F9B1A">
      <w:pPr>
        <w:numPr>
          <w:ilvl w:val="0"/>
          <w:numId w:val="2"/>
        </w:num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因自然灾害、非乙方责任造成的爆炸和火灾或不可抗力；</w:t>
      </w:r>
    </w:p>
    <w:p w14:paraId="379D9649">
      <w:pPr>
        <w:numPr>
          <w:ilvl w:val="0"/>
          <w:numId w:val="2"/>
        </w:num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因甲方指令错误，致使乙方施工不能正常进行；</w:t>
      </w:r>
    </w:p>
    <w:p w14:paraId="5C6B9A7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2.5乙方应在2.4条约定原因发生后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个日历天内，向甲方合同授权人提交顺延工期的书面报告及相应的证据资料。否则，视为乙方放弃顺延工期，且甲方无需就延期事宜做出任何决定，因此导致工程未按期完成，乙方承担工期违约责任。</w:t>
      </w:r>
    </w:p>
    <w:p w14:paraId="191E927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2.6本项目工序施工过程中，由于乙方原因导致的工期延误，甲方予以督促后，乙方进度仍无法满足工期要求的，需向甲方承担工期逾期违约责任。</w:t>
      </w:r>
    </w:p>
    <w:p w14:paraId="053A9E37">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05" w:name="_Toc27667"/>
      <w:r>
        <w:rPr>
          <w:rFonts w:hint="eastAsia" w:ascii="仿宋" w:hAnsi="仿宋" w:eastAsia="仿宋" w:cs="仿宋"/>
          <w:b/>
          <w:bCs/>
          <w:color w:val="auto"/>
          <w:sz w:val="24"/>
          <w:szCs w:val="24"/>
          <w:highlight w:val="none"/>
          <w:lang w:eastAsia="zh-CN"/>
        </w:rPr>
        <w:t>第三条 工程质量目标</w:t>
      </w:r>
      <w:bookmarkEnd w:id="105"/>
    </w:p>
    <w:p w14:paraId="17F5BE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3.1工程质量，应符合甲方与乙方签订的合同中关于质量标准的约定，符合国家现行施工及验收规范的合格标准。</w:t>
      </w:r>
    </w:p>
    <w:p w14:paraId="1BB0A8F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3.2其他质量要求：乙方应确保工程质量达到合同约定工程质量标准，否则应承担违约责任及因此造成的一切损失。</w:t>
      </w:r>
    </w:p>
    <w:p w14:paraId="12C6AE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3.3若部分分项工程质量国家法律没有明确规定，该部分分项工程的质量要求最低须满足合理使用年限。</w:t>
      </w:r>
    </w:p>
    <w:p w14:paraId="036635A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3.4施工：按照施工图完成各项施工，包括地面铺装、墙面装饰、防护围栏、导向标识等装修，并由甲方或甲方聘请的监理单位验收通过。</w:t>
      </w:r>
    </w:p>
    <w:p w14:paraId="43F843EF">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06" w:name="_Toc4893"/>
      <w:r>
        <w:rPr>
          <w:rFonts w:hint="eastAsia" w:ascii="仿宋" w:hAnsi="仿宋" w:eastAsia="仿宋" w:cs="仿宋"/>
          <w:b/>
          <w:bCs/>
          <w:color w:val="auto"/>
          <w:sz w:val="24"/>
          <w:szCs w:val="24"/>
          <w:highlight w:val="none"/>
          <w:lang w:eastAsia="zh-CN"/>
        </w:rPr>
        <w:t>第四条 合同价款的计价方式</w:t>
      </w:r>
      <w:bookmarkEnd w:id="106"/>
    </w:p>
    <w:p w14:paraId="51A1392C">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07" w:name="_Toc25547"/>
      <w:r>
        <w:rPr>
          <w:rFonts w:hint="eastAsia" w:ascii="仿宋" w:hAnsi="仿宋" w:eastAsia="仿宋" w:cs="仿宋"/>
          <w:color w:val="auto"/>
          <w:sz w:val="24"/>
          <w:szCs w:val="24"/>
          <w:highlight w:val="none"/>
          <w:lang w:eastAsia="zh-CN"/>
        </w:rPr>
        <w:t>4.1合同价款：</w:t>
      </w:r>
      <w:bookmarkEnd w:id="107"/>
    </w:p>
    <w:p w14:paraId="45247CF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合同暂定总价为本项目中标价：人民币（大写</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p>
    <w:p w14:paraId="10EEBCD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不含税金额为：人民币（大写</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），税金为：人民币（大写</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p>
    <w:p w14:paraId="50AE60A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 除非本合同有特别约定，否则，所有税费均已包含在本合同价款中。如遇税务政策变化导致增值税税率/征收率变动、纳税人资格变更等情况发生，双方根据最新政策调整合同价款。</w:t>
      </w:r>
    </w:p>
    <w:p w14:paraId="55BE955E">
      <w:pPr>
        <w:spacing w:line="360" w:lineRule="auto"/>
        <w:ind w:firstLine="482" w:firstLineChars="200"/>
        <w:outlineLvl w:val="1"/>
        <w:rPr>
          <w:rFonts w:eastAsia="仿宋"/>
          <w:color w:val="auto"/>
          <w:sz w:val="24"/>
          <w:szCs w:val="24"/>
          <w:highlight w:val="none"/>
          <w:lang w:eastAsia="zh-CN"/>
        </w:rPr>
      </w:pPr>
      <w:bookmarkStart w:id="108" w:name="_Toc31250"/>
      <w:r>
        <w:rPr>
          <w:rFonts w:hint="eastAsia" w:ascii="仿宋" w:hAnsi="仿宋" w:eastAsia="仿宋" w:cs="仿宋"/>
          <w:b/>
          <w:bCs/>
          <w:color w:val="auto"/>
          <w:sz w:val="24"/>
          <w:szCs w:val="24"/>
          <w:highlight w:val="none"/>
          <w:lang w:eastAsia="zh-CN"/>
        </w:rPr>
        <w:t>第五条 合同变更</w:t>
      </w:r>
      <w:bookmarkEnd w:id="108"/>
    </w:p>
    <w:p w14:paraId="3D6F99B1">
      <w:pPr>
        <w:snapToGrid/>
        <w:spacing w:line="360" w:lineRule="auto"/>
        <w:ind w:firstLine="480" w:firstLineChars="200"/>
        <w:rPr>
          <w:rFonts w:hint="eastAsia" w:ascii="仿宋" w:hAnsi="仿宋" w:eastAsia="仿宋" w:cs="仿宋"/>
          <w:color w:val="auto"/>
          <w:sz w:val="24"/>
          <w:szCs w:val="24"/>
          <w:highlight w:val="none"/>
          <w:lang w:eastAsia="zh-CN"/>
        </w:rPr>
      </w:pPr>
      <w:bookmarkStart w:id="109" w:name="_Hlk27950706"/>
      <w:r>
        <w:rPr>
          <w:rFonts w:hint="eastAsia" w:ascii="仿宋" w:hAnsi="仿宋" w:eastAsia="仿宋" w:cs="仿宋"/>
          <w:color w:val="auto"/>
          <w:sz w:val="24"/>
          <w:szCs w:val="24"/>
          <w:highlight w:val="none"/>
          <w:lang w:eastAsia="zh-CN"/>
        </w:rPr>
        <w:t>5.1工程实施过程中发生不超出</w:t>
      </w:r>
      <w:r>
        <w:rPr>
          <w:rFonts w:hint="eastAsia" w:ascii="仿宋" w:hAnsi="仿宋" w:eastAsia="仿宋" w:cs="仿宋"/>
          <w:bCs/>
          <w:color w:val="auto"/>
          <w:sz w:val="24"/>
          <w:szCs w:val="24"/>
          <w:highlight w:val="none"/>
          <w:lang w:eastAsia="zh-CN"/>
        </w:rPr>
        <w:t>合同暂定总价</w:t>
      </w:r>
      <w:r>
        <w:rPr>
          <w:rFonts w:hint="eastAsia" w:ascii="仿宋" w:hAnsi="仿宋" w:eastAsia="仿宋" w:cs="仿宋"/>
          <w:color w:val="auto"/>
          <w:sz w:val="24"/>
          <w:szCs w:val="24"/>
          <w:highlight w:val="none"/>
          <w:lang w:eastAsia="zh-CN"/>
        </w:rPr>
        <w:t>10%的任何变更，乙方须无条件执行，计费标准按照合同暂定价中的造价进行结算和付款。如在变更过程中有未签订单价，需进行认质认价后乙方进行执行，不得拒绝，否则须向甲方承担合同暂定总价5%的违约金。</w:t>
      </w:r>
    </w:p>
    <w:p w14:paraId="78D9CD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w:t>
      </w:r>
      <w:r>
        <w:rPr>
          <w:rFonts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lang w:eastAsia="zh-CN"/>
        </w:rPr>
        <w:t>如需变更本合同条款，双方另行签订补充协议。双方签订补充协议必须加盖公司公章该协议才能生效，仅有个人签字没有公司公章的情况下该协议对甲乙双方不产生效力，即使协议中的内容已经实行，但结算和付款、违约责任等全部内容仍应按照本合同予以执行。</w:t>
      </w:r>
    </w:p>
    <w:bookmarkEnd w:id="109"/>
    <w:p w14:paraId="06B17460">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10" w:name="_Toc20796"/>
      <w:r>
        <w:rPr>
          <w:rFonts w:hint="eastAsia" w:ascii="仿宋" w:hAnsi="仿宋" w:eastAsia="仿宋" w:cs="仿宋"/>
          <w:b/>
          <w:bCs/>
          <w:color w:val="auto"/>
          <w:sz w:val="24"/>
          <w:szCs w:val="24"/>
          <w:highlight w:val="none"/>
          <w:lang w:eastAsia="zh-CN"/>
        </w:rPr>
        <w:t>第六条 合同结算</w:t>
      </w:r>
      <w:bookmarkEnd w:id="110"/>
    </w:p>
    <w:p w14:paraId="7C6FEF26">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lang w:eastAsia="zh-CN"/>
        </w:rPr>
        <w:t xml:space="preserve">6.1 </w:t>
      </w:r>
      <w:r>
        <w:rPr>
          <w:rFonts w:hint="eastAsia" w:ascii="仿宋" w:hAnsi="仿宋" w:eastAsia="仿宋" w:cs="仿宋"/>
          <w:bCs/>
          <w:color w:val="auto"/>
          <w:sz w:val="24"/>
          <w:szCs w:val="24"/>
          <w:highlight w:val="none"/>
          <w:lang w:eastAsia="zh-CN"/>
        </w:rPr>
        <w:t>完成合同内容后，乙方办理竣工结算申请，递交经</w:t>
      </w:r>
      <w:r>
        <w:rPr>
          <w:rFonts w:hint="eastAsia" w:ascii="仿宋" w:hAnsi="仿宋" w:eastAsia="仿宋" w:cs="仿宋"/>
          <w:color w:val="auto"/>
          <w:sz w:val="24"/>
          <w:szCs w:val="24"/>
          <w:highlight w:val="none"/>
          <w:lang w:eastAsia="zh-CN"/>
        </w:rPr>
        <w:t>甲方或甲方聘请的监理单位</w:t>
      </w:r>
      <w:r>
        <w:rPr>
          <w:rFonts w:hint="eastAsia" w:ascii="仿宋" w:hAnsi="仿宋" w:eastAsia="仿宋" w:cs="仿宋"/>
          <w:bCs/>
          <w:color w:val="auto"/>
          <w:sz w:val="24"/>
          <w:szCs w:val="24"/>
          <w:highlight w:val="none"/>
          <w:lang w:eastAsia="zh-CN"/>
        </w:rPr>
        <w:t>验收，经验收合格后办理合同竣工结算：</w:t>
      </w:r>
    </w:p>
    <w:p w14:paraId="2AC302FD">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（1）全部完成合同履约内容（招标范围和招标内容、设计施工图纸等），根据监理机构确认的竣工图办理竣工结算；</w:t>
      </w:r>
    </w:p>
    <w:p w14:paraId="4B099903">
      <w:pPr>
        <w:spacing w:line="360" w:lineRule="auto"/>
        <w:ind w:firstLine="480" w:firstLineChars="200"/>
        <w:outlineLvl w:val="2"/>
        <w:rPr>
          <w:rFonts w:hint="eastAsia" w:ascii="仿宋" w:hAnsi="仿宋" w:eastAsia="仿宋" w:cs="仿宋"/>
          <w:bCs/>
          <w:color w:val="auto"/>
          <w:sz w:val="24"/>
          <w:szCs w:val="24"/>
          <w:highlight w:val="none"/>
          <w:lang w:eastAsia="zh-CN"/>
        </w:rPr>
      </w:pPr>
      <w:bookmarkStart w:id="111" w:name="_Toc9455"/>
      <w:r>
        <w:rPr>
          <w:rFonts w:hint="eastAsia" w:ascii="仿宋" w:hAnsi="仿宋" w:eastAsia="仿宋" w:cs="仿宋"/>
          <w:bCs/>
          <w:color w:val="auto"/>
          <w:sz w:val="24"/>
          <w:szCs w:val="24"/>
          <w:highlight w:val="none"/>
          <w:lang w:eastAsia="zh-CN"/>
        </w:rPr>
        <w:t>（2）经甲方同意减少招标内容的，按合同签订造价金额结算扣除；</w:t>
      </w:r>
      <w:bookmarkEnd w:id="111"/>
    </w:p>
    <w:p w14:paraId="1CA2B544">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（3）未经甲方同意减少招标内容的，按未完成部分的造价金额扣减；</w:t>
      </w:r>
    </w:p>
    <w:p w14:paraId="27E9DA9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（4）实际完成工程量超出设计装修图纸的，合同竣工结算金额上限不得超过合同暂定总价（中标价）的10%。</w:t>
      </w:r>
    </w:p>
    <w:p w14:paraId="3BBE7E9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6.2办理竣工结算的计量、计价原则为：</w:t>
      </w:r>
    </w:p>
    <w:p w14:paraId="0B5BBDED">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u w:val="single" w:color="000000"/>
          <w:lang w:eastAsia="zh-CN"/>
        </w:rPr>
        <w:t>按照各类陕西省和西安市最新颁发的建筑安装装饰装修等各相关政策价格文件以及政府相关规定政策性调价文件，结合市场实际情况等各因素，依据竣工图计量计价，如合同签订中包含的造价，则按照合同签订造价进行计量计价，未包含的内容则按照5.1条的计量计价。</w:t>
      </w:r>
    </w:p>
    <w:p w14:paraId="465574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6.2.1乙方未按招标文件范围完成的施工内容，结算扣除原则：</w:t>
      </w:r>
    </w:p>
    <w:p w14:paraId="751C23C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未经甲方或甲方聘请的监理单位同意、或未能按工期完成的施工内容，在办理竣工结算时按上述6</w:t>
      </w:r>
      <w:r>
        <w:rPr>
          <w:rFonts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lang w:eastAsia="zh-CN"/>
        </w:rPr>
        <w:t>条的计量、计价标准金额永久扣除；</w:t>
      </w:r>
    </w:p>
    <w:p w14:paraId="305DB8C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6.2.2根据验收情况确定，甲方有权根据工程质量对费用予以扣减。</w:t>
      </w:r>
    </w:p>
    <w:p w14:paraId="5120866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6.3竣工结算办理</w:t>
      </w:r>
    </w:p>
    <w:p w14:paraId="33B6111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6.3.1竣工结算条件：</w:t>
      </w:r>
    </w:p>
    <w:p w14:paraId="609B6D3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（1）招标文件和合同范围内的内容全部完成，并经甲方或甲方聘请的监理单位验收合格；</w:t>
      </w:r>
    </w:p>
    <w:p w14:paraId="4EC9139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（2）乙方完工场清，其施工区域、生活区域清理干净，工人全部退场；</w:t>
      </w:r>
    </w:p>
    <w:p w14:paraId="106867C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（3）全部技术、质量、管理资料整理齐全（捌套），并交付甲方验收合格；</w:t>
      </w:r>
    </w:p>
    <w:p w14:paraId="6F11997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其他条件：若出现质量问题，乙方无条件修补至合格为止，费用自理；若甲方代为修补，修补费用直接从合同价款中扣除，当出现因乙方资源投入不足或借故拖延或不办理竣工图、竣工资料时，每延迟一天，甲方有权按合同暂定总价的</w:t>
      </w:r>
      <w:r>
        <w:rPr>
          <w:rFonts w:hint="eastAsia" w:ascii="仿宋" w:hAnsi="仿宋" w:eastAsia="仿宋" w:cs="仿宋"/>
          <w:color w:val="auto"/>
          <w:sz w:val="24"/>
          <w:szCs w:val="24"/>
          <w:highlight w:val="none"/>
          <w:u w:val="single"/>
          <w:lang w:eastAsia="zh-CN"/>
        </w:rPr>
        <w:t>0.1</w:t>
      </w:r>
      <w:r>
        <w:rPr>
          <w:rFonts w:eastAsia="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作为违约金直接在乙方的合同价款中扣除，并安排人员整理竣工图、竣工资料，未完成该竣工图、竣工资料所增加的一切费用由乙方承担，给甲方造成损失的，乙方还应当全部赔偿。</w:t>
      </w:r>
    </w:p>
    <w:p w14:paraId="26C0C1D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6.3.2乙方在工程完工验收合格之日起</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个日历天内向甲方提供结算资料，甲方收到乙方报送的齐全的最终结算资料后进行最终结算审核工作。乙方未在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个日历天内提交的，甲方有权自行办理单方工程结算，并以此工程结算价款作为甲、乙双方的最终结算价款</w:t>
      </w:r>
      <w:r>
        <w:rPr>
          <w:rFonts w:hint="eastAsia" w:ascii="仿宋" w:hAnsi="仿宋" w:eastAsia="仿宋" w:cs="仿宋"/>
          <w:b/>
          <w:bCs/>
          <w:color w:val="auto"/>
          <w:sz w:val="24"/>
          <w:szCs w:val="24"/>
          <w:highlight w:val="none"/>
          <w:lang w:eastAsia="zh-CN"/>
        </w:rPr>
        <w:t>。</w:t>
      </w:r>
    </w:p>
    <w:p w14:paraId="52C0D0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6.3.3甲方收到乙方提供的结算资料，乙方配合甲方在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个日历天内完成对乙方结算的核对，若因乙方原因造成未按期办理完成的，甲方有权自行办理单方结算，并将结算结果通知乙方，乙方对此无异议。</w:t>
      </w:r>
    </w:p>
    <w:p w14:paraId="1FA4FA0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6.3.4双方最终结算及付款依据为</w:t>
      </w:r>
      <w:r>
        <w:rPr>
          <w:rFonts w:hint="eastAsia" w:ascii="仿宋" w:hAnsi="仿宋" w:eastAsia="仿宋" w:cs="仿宋"/>
          <w:color w:val="auto"/>
          <w:sz w:val="24"/>
          <w:szCs w:val="24"/>
          <w:highlight w:val="none"/>
          <w:lang w:eastAsia="zh-Hans"/>
        </w:rPr>
        <w:t>甲方</w:t>
      </w:r>
      <w:r>
        <w:rPr>
          <w:rFonts w:hint="eastAsia" w:ascii="仿宋" w:hAnsi="仿宋" w:eastAsia="仿宋" w:cs="仿宋"/>
          <w:color w:val="auto"/>
          <w:sz w:val="24"/>
          <w:szCs w:val="24"/>
          <w:highlight w:val="none"/>
          <w:lang w:eastAsia="zh-CN"/>
        </w:rPr>
        <w:t>结算审核报告，必须由甲方项目负责人签字并加盖公司公章；一人签字的情况下以上资料文件均不产生效力。未加盖上述印章或印章不全，仅有人员签字的结算不对任何一方产生效力，视为无效结算或虚假结算。</w:t>
      </w:r>
    </w:p>
    <w:p w14:paraId="00A346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6.4双方对最终结算约定的其他事项：工程竣工验收合格后，乙方在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个日历天内向甲方提交结算报告及完整的结算资料，并配合甲方进行最终结算核对，扣除罚款、扣款等费用后，作为乙方最终结算造价。</w:t>
      </w:r>
    </w:p>
    <w:p w14:paraId="20EA286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6.5索赔的程序：乙方应在索赔事件发生7个日历天内，将索赔数额和索赔依据上报甲方审核。若乙方未按时报送索赔事项，视为乙方放弃其索赔权利，在此时间后提交的任何补充索赔请求均不予批准。</w:t>
      </w:r>
    </w:p>
    <w:p w14:paraId="67C47FA4">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12" w:name="_Toc26805"/>
      <w:r>
        <w:rPr>
          <w:rFonts w:hint="eastAsia" w:ascii="仿宋" w:hAnsi="仿宋" w:eastAsia="仿宋" w:cs="仿宋"/>
          <w:b/>
          <w:bCs/>
          <w:color w:val="auto"/>
          <w:sz w:val="24"/>
          <w:szCs w:val="24"/>
          <w:highlight w:val="none"/>
          <w:lang w:eastAsia="zh-CN"/>
        </w:rPr>
        <w:t>第七条 税务约定</w:t>
      </w:r>
      <w:bookmarkEnd w:id="112"/>
    </w:p>
    <w:p w14:paraId="224723B2">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7.1本工程合同计税方法适用一般计税。</w:t>
      </w:r>
    </w:p>
    <w:p w14:paraId="7D496BB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7.2甲方相关信息及要求</w:t>
      </w:r>
    </w:p>
    <w:p w14:paraId="515F4BFB">
      <w:pPr>
        <w:numPr>
          <w:ilvl w:val="0"/>
          <w:numId w:val="3"/>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u w:val="single"/>
          <w:lang w:eastAsia="zh-CN"/>
        </w:rPr>
        <w:t xml:space="preserve">                                                </w:t>
      </w:r>
    </w:p>
    <w:p w14:paraId="3CC590F6">
      <w:pPr>
        <w:numPr>
          <w:ilvl w:val="0"/>
          <w:numId w:val="3"/>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eastAsia="zh-CN"/>
        </w:rPr>
        <w:t xml:space="preserve">                                         </w:t>
      </w:r>
    </w:p>
    <w:p w14:paraId="1A12A4C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（3）注册地址：</w:t>
      </w:r>
      <w:r>
        <w:rPr>
          <w:rFonts w:hint="eastAsia" w:ascii="仿宋" w:hAnsi="仿宋" w:eastAsia="仿宋" w:cs="仿宋"/>
          <w:color w:val="auto"/>
          <w:sz w:val="24"/>
          <w:szCs w:val="24"/>
          <w:highlight w:val="none"/>
          <w:u w:val="single"/>
          <w:lang w:eastAsia="zh-CN"/>
        </w:rPr>
        <w:t xml:space="preserve">                                                 </w:t>
      </w:r>
    </w:p>
    <w:p w14:paraId="63C7937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（4）开户行账号：</w:t>
      </w:r>
      <w:r>
        <w:rPr>
          <w:rFonts w:hint="eastAsia" w:ascii="仿宋" w:hAnsi="仿宋" w:eastAsia="仿宋" w:cs="仿宋"/>
          <w:color w:val="auto"/>
          <w:sz w:val="24"/>
          <w:szCs w:val="24"/>
          <w:highlight w:val="none"/>
          <w:u w:val="single"/>
          <w:lang w:eastAsia="zh-CN"/>
        </w:rPr>
        <w:t xml:space="preserve">                                               </w:t>
      </w:r>
    </w:p>
    <w:p w14:paraId="32841636">
      <w:pPr>
        <w:spacing w:line="360" w:lineRule="auto"/>
        <w:ind w:firstLine="480" w:firstLineChars="20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（5）开户银行：</w:t>
      </w:r>
      <w:r>
        <w:rPr>
          <w:rFonts w:hint="eastAsia" w:ascii="仿宋" w:hAnsi="仿宋" w:eastAsia="仿宋" w:cs="仿宋"/>
          <w:color w:val="auto"/>
          <w:sz w:val="24"/>
          <w:szCs w:val="24"/>
          <w:highlight w:val="none"/>
          <w:u w:val="single"/>
          <w:lang w:eastAsia="zh-CN"/>
        </w:rPr>
        <w:t xml:space="preserve">                                                 </w:t>
      </w:r>
    </w:p>
    <w:p w14:paraId="092AEFCC">
      <w:pPr>
        <w:spacing w:line="360" w:lineRule="auto"/>
        <w:ind w:firstLine="480" w:firstLineChars="20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（6）业务电话：</w:t>
      </w:r>
      <w:r>
        <w:rPr>
          <w:rFonts w:hint="eastAsia" w:ascii="仿宋" w:hAnsi="仿宋" w:eastAsia="仿宋" w:cs="仿宋"/>
          <w:color w:val="auto"/>
          <w:sz w:val="24"/>
          <w:szCs w:val="24"/>
          <w:highlight w:val="none"/>
          <w:u w:val="single"/>
          <w:lang w:eastAsia="zh-CN"/>
        </w:rPr>
        <w:t xml:space="preserve">                                                 </w:t>
      </w:r>
    </w:p>
    <w:p w14:paraId="100FA5C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（7）因甲方提供信息有误造成增值税发票无法开具或增值税专用发票无法抵扣的全部责任由甲方自行承担。</w:t>
      </w:r>
    </w:p>
    <w:p w14:paraId="7FB914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（8）甲方项目负责人：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，联系电话：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，负责向乙方提供增值税发票所需信息并对其准确性及真实性负责，并负责对乙方提供的付款申请、购销凭证、增值税发票初验。</w:t>
      </w:r>
    </w:p>
    <w:p w14:paraId="01213397">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13" w:name="_Toc16754"/>
      <w:r>
        <w:rPr>
          <w:rFonts w:hint="eastAsia" w:ascii="仿宋" w:hAnsi="仿宋" w:eastAsia="仿宋" w:cs="仿宋"/>
          <w:color w:val="auto"/>
          <w:sz w:val="24"/>
          <w:szCs w:val="24"/>
          <w:highlight w:val="none"/>
          <w:lang w:eastAsia="zh-CN"/>
        </w:rPr>
        <w:t>7.3乙方相关信息及要求</w:t>
      </w:r>
      <w:bookmarkEnd w:id="113"/>
    </w:p>
    <w:p w14:paraId="4E3EFF4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（1）乙方应提供发票类型为增值税普通发票：税率：</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（税率随国家相应税率变化而变化）</w:t>
      </w:r>
    </w:p>
    <w:p w14:paraId="3824D6E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（2）收款银行账号：</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7F92E7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（3）开户银行：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6EB79C99">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（4）乙方应在合同约定付款时间前</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w:t>
      </w:r>
      <w:r>
        <w:rPr>
          <w:rFonts w:hint="eastAsia" w:ascii="仿宋" w:hAnsi="仿宋" w:eastAsia="仿宋" w:cs="仿宋"/>
          <w:bCs/>
          <w:color w:val="auto"/>
          <w:sz w:val="24"/>
          <w:szCs w:val="24"/>
          <w:highlight w:val="none"/>
          <w:lang w:eastAsia="zh-CN"/>
        </w:rPr>
        <w:t>内，按双方确认的当期结算金额，向甲方提供合同约定类型的增值税发票，</w:t>
      </w:r>
      <w:r>
        <w:rPr>
          <w:rFonts w:hint="eastAsia" w:ascii="仿宋" w:hAnsi="仿宋" w:eastAsia="仿宋" w:cs="仿宋"/>
          <w:color w:val="auto"/>
          <w:sz w:val="24"/>
          <w:szCs w:val="24"/>
          <w:highlight w:val="none"/>
          <w:lang w:eastAsia="zh-CN"/>
        </w:rPr>
        <w:t>甲方验证合格后方可付款</w:t>
      </w:r>
      <w:r>
        <w:rPr>
          <w:rFonts w:hint="eastAsia" w:ascii="仿宋" w:hAnsi="仿宋" w:eastAsia="仿宋" w:cs="仿宋"/>
          <w:bCs/>
          <w:color w:val="auto"/>
          <w:sz w:val="24"/>
          <w:szCs w:val="24"/>
          <w:highlight w:val="none"/>
          <w:lang w:eastAsia="zh-CN"/>
        </w:rPr>
        <w:t>。</w:t>
      </w:r>
    </w:p>
    <w:p w14:paraId="02DDE5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（5）乙方项目负责人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，联系电话：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，负责向甲方提供发票及所需资料，并配合甲方指定人员对所提供发票及资料初验，保证开具发票清晰规范、票面信息正确。</w:t>
      </w:r>
    </w:p>
    <w:p w14:paraId="45B4D73E">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乙方应确保提供真实的纳税人识别信息、法人授权委托书，并对提供给甲方的购销凭证、发票的真实性、合法性负责。乙方涉嫌虚开增值税发票的，由其承担相应的法律责任，对甲方造成的损失乙方承担赔偿责任。</w:t>
      </w:r>
    </w:p>
    <w:p w14:paraId="323772D3">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7.4如乙方不能提供合同约定类型发票或乙方提供发票无法通过税务机关验证或乙方被加入税务机关异常名单的，乙方应承担甲方不能抵扣的损失（包括但不限于罚款、人工费、合理费用支出等），在上述情形未处理完毕前，甲方有权停止支付全部或部分合同价款，乙方须承担应抵扣税金两倍的违约金。</w:t>
      </w:r>
    </w:p>
    <w:p w14:paraId="4DDF571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7.5如乙方给甲方提供虚假、不合法的增值税发票，应承担的违约责任：乙方须承担因其提供虚假发票给甲方造成经济损失并承担相应法律责任，但不免除其继续提供合法票据的义务。</w:t>
      </w:r>
    </w:p>
    <w:p w14:paraId="0D42C29B">
      <w:pPr>
        <w:spacing w:line="360" w:lineRule="auto"/>
        <w:ind w:firstLine="482" w:firstLineChars="200"/>
        <w:jc w:val="left"/>
        <w:outlineLvl w:val="1"/>
        <w:rPr>
          <w:rFonts w:hint="eastAsia" w:ascii="仿宋" w:hAnsi="仿宋" w:eastAsia="仿宋" w:cs="仿宋"/>
          <w:b/>
          <w:bCs/>
          <w:color w:val="auto"/>
          <w:sz w:val="24"/>
          <w:szCs w:val="24"/>
          <w:highlight w:val="none"/>
          <w:lang w:eastAsia="zh-CN"/>
        </w:rPr>
      </w:pPr>
      <w:bookmarkStart w:id="114" w:name="_Toc26878"/>
      <w:r>
        <w:rPr>
          <w:rFonts w:hint="eastAsia" w:ascii="仿宋" w:hAnsi="仿宋" w:eastAsia="仿宋" w:cs="仿宋"/>
          <w:b/>
          <w:bCs/>
          <w:color w:val="auto"/>
          <w:sz w:val="24"/>
          <w:szCs w:val="24"/>
          <w:highlight w:val="none"/>
          <w:lang w:eastAsia="zh-CN"/>
        </w:rPr>
        <w:t>第八条 合同价款的支付</w:t>
      </w:r>
      <w:bookmarkEnd w:id="114"/>
    </w:p>
    <w:p w14:paraId="6B12AE71">
      <w:pPr>
        <w:spacing w:line="360" w:lineRule="auto"/>
        <w:ind w:firstLine="480" w:firstLineChars="200"/>
        <w:jc w:val="left"/>
        <w:rPr>
          <w:rFonts w:hint="eastAsia" w:ascii="仿宋" w:hAnsi="仿宋" w:eastAsia="仿宋" w:cs="仿宋"/>
          <w:bCs/>
          <w:color w:val="auto"/>
          <w:sz w:val="24"/>
          <w:szCs w:val="24"/>
          <w:highlight w:val="none"/>
          <w:lang w:eastAsia="zh-CN"/>
        </w:rPr>
      </w:pPr>
      <w:bookmarkStart w:id="115" w:name="_Toc17214"/>
      <w:bookmarkStart w:id="116" w:name="_Hlk6494710"/>
      <w:r>
        <w:rPr>
          <w:rFonts w:hint="eastAsia" w:ascii="仿宋" w:hAnsi="仿宋" w:eastAsia="仿宋" w:cs="仿宋"/>
          <w:bCs/>
          <w:color w:val="auto"/>
          <w:sz w:val="24"/>
          <w:szCs w:val="24"/>
          <w:highlight w:val="none"/>
          <w:lang w:eastAsia="zh-CN"/>
        </w:rPr>
        <w:t>8.1支付方式</w:t>
      </w:r>
      <w:bookmarkEnd w:id="115"/>
      <w:r>
        <w:rPr>
          <w:rFonts w:hint="eastAsia" w:ascii="仿宋" w:hAnsi="仿宋" w:eastAsia="仿宋" w:cs="仿宋"/>
          <w:bCs/>
          <w:color w:val="auto"/>
          <w:sz w:val="24"/>
          <w:szCs w:val="24"/>
          <w:highlight w:val="none"/>
          <w:lang w:eastAsia="zh-CN"/>
        </w:rPr>
        <w:t>：</w:t>
      </w:r>
      <w:r>
        <w:rPr>
          <w:rFonts w:hint="eastAsia" w:ascii="仿宋" w:hAnsi="仿宋" w:eastAsia="仿宋" w:cs="仿宋"/>
          <w:spacing w:val="8"/>
          <w:sz w:val="24"/>
          <w:szCs w:val="24"/>
          <w:highlight w:val="none"/>
          <w:lang w:eastAsia="zh-CN"/>
        </w:rPr>
        <w:t>合同签订中标人进场后支付合同价款的</w:t>
      </w:r>
      <w:r>
        <w:rPr>
          <w:rFonts w:hint="eastAsia" w:ascii="仿宋" w:hAnsi="仿宋" w:eastAsia="仿宋" w:cs="仿宋"/>
          <w:spacing w:val="8"/>
          <w:sz w:val="24"/>
          <w:szCs w:val="24"/>
          <w:highlight w:val="none"/>
          <w:lang w:val="en-US" w:eastAsia="zh-CN"/>
        </w:rPr>
        <w:t>4</w:t>
      </w:r>
      <w:r>
        <w:rPr>
          <w:rFonts w:hint="eastAsia" w:ascii="仿宋" w:hAnsi="仿宋" w:eastAsia="仿宋" w:cs="仿宋"/>
          <w:spacing w:val="8"/>
          <w:sz w:val="24"/>
          <w:szCs w:val="24"/>
          <w:highlight w:val="none"/>
          <w:lang w:eastAsia="zh-CN"/>
        </w:rPr>
        <w:t>0%为预付款，工程竣工验收合格后支付至合同价款</w:t>
      </w:r>
      <w:r>
        <w:rPr>
          <w:rFonts w:hint="eastAsia" w:ascii="仿宋" w:hAnsi="仿宋" w:eastAsia="仿宋" w:cs="仿宋"/>
          <w:spacing w:val="8"/>
          <w:sz w:val="24"/>
          <w:szCs w:val="24"/>
          <w:highlight w:val="none"/>
          <w:lang w:val="en-US" w:eastAsia="zh-CN"/>
        </w:rPr>
        <w:t>8</w:t>
      </w:r>
      <w:r>
        <w:rPr>
          <w:rFonts w:hint="eastAsia" w:ascii="仿宋" w:hAnsi="仿宋" w:eastAsia="仿宋" w:cs="仿宋"/>
          <w:spacing w:val="8"/>
          <w:sz w:val="24"/>
          <w:szCs w:val="24"/>
          <w:highlight w:val="none"/>
          <w:lang w:eastAsia="zh-CN"/>
        </w:rPr>
        <w:t>0%，审计完成后支付至审计价款的97%，剩余3%在质保期满</w:t>
      </w:r>
      <w:r>
        <w:rPr>
          <w:rFonts w:hint="eastAsia" w:ascii="仿宋" w:hAnsi="仿宋" w:eastAsia="仿宋" w:cs="仿宋"/>
          <w:color w:val="auto"/>
          <w:spacing w:val="8"/>
          <w:sz w:val="24"/>
          <w:szCs w:val="24"/>
          <w:highlight w:val="none"/>
          <w:lang w:eastAsia="zh-CN"/>
        </w:rPr>
        <w:t>（自竣工验收合格之日起计算，2年）</w:t>
      </w:r>
      <w:r>
        <w:rPr>
          <w:rFonts w:hint="eastAsia" w:ascii="仿宋" w:hAnsi="仿宋" w:eastAsia="仿宋" w:cs="仿宋"/>
          <w:spacing w:val="8"/>
          <w:sz w:val="24"/>
          <w:szCs w:val="24"/>
          <w:highlight w:val="none"/>
          <w:lang w:eastAsia="zh-CN"/>
        </w:rPr>
        <w:t>后支付</w:t>
      </w:r>
      <w:r>
        <w:rPr>
          <w:rFonts w:hint="eastAsia" w:ascii="仿宋" w:hAnsi="仿宋" w:eastAsia="仿宋" w:cs="仿宋"/>
          <w:bCs/>
          <w:color w:val="auto"/>
          <w:sz w:val="24"/>
          <w:szCs w:val="24"/>
          <w:highlight w:val="none"/>
          <w:lang w:eastAsia="zh-CN"/>
        </w:rPr>
        <w:t>。</w:t>
      </w:r>
    </w:p>
    <w:bookmarkEnd w:id="116"/>
    <w:p w14:paraId="659C5B21">
      <w:pPr>
        <w:spacing w:line="360" w:lineRule="auto"/>
        <w:ind w:firstLine="480" w:firstLineChars="200"/>
        <w:jc w:val="left"/>
        <w:outlineLvl w:val="2"/>
        <w:rPr>
          <w:rFonts w:hint="eastAsia" w:ascii="仿宋" w:hAnsi="仿宋" w:eastAsia="仿宋" w:cs="仿宋"/>
          <w:bCs/>
          <w:color w:val="auto"/>
          <w:sz w:val="24"/>
          <w:szCs w:val="24"/>
          <w:highlight w:val="none"/>
          <w:lang w:eastAsia="zh-CN"/>
        </w:rPr>
      </w:pPr>
      <w:bookmarkStart w:id="117" w:name="_Toc20289"/>
      <w:r>
        <w:rPr>
          <w:rFonts w:hint="eastAsia" w:ascii="仿宋" w:hAnsi="仿宋" w:eastAsia="仿宋" w:cs="仿宋"/>
          <w:bCs/>
          <w:color w:val="auto"/>
          <w:sz w:val="24"/>
          <w:szCs w:val="24"/>
          <w:highlight w:val="none"/>
          <w:lang w:eastAsia="zh-CN"/>
        </w:rPr>
        <w:t>8.2进度款支付</w:t>
      </w:r>
      <w:bookmarkEnd w:id="117"/>
    </w:p>
    <w:p w14:paraId="3AF8ACCD">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（1）当期发生的各种罚款、违约金等，甲方在支付当期进度款时扣除。</w:t>
      </w:r>
    </w:p>
    <w:p w14:paraId="602D493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遵循“先开票、后付款”的原则，在甲方向乙方支付款项前，依据国家有关税务法律法规之规定按双方确认的当期结算金额，乙方提供足额正规的增值税发票及所需资料监理单位查验无误后报甲方审核，甲方审核无误后方可付款。否则，甲方有权不予付款或顺延付款时间。乙方不得因此停止施工作业，否则，乙方应承担延误工期违约责任。</w:t>
      </w:r>
    </w:p>
    <w:p w14:paraId="7DF7ED5C">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8.3</w:t>
      </w:r>
      <w:r>
        <w:rPr>
          <w:rFonts w:hint="eastAsia" w:ascii="仿宋" w:hAnsi="仿宋" w:eastAsia="仿宋" w:cs="仿宋"/>
          <w:bCs/>
          <w:color w:val="auto"/>
          <w:sz w:val="24"/>
          <w:szCs w:val="24"/>
          <w:highlight w:val="none"/>
          <w:lang w:eastAsia="zh-CN"/>
        </w:rPr>
        <w:t>在签订本合同时，乙方已经知晓和甲方签订合同中的付款条件和时间节点，所以完全能够理解本条中合同价款支付的时间和条件，充分考虑企业经营风险，同意甲方以此为基础和本合同的付款相关联，同意合同约定的付款方式。</w:t>
      </w:r>
    </w:p>
    <w:p w14:paraId="2FE87C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8.4乙方保证按时足额向乙方作业工人支付工资。乙方作业工人或材料供货商等相关单位采用非法手段索取工资等薪酬，包括但不限于：农民工、材料供货商到甲方办公室区域拉横幅、堵门，到上级其他部门或其他任意地方堵门、堵路等所有扰乱甲方正常办公或社会稳定的事件，乙方必须在甲方限定时间内解决问题。</w:t>
      </w:r>
    </w:p>
    <w:p w14:paraId="6D7F28B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8.5甲方有权随时抽查乙方农民工工资支付情况，若发现乙方未按时足额支付其农民工工资的，甲方有权处罚合同价款的</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%；累计发生两次，甲方有权解除合同。若导致甲方被第三方投诉或起诉的，甲方有权向乙方处</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万元/次罚款，该罚款甲方直接从合同价款中扣除。</w:t>
      </w:r>
    </w:p>
    <w:p w14:paraId="04C98454">
      <w:pPr>
        <w:spacing w:line="360" w:lineRule="auto"/>
        <w:ind w:firstLine="482" w:firstLineChars="200"/>
        <w:jc w:val="left"/>
        <w:outlineLvl w:val="1"/>
        <w:rPr>
          <w:rFonts w:hint="eastAsia" w:ascii="仿宋" w:hAnsi="仿宋" w:eastAsia="仿宋" w:cs="仿宋"/>
          <w:b/>
          <w:bCs/>
          <w:color w:val="auto"/>
          <w:sz w:val="24"/>
          <w:szCs w:val="24"/>
          <w:highlight w:val="none"/>
          <w:lang w:eastAsia="zh-CN"/>
        </w:rPr>
      </w:pPr>
      <w:bookmarkStart w:id="118" w:name="_Toc29345"/>
      <w:r>
        <w:rPr>
          <w:rFonts w:hint="eastAsia" w:ascii="仿宋" w:hAnsi="仿宋" w:eastAsia="仿宋" w:cs="仿宋"/>
          <w:b/>
          <w:bCs/>
          <w:color w:val="auto"/>
          <w:sz w:val="24"/>
          <w:szCs w:val="24"/>
          <w:highlight w:val="none"/>
          <w:lang w:eastAsia="zh-CN"/>
        </w:rPr>
        <w:t>第九条 安全管理</w:t>
      </w:r>
      <w:bookmarkEnd w:id="118"/>
    </w:p>
    <w:p w14:paraId="79270325">
      <w:pPr>
        <w:spacing w:line="360" w:lineRule="auto"/>
        <w:ind w:firstLine="480" w:firstLineChars="200"/>
        <w:jc w:val="left"/>
        <w:outlineLvl w:val="2"/>
        <w:rPr>
          <w:rFonts w:hint="eastAsia" w:ascii="仿宋" w:hAnsi="仿宋" w:eastAsia="仿宋" w:cs="仿宋"/>
          <w:color w:val="auto"/>
          <w:sz w:val="24"/>
          <w:szCs w:val="24"/>
          <w:highlight w:val="none"/>
          <w:lang w:eastAsia="zh-CN"/>
        </w:rPr>
      </w:pPr>
      <w:bookmarkStart w:id="119" w:name="_Toc11063"/>
      <w:r>
        <w:rPr>
          <w:rFonts w:hint="eastAsia" w:ascii="仿宋" w:hAnsi="仿宋" w:eastAsia="仿宋" w:cs="仿宋"/>
          <w:color w:val="auto"/>
          <w:sz w:val="24"/>
          <w:szCs w:val="24"/>
          <w:highlight w:val="none"/>
          <w:lang w:eastAsia="zh-CN"/>
        </w:rPr>
        <w:t>9.1本工程安全目标：零安全事故。</w:t>
      </w:r>
      <w:bookmarkEnd w:id="119"/>
    </w:p>
    <w:p w14:paraId="0DF6C480">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9.2乙方应遵守国家及工程所在地工程建设安全生产有关管理规定和要求，严格按安全标准施工，服从甲方及监理和物业管理方的监督、管理和指挥。</w:t>
      </w:r>
    </w:p>
    <w:p w14:paraId="0FFD6E99">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9.3签订本合同的同时签订《工程安全生产管理协议书》作为本合同的附件，与本合同具有同等法律效力。乙方必须为本工程安排专职安全员（应有安全生产考核合格证书且在有效期内），配备人数符合项目工程规模并常驻工地。在本合同施工范围内合理组织施工过程中的安全生产管理工作，并对因管理不善而导致的安全事故，由乙方自行承担所造成的责任后果。 </w:t>
      </w:r>
    </w:p>
    <w:p w14:paraId="121098D2">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9.4乙方必须为其现场作业人员购买人身意外伤害保险及工伤保险。若乙方未按约定购买保险发生伤亡事故及财产损失的，应当由乙方承担全部责任，如由此导致甲方被第三方主张权利的，由乙方承担最终责任并承担由此给甲方造成的经济、名誉损失。</w:t>
      </w:r>
    </w:p>
    <w:p w14:paraId="4CFAB18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9.5本工程若发生伤亡事故，按照法律规定由事故责任方承担相应的责任及损失。</w:t>
      </w:r>
    </w:p>
    <w:p w14:paraId="1178A2BE">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9.6乙方的作业人员在作业中受到伤害的，乙方应立即采取有效措施抢救和治疗，同时上报甲方，防止事故扩大，减少伤亡损失。乙方应承担作业人员因乙方或自身原因受到伤害发生的治疗、赔偿等所有费用。乙方在采取救治的过程中必须安排其他工作人员全程陪同，并对事故做书面说明。</w:t>
      </w:r>
    </w:p>
    <w:p w14:paraId="196964AB">
      <w:pPr>
        <w:spacing w:line="360" w:lineRule="auto"/>
        <w:ind w:firstLine="480" w:firstLineChars="200"/>
        <w:jc w:val="left"/>
        <w:outlineLvl w:val="2"/>
        <w:rPr>
          <w:rFonts w:hint="eastAsia" w:ascii="仿宋" w:hAnsi="仿宋" w:eastAsia="仿宋" w:cs="仿宋"/>
          <w:color w:val="auto"/>
          <w:sz w:val="24"/>
          <w:szCs w:val="24"/>
          <w:highlight w:val="none"/>
          <w:lang w:eastAsia="zh-CN"/>
        </w:rPr>
      </w:pPr>
      <w:bookmarkStart w:id="120" w:name="_Toc28298"/>
      <w:r>
        <w:rPr>
          <w:rFonts w:hint="eastAsia" w:ascii="仿宋" w:hAnsi="仿宋" w:eastAsia="仿宋" w:cs="仿宋"/>
          <w:color w:val="auto"/>
          <w:sz w:val="24"/>
          <w:szCs w:val="24"/>
          <w:highlight w:val="none"/>
          <w:lang w:eastAsia="zh-CN"/>
        </w:rPr>
        <w:t>9.7在施工现场内使用的安全保护用品由乙方提供。</w:t>
      </w:r>
      <w:bookmarkEnd w:id="120"/>
    </w:p>
    <w:p w14:paraId="662A9294">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9.8乙方应认真履行安全施工与检查职责，及时做好施工中的安全防护工作，还应认真执行国务院颁布的《建设工程安全生产管理条例》的规定。</w:t>
      </w:r>
    </w:p>
    <w:p w14:paraId="2F9D9C60">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9.9乙方应全面负责在施工中相关设施及人员的安全管理工作，承担非因甲方的过错造成的人员及财产损失。如有下列情况之一的，对产生的后果承担相关法律责任及经济损失：</w:t>
      </w:r>
    </w:p>
    <w:p w14:paraId="2318CE8F">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（1）进入施工现场期间由于乙方原因，造成人员伤亡及财产损失的；或者因工作人员自身健康原因造成人身财产损失的；</w:t>
      </w:r>
    </w:p>
    <w:p w14:paraId="60279EDC">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（2）施工过程中，不服从甲方及监理单位管理，造成人员伤亡及财产损失的；</w:t>
      </w:r>
    </w:p>
    <w:p w14:paraId="551D8530">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（3）施工过程中，未按安全操作规程施工或违章指挥、违章作业造成伤亡事故的；</w:t>
      </w:r>
    </w:p>
    <w:p w14:paraId="52629AA7">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（4）施工过程中，如擅自拆除或更改搭设现场的脚手架、各类安全防护设施、安全标志及警示牌等安全防护设施造成严重后果的。</w:t>
      </w:r>
    </w:p>
    <w:p w14:paraId="4FBBA1A1">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（5）因酗酒赌博、打架斗殴、抢占工地、自残自杀、在施工现场发生交通事故、以及从事违法违规行为造成损失的；</w:t>
      </w:r>
    </w:p>
    <w:p w14:paraId="1790B939">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（6）因乙方自行购买的安全装备、设备等，不符合国家法律规定或者出现质量问题造成人身财产损失的；</w:t>
      </w:r>
    </w:p>
    <w:p w14:paraId="760DF78E">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（7）其他不符合现场管理的行为造成损失的，包括但不限于停工收工后私自工作的、私自生火抽烟的、未经甲方同意简化安装设施装备的、材料未按指定位置堆放、安置的；</w:t>
      </w:r>
    </w:p>
    <w:p w14:paraId="71EAB7DC">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（8）其他违法违规违章操作行为造成损害的。</w:t>
      </w:r>
    </w:p>
    <w:p w14:paraId="3C8A1E63">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9.10乙方任何人员对现场各类安全防护设施、安全标志及警示牌不得擅自拆除、更改，如施工需要，确需拆除、更改的，乙方必须填写“防护设施临时拆除申请表”上报监理单位签字同意，由乙方采取可靠的安全措施搭设临时防护后方可拆除，拆除后乙方必须设专人看守并设置安全警示标识，待施工完成防护恢复后看守人员方可撤离。若发现乙方未经监理单位同意私自拆除防护设施，每发现一处对乙方处以1000元罚款，并必须现场立即恢复。</w:t>
      </w:r>
    </w:p>
    <w:p w14:paraId="0A72B360">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9.11乙方对防护设施擅自拆除或更改搭设造成的人员伤亡及其他损失，均由乙方承担全部责任。乙方在施工完成后对原防护设施必须立即恢复，在使用前经监理单位验收合格后，在“防护设施临时拆除申请表”防护设施恢复验收意见栏各方签字确认后方可投入使用，严禁在未经验收或验收不合格的情况下投入使用，否则由此发生的责任事故均由乙方承担全部责任。</w:t>
      </w:r>
    </w:p>
    <w:p w14:paraId="12BCDB45">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9.12乙方应遵守甲方及监理单位的现场管理，按照国家规定的施工标准执行，包括现场布置、管理流程、安全标准、文明施工、噪音控制等，避免对游客及其他人员造成干扰引起不必要的投诉事件。</w:t>
      </w:r>
    </w:p>
    <w:p w14:paraId="20C9C6B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9.13若乙方违规施工相关规定造成人员死亡的，乙方需要妥善处理相关事宜，除承担全部法律责任外，乙方因此给甲方造成损失的，应当全部赔偿。</w:t>
      </w:r>
    </w:p>
    <w:p w14:paraId="618BF8C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9.14施工中乙方收到安全检查不合格通知单按以下方式处理：甲方及监理单位下发的不合格通知单每次罚款不低于1000元/次，政府职能部门不合格通知单每次罚款不低于3000元/次，该罚款甲方直接从合同价款中扣除。</w:t>
      </w:r>
    </w:p>
    <w:p w14:paraId="71F755FA">
      <w:pPr>
        <w:pStyle w:val="2"/>
        <w:jc w:val="left"/>
        <w:rPr>
          <w:rFonts w:hint="eastAsia"/>
          <w:highlight w:val="none"/>
        </w:rPr>
      </w:pPr>
      <w:r>
        <w:rPr>
          <w:rFonts w:hint="eastAsia"/>
          <w:highlight w:val="none"/>
        </w:rPr>
        <w:t>9.15装修施工工作中所涉及安全施工标准必须符合国家、地方相关法律法规和规范要求等。</w:t>
      </w:r>
    </w:p>
    <w:p w14:paraId="304644FF">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1" w:name="_Toc7617"/>
      <w:r>
        <w:rPr>
          <w:rFonts w:hint="eastAsia" w:ascii="仿宋" w:hAnsi="仿宋" w:eastAsia="仿宋" w:cs="仿宋"/>
          <w:b/>
          <w:bCs/>
          <w:color w:val="auto"/>
          <w:sz w:val="24"/>
          <w:szCs w:val="24"/>
          <w:highlight w:val="none"/>
          <w:lang w:eastAsia="zh-CN"/>
        </w:rPr>
        <w:t>第十条 工程质量管理</w:t>
      </w:r>
      <w:bookmarkEnd w:id="121"/>
    </w:p>
    <w:p w14:paraId="2780EA9F">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10.1工程施工质量必须符合施工要求和国家颁布的现行的施工验收规范，并验收合格，同时达到合同约定的质量目标。如施工文件、合同约定和国家施工验收规范、标准之间有差异或不一致，以质量要求较高者为施工依据和验收标准。</w:t>
      </w:r>
    </w:p>
    <w:p w14:paraId="40D182B5">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10.2工程施工质量验收最终不合格的，合同价款不予支付，并由乙方承担相应损失。</w:t>
      </w:r>
    </w:p>
    <w:p w14:paraId="149FACC4">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10.3隐蔽工程经监理验收合格后方可隐蔽，乙方提交隐蔽工程申请后24小时内，由监理组织验收，未及时验收工期顺延。</w:t>
      </w:r>
    </w:p>
    <w:p w14:paraId="3AB6486B">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10.4乙方应随时接受甲方、监理工程师的质量检查检验。工程施工质量达不到约定标准的部分，乙方无条件返工，并承担拆除和重新施工的费用及给甲方造成的损失，工期不予顺延。</w:t>
      </w:r>
    </w:p>
    <w:p w14:paraId="7A4BAF57">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10.5施工过程发生一般质量缺陷或瑕疵的，对乙方每次罚款不低于500元；发生严重质量缺陷的，对乙方每次罚款不低于2000元。发生质量事故每次罚款不低于1000元。该部分费用发生后，甲方以发函形式通知，并有权从合同价款中扣除。</w:t>
      </w:r>
    </w:p>
    <w:p w14:paraId="2BDA555B">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10.6若乙方施工质量不合格导致整个工程未能通过竣工验收，乙方应根据验收结果对乙方施工范围内的工程整改或修复。乙方不予配合的，甲方有权委托第三方对工程整改或修复，所发生的一切费用和由此给甲方造成的损失均由乙方承担。</w:t>
      </w:r>
    </w:p>
    <w:p w14:paraId="4F54B84B">
      <w:pPr>
        <w:pStyle w:val="2"/>
        <w:jc w:val="left"/>
        <w:rPr>
          <w:rFonts w:hint="eastAsia"/>
          <w:highlight w:val="none"/>
        </w:rPr>
      </w:pPr>
      <w:r>
        <w:rPr>
          <w:rFonts w:hint="eastAsia"/>
          <w:highlight w:val="none"/>
        </w:rPr>
        <w:t>10.7 严格执行材料的封样和材料进场的验收管理，进场前乙方提供材料检验单，监理组织在24小时内验收，未及时验收工期顺延</w:t>
      </w:r>
      <w:r>
        <w:rPr>
          <w:rFonts w:hint="eastAsia" w:eastAsia="宋体"/>
          <w:highlight w:val="none"/>
        </w:rPr>
        <w:t>，</w:t>
      </w:r>
      <w:r>
        <w:rPr>
          <w:rFonts w:hint="eastAsia"/>
          <w:highlight w:val="none"/>
        </w:rPr>
        <w:t>严禁将不合格或不符合要求材料使用于本项目。</w:t>
      </w:r>
    </w:p>
    <w:p w14:paraId="38FD8403">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10.8 施工工作成果须保证项目的使用功能，通过优化方案或工艺做法减少工程质量隐患和通病，施工节点须考虑施工工艺的合理，通过叠图满足布局和点位的合理性，避免出现使用不合理。</w:t>
      </w:r>
    </w:p>
    <w:p w14:paraId="13BE95B4">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2" w:name="_Toc9019"/>
      <w:r>
        <w:rPr>
          <w:rFonts w:hint="eastAsia" w:ascii="仿宋" w:hAnsi="仿宋" w:eastAsia="仿宋" w:cs="仿宋"/>
          <w:b/>
          <w:bCs/>
          <w:color w:val="auto"/>
          <w:sz w:val="24"/>
          <w:szCs w:val="24"/>
          <w:highlight w:val="none"/>
          <w:lang w:eastAsia="zh-CN"/>
        </w:rPr>
        <w:t>第十一条 工程进度管理</w:t>
      </w:r>
      <w:bookmarkEnd w:id="122"/>
    </w:p>
    <w:p w14:paraId="395BEEE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11.1甲方负责工程施工指导和管理工作，行使管理职责，对乙方施工的进度、质量、安全、文明施工进行监督、管理和检查，协调乙方同其他方的配合关系。对乙方有不服从现场管理的行为，有追究其违约责任和终止本合同的权利。</w:t>
      </w:r>
    </w:p>
    <w:p w14:paraId="6561548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11.2乙方进场后按照工程总进度计划及工期目标，于深化方案同甲方确认后7个日历天内编制项目进度计划（包括施工出图计划、劳动力计划、材料进场计划、机械进场计划等）报甲方审核备案，作为合同附件，与本合同具有同等效力。</w:t>
      </w:r>
    </w:p>
    <w:p w14:paraId="7F52EDA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11.3若出现工程问题时，甲方可以随时指示乙方暂停部分或全部工程。在工程部分或全部暂停期间，乙方应保护、配合、管理及保障该部分或全部工程免遭任何损失、损失或损害。乙方须向甲方提供暂停施工期间的人员、机械使用记录表。</w:t>
      </w:r>
    </w:p>
    <w:p w14:paraId="011A5496">
      <w:pPr>
        <w:spacing w:line="360" w:lineRule="auto"/>
        <w:ind w:firstLine="482" w:firstLineChars="200"/>
        <w:outlineLvl w:val="1"/>
        <w:rPr>
          <w:rFonts w:hint="eastAsia" w:ascii="仿宋" w:hAnsi="仿宋" w:eastAsia="仿宋" w:cs="仿宋"/>
          <w:color w:val="auto"/>
          <w:sz w:val="24"/>
          <w:szCs w:val="24"/>
          <w:highlight w:val="none"/>
          <w:lang w:eastAsia="zh-CN"/>
        </w:rPr>
      </w:pPr>
      <w:bookmarkStart w:id="123" w:name="_Toc7517"/>
      <w:r>
        <w:rPr>
          <w:rFonts w:hint="eastAsia" w:ascii="仿宋" w:hAnsi="仿宋" w:eastAsia="仿宋" w:cs="仿宋"/>
          <w:b/>
          <w:bCs/>
          <w:color w:val="auto"/>
          <w:sz w:val="24"/>
          <w:szCs w:val="24"/>
          <w:highlight w:val="none"/>
          <w:lang w:eastAsia="zh-CN"/>
        </w:rPr>
        <w:t>第十二条 环境保护及文明施工</w:t>
      </w:r>
      <w:bookmarkEnd w:id="123"/>
    </w:p>
    <w:p w14:paraId="1061361D">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12.1乙方应满足各级政府有关治污减霾的相关要求，并按约定的文明施工目标、标准施工，服从甲方关于施工、办公、生活区域的安排和管理。</w:t>
      </w:r>
    </w:p>
    <w:p w14:paraId="42D5E822">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12.2乙方加强对施工噪音、粉尘排放、污染物处理、劳动保护等重点环节的控制，并接受当地行业主管部门的指导和监督，按环境保护法律法规及甲方有关文明施工要求施工。</w:t>
      </w:r>
    </w:p>
    <w:p w14:paraId="78E28AE0">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12.3乙方作业人员按照甲方文明施工要求统一工作服装，费用已包含在合同价款中。</w:t>
      </w:r>
    </w:p>
    <w:p w14:paraId="484E790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12.4乙方在施工期间，应加强内部文明施工教育，搞好现场各施工区域及住宿范围内的清洁卫生。</w:t>
      </w:r>
    </w:p>
    <w:p w14:paraId="51DFC6E2">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12.5乙方作业区域及施工现场、材料堆场的材料堆放必须在甲方指定地点且整齐、井然有序。</w:t>
      </w:r>
    </w:p>
    <w:p w14:paraId="6BCC50FC">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12.6乙方下班前，应将作业层的垃圾运至工地指定地方，不得到处乱扔，否则甲方指派专人清理，产生的费用从乙方合同付款中扣除。 </w:t>
      </w:r>
    </w:p>
    <w:p w14:paraId="50F1D973">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12.7乙方按照《安全生产文明施工标准》要求，对施工现场维护、保持。</w:t>
      </w:r>
    </w:p>
    <w:p w14:paraId="3F603D12">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12.8乙方所有人员在办公生活区内不得乱扔任何垃圾，严格按照物业管理要求垃圾分类管理办法对垃圾分类投放，垃圾堆放及转运。</w:t>
      </w:r>
    </w:p>
    <w:p w14:paraId="29EF8CF8">
      <w:pPr>
        <w:pStyle w:val="2"/>
        <w:jc w:val="left"/>
        <w:rPr>
          <w:rFonts w:hint="eastAsia"/>
          <w:highlight w:val="none"/>
        </w:rPr>
      </w:pPr>
      <w:r>
        <w:rPr>
          <w:rFonts w:hint="eastAsia"/>
          <w:highlight w:val="none"/>
        </w:rPr>
        <w:t>12.9进场施工按物业要求办理装修相关手续，完成监理资料备案。施工时采取必要的降噪和错峰施工的措施。</w:t>
      </w:r>
    </w:p>
    <w:p w14:paraId="1D7BE95A">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4" w:name="_Toc890"/>
      <w:r>
        <w:rPr>
          <w:rFonts w:hint="eastAsia" w:ascii="仿宋" w:hAnsi="仿宋" w:eastAsia="仿宋" w:cs="仿宋"/>
          <w:b/>
          <w:bCs/>
          <w:color w:val="auto"/>
          <w:sz w:val="24"/>
          <w:szCs w:val="24"/>
          <w:highlight w:val="none"/>
          <w:lang w:eastAsia="zh-CN"/>
        </w:rPr>
        <w:t>第十三条 材料机具管理</w:t>
      </w:r>
      <w:bookmarkEnd w:id="124"/>
    </w:p>
    <w:p w14:paraId="384EA21C">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25" w:name="_Toc14092"/>
      <w:r>
        <w:rPr>
          <w:rFonts w:hint="eastAsia" w:ascii="仿宋" w:hAnsi="仿宋" w:eastAsia="仿宋" w:cs="仿宋"/>
          <w:color w:val="auto"/>
          <w:sz w:val="24"/>
          <w:szCs w:val="24"/>
          <w:highlight w:val="none"/>
          <w:lang w:eastAsia="zh-CN"/>
        </w:rPr>
        <w:t>13.1本合同乙方承包范围内的机具及材料均由乙方自行采购。</w:t>
      </w:r>
      <w:bookmarkEnd w:id="125"/>
    </w:p>
    <w:p w14:paraId="0321D3A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13.1.1乙方采购的所有材料均应达到国家规范“合格”标准以上。材料采购前乙方将材料样品及相关资料报监理单位，监理单位需在24小时内确认签字，乙方进行订货，监理单位未及确认签字工期顺延。如甲方对乙方供应的材料的质量有异议，有权提出停止使用或重新见证取样复试，复试不合格，产生的所有费用及损失均由乙方承担。</w:t>
      </w:r>
    </w:p>
    <w:p w14:paraId="367E68A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13.1.2进场的材料需在24小时内由监理单位组织验收并确认签字，乙方方可使用，监理单位未及确认签字工期顺延，否则甲方有权要求乙方退货。对与规范要求不符，品种、规格、质量等不符合规定要求的产品，甲方可拒绝验收，并由乙方按甲方要求的时间运出施工现场，且重新采购符合要求的材料，并承担由此发生的费用，工期不得顺延。若材料成品及半成品未经过监理单位验收，擅自进场使用，后续施工中发现材料成品及半成品不符合规范要求，乙方应按甲方要求修复或拆除，重新采购施工，因此发生的费用由乙方承担，并赔偿甲方的所有损失，由此延误的工期不予顺延。</w:t>
      </w:r>
    </w:p>
    <w:p w14:paraId="4B5435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13.1.3双方一致确认若乙方进场材料以次充好，采用非标或者贴牌产品，或者采用假冒伪劣产品，弄虚作假的其他行为导致材料不符合国家规定的，一经发现，乙方无条件予以更换，每发现一次甲方处罚</w:t>
      </w:r>
      <w:r>
        <w:rPr>
          <w:rFonts w:hint="eastAsia" w:ascii="仿宋" w:hAnsi="仿宋" w:eastAsia="仿宋" w:cs="仿宋"/>
          <w:iCs/>
          <w:color w:val="auto"/>
          <w:sz w:val="24"/>
          <w:szCs w:val="24"/>
          <w:highlight w:val="none"/>
          <w:lang w:eastAsia="zh-CN"/>
        </w:rPr>
        <w:t>20000</w:t>
      </w:r>
      <w:r>
        <w:rPr>
          <w:rFonts w:hint="eastAsia" w:ascii="仿宋" w:hAnsi="仿宋" w:eastAsia="仿宋" w:cs="仿宋"/>
          <w:color w:val="auto"/>
          <w:sz w:val="24"/>
          <w:szCs w:val="24"/>
          <w:highlight w:val="none"/>
          <w:lang w:eastAsia="zh-CN"/>
        </w:rPr>
        <w:t>元。由此产生工期延误的由乙方承担违约责任。</w:t>
      </w:r>
    </w:p>
    <w:p w14:paraId="63DC31B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13.2乙方应严格按操作规程使用机械设备及工具，因违反操作规程而产生的一切损失由乙方承担。</w:t>
      </w:r>
    </w:p>
    <w:p w14:paraId="63622FB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13.3乙方应对承包范围使用的设备、车辆、特种机械等严格管理，有序安排，文明操作，如乙方设备、车辆、特种机械等造成甲方施工范围内的道路、临建、设施毁损的，乙方应当修补、重做、赔偿。乙方怠于履行相关义务的，甲方可直接委托第三方完成相关工作产生的所有费用由乙方承担，甲方有权直接从合同价款中直接予以扣除。</w:t>
      </w:r>
    </w:p>
    <w:p w14:paraId="146F470A">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6" w:name="_Toc73"/>
      <w:r>
        <w:rPr>
          <w:rFonts w:hint="eastAsia" w:ascii="仿宋" w:hAnsi="仿宋" w:eastAsia="仿宋" w:cs="仿宋"/>
          <w:b/>
          <w:bCs/>
          <w:color w:val="auto"/>
          <w:sz w:val="24"/>
          <w:szCs w:val="24"/>
          <w:highlight w:val="none"/>
          <w:lang w:eastAsia="zh-CN"/>
        </w:rPr>
        <w:t>第十四条 乙方配置团队人员要求</w:t>
      </w:r>
      <w:bookmarkEnd w:id="126"/>
    </w:p>
    <w:p w14:paraId="1291FF1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14.1乙方安排进驻现场的所有人员必须符合法律法规的相关规定，且为18周岁以上55周岁以下身体健康，并能适应工地环境及其工作性质的公民，同时在进场前乙方应对进场所有人员体检并向甲方提交体检报告。特殊工种施工人员必须持证上岗。如现场工作人员中出现在逃案犯甲方有权直接清退或者移交司法机关，同时给予乙方每人次三万元的罚款。</w:t>
      </w:r>
    </w:p>
    <w:p w14:paraId="75020E0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14.2乙方按照工程实际需要配备组织机构，其中：项目经理、安全员、质量员主要管理人员名单在合同签订时由乙方签字盖章报甲方备案，以上人员须持证上岗。施工项目经理、安全员、质量员须常驻现场由甲方进行考核，乙方驻场人员未经甲方许可（请假）缺勤的，甲方有权对施工项目经理罚款500元/天，安全员/质量员罚款200元/天，该罚款从合同价款中扣除。在施工过程中，乙方如变更以上人员，必须书面报告甲方，甲方同意后方可变更。</w:t>
      </w:r>
    </w:p>
    <w:p w14:paraId="4E0E7F8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14.3若乙方人员不能满足甲方的管理要求及标准，甲方有权要求乙方更换，乙方须在7个日历天内无条件更换，并应保证工作的正常进行。</w:t>
      </w:r>
    </w:p>
    <w:p w14:paraId="5CCC4DC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14.4按照政府相关文件，乙方应做好对作业人员有关规定的落实，同时应积极配合甲方要求管理。乙方应按国家及当地有关部门的规定，为其进驻现场的所有人员办理好“规范用工及劳动治安备案手续”并承担相应费用。</w:t>
      </w:r>
    </w:p>
    <w:p w14:paraId="2F0525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14.5乙方应对其进驻现场的所有人员安全教育，自觉遵守甲方现场管理规定，服从甲方有关人员的指导、教育、监督和检查，并及时向甲方提供有关资料。</w:t>
      </w:r>
    </w:p>
    <w:p w14:paraId="20320A8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14.6乙方如给甲方或者第三方工作人员造成人身、财产损失的，乙方承担全部的赔偿责任。</w:t>
      </w:r>
    </w:p>
    <w:p w14:paraId="5571F8E3">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7" w:name="_Toc30633"/>
      <w:r>
        <w:rPr>
          <w:rFonts w:hint="eastAsia" w:ascii="仿宋" w:hAnsi="仿宋" w:eastAsia="仿宋" w:cs="仿宋"/>
          <w:b/>
          <w:bCs/>
          <w:color w:val="auto"/>
          <w:sz w:val="24"/>
          <w:szCs w:val="24"/>
          <w:highlight w:val="none"/>
          <w:lang w:eastAsia="zh-CN"/>
        </w:rPr>
        <w:t>第十五条 项目其他管理要求</w:t>
      </w:r>
      <w:bookmarkEnd w:id="127"/>
    </w:p>
    <w:p w14:paraId="31FEEB6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15.1乙方应保持施工区的环境卫生，及时清除垃圾和废弃物，并运至指定的地点堆放和处理。进入现场的材料、设备必须置放有序，防止任意堆放器材、杂物阻塞工作场地周围的通道和破坏环境，配合物业管理，合理安排材料运输。避免上下班高峰期占用电梯。</w:t>
      </w:r>
    </w:p>
    <w:p w14:paraId="3B56A2E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15.2废气排放、噪音控制、固体废物排放、危险废物排放等施工期间排污、建筑垃圾处置等乙方应按国家及地方相关部门要求进行排放和处理，该部分费用含在合同价款内。</w:t>
      </w:r>
    </w:p>
    <w:p w14:paraId="3580CF7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15.3防疫期间严格按照国家和省市防疫政策要求，落实防疫措施严禁发生感染事件。</w:t>
      </w:r>
    </w:p>
    <w:p w14:paraId="417C8AA4">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28" w:name="_Toc23411"/>
      <w:r>
        <w:rPr>
          <w:rFonts w:hint="eastAsia" w:ascii="仿宋" w:hAnsi="仿宋" w:eastAsia="仿宋" w:cs="仿宋"/>
          <w:b/>
          <w:bCs/>
          <w:color w:val="auto"/>
          <w:sz w:val="24"/>
          <w:szCs w:val="24"/>
          <w:highlight w:val="none"/>
          <w:lang w:eastAsia="zh-CN"/>
        </w:rPr>
        <w:t>第十六条 工程保修</w:t>
      </w:r>
      <w:bookmarkEnd w:id="128"/>
    </w:p>
    <w:p w14:paraId="3E382B9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16.1本项目保修期</w:t>
      </w:r>
      <w:r>
        <w:rPr>
          <w:rFonts w:hint="eastAsia" w:ascii="仿宋" w:hAnsi="仿宋" w:eastAsia="仿宋" w:cs="仿宋"/>
          <w:color w:val="auto"/>
          <w:sz w:val="24"/>
          <w:szCs w:val="24"/>
          <w:highlight w:val="none"/>
          <w:u w:val="single"/>
          <w:lang w:eastAsia="zh-CN"/>
        </w:rPr>
        <w:t xml:space="preserve"> 2 </w:t>
      </w:r>
      <w:r>
        <w:rPr>
          <w:rFonts w:hint="eastAsia" w:ascii="仿宋" w:hAnsi="仿宋" w:eastAsia="仿宋" w:cs="仿宋"/>
          <w:color w:val="auto"/>
          <w:sz w:val="24"/>
          <w:szCs w:val="24"/>
          <w:highlight w:val="none"/>
          <w:lang w:eastAsia="zh-CN"/>
        </w:rPr>
        <w:t>年。自工程竣工验收合格交付之日起计算，保修期届满之日止。</w:t>
      </w:r>
    </w:p>
    <w:p w14:paraId="2BD270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16.2保修期内，发生保修问题时，如为紧急事故，乙方应于接到通知后</w:t>
      </w:r>
      <w:r>
        <w:rPr>
          <w:rFonts w:hint="eastAsia" w:ascii="仿宋" w:hAnsi="仿宋" w:eastAsia="仿宋" w:cs="仿宋"/>
          <w:color w:val="auto"/>
          <w:sz w:val="24"/>
          <w:szCs w:val="24"/>
          <w:highlight w:val="none"/>
          <w:u w:val="single"/>
          <w:lang w:eastAsia="zh-CN"/>
        </w:rPr>
        <w:t xml:space="preserve"> 12 </w:t>
      </w:r>
      <w:r>
        <w:rPr>
          <w:rFonts w:hint="eastAsia" w:ascii="仿宋" w:hAnsi="仿宋" w:eastAsia="仿宋" w:cs="仿宋"/>
          <w:color w:val="auto"/>
          <w:sz w:val="24"/>
          <w:szCs w:val="24"/>
          <w:highlight w:val="none"/>
          <w:lang w:eastAsia="zh-CN"/>
        </w:rPr>
        <w:t>小时内到达现场抢修；一般问题，乙方应于</w:t>
      </w:r>
      <w:r>
        <w:rPr>
          <w:rFonts w:hint="eastAsia" w:ascii="仿宋" w:hAnsi="仿宋" w:eastAsia="仿宋" w:cs="仿宋"/>
          <w:color w:val="auto"/>
          <w:sz w:val="24"/>
          <w:szCs w:val="24"/>
          <w:highlight w:val="none"/>
          <w:u w:val="single"/>
          <w:lang w:eastAsia="zh-CN"/>
        </w:rPr>
        <w:t xml:space="preserve"> 24 </w:t>
      </w:r>
      <w:r>
        <w:rPr>
          <w:rFonts w:hint="eastAsia" w:ascii="仿宋" w:hAnsi="仿宋" w:eastAsia="仿宋" w:cs="仿宋"/>
          <w:color w:val="auto"/>
          <w:sz w:val="24"/>
          <w:szCs w:val="24"/>
          <w:highlight w:val="none"/>
          <w:lang w:eastAsia="zh-CN"/>
        </w:rPr>
        <w:t>小时内到达现场维修。否则，甲方可自行或委托第三方实施维修，并由乙方承担实际发生的费用外加50%的管理费（从质保金中扣除，不足部分另行追偿），但该保修事故非因乙方责任引发的除外。保修期内，乙方联系方式等发生变化后，应及时书面通知甲方，否则，甲方发出通知之日即视为通知到达之日。</w:t>
      </w:r>
    </w:p>
    <w:p w14:paraId="7BAC21E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16.3本合同质保金为</w:t>
      </w:r>
      <w:r>
        <w:rPr>
          <w:rFonts w:hint="eastAsia" w:ascii="仿宋" w:hAnsi="仿宋" w:eastAsia="仿宋" w:cs="仿宋"/>
          <w:bCs/>
          <w:color w:val="auto"/>
          <w:sz w:val="24"/>
          <w:szCs w:val="24"/>
          <w:highlight w:val="none"/>
          <w:lang w:eastAsia="zh-CN"/>
        </w:rPr>
        <w:t>审定结算价款</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u w:val="single"/>
          <w:lang w:eastAsia="zh-CN"/>
        </w:rPr>
        <w:t xml:space="preserve"> </w:t>
      </w:r>
      <w:r>
        <w:rPr>
          <w:rFonts w:ascii="仿宋" w:hAnsi="仿宋" w:eastAsia="仿宋" w:cs="仿宋"/>
          <w:color w:val="auto"/>
          <w:sz w:val="24"/>
          <w:szCs w:val="24"/>
          <w:highlight w:val="none"/>
          <w:u w:val="single"/>
          <w:lang w:eastAsia="zh-CN"/>
        </w:rPr>
        <w:t>3</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%。保修期满后</w:t>
      </w:r>
      <w:r>
        <w:rPr>
          <w:rFonts w:ascii="仿宋" w:hAnsi="仿宋" w:eastAsia="仿宋" w:cs="仿宋"/>
          <w:color w:val="auto"/>
          <w:sz w:val="24"/>
          <w:szCs w:val="24"/>
          <w:highlight w:val="none"/>
          <w:lang w:eastAsia="zh-CN"/>
        </w:rPr>
        <w:t>45</w:t>
      </w:r>
      <w:r>
        <w:rPr>
          <w:rFonts w:hint="eastAsia" w:ascii="仿宋" w:hAnsi="仿宋" w:eastAsia="仿宋" w:cs="仿宋"/>
          <w:color w:val="auto"/>
          <w:sz w:val="24"/>
          <w:szCs w:val="24"/>
          <w:highlight w:val="none"/>
          <w:lang w:eastAsia="zh-CN"/>
        </w:rPr>
        <w:t>个工作日内，扣除因乙方维修不及时甲方自主维修或委托第三方维修所发生的费用或因维修不及时及质量缺陷给第三方造成的损失后无息返还，预期按照18.1.1条款支付。</w:t>
      </w:r>
    </w:p>
    <w:p w14:paraId="3D911270">
      <w:pPr>
        <w:spacing w:line="360" w:lineRule="auto"/>
        <w:ind w:firstLine="482" w:firstLineChars="200"/>
        <w:outlineLvl w:val="1"/>
        <w:rPr>
          <w:rFonts w:hint="eastAsia" w:ascii="仿宋" w:hAnsi="仿宋" w:eastAsia="仿宋" w:cs="仿宋"/>
          <w:color w:val="auto"/>
          <w:sz w:val="24"/>
          <w:szCs w:val="24"/>
          <w:highlight w:val="none"/>
          <w:lang w:eastAsia="zh-CN"/>
        </w:rPr>
      </w:pPr>
      <w:bookmarkStart w:id="129" w:name="_Toc18629"/>
      <w:r>
        <w:rPr>
          <w:rFonts w:hint="eastAsia" w:ascii="仿宋" w:hAnsi="仿宋" w:eastAsia="仿宋" w:cs="仿宋"/>
          <w:b/>
          <w:bCs/>
          <w:color w:val="auto"/>
          <w:sz w:val="24"/>
          <w:szCs w:val="24"/>
          <w:highlight w:val="none"/>
          <w:lang w:eastAsia="zh-CN"/>
        </w:rPr>
        <w:t>第十七条 双方一致确认的其他事项</w:t>
      </w:r>
      <w:bookmarkEnd w:id="129"/>
    </w:p>
    <w:p w14:paraId="3B3E9F1A">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30" w:name="_Toc4976"/>
      <w:r>
        <w:rPr>
          <w:rFonts w:hint="eastAsia" w:ascii="仿宋" w:hAnsi="仿宋" w:eastAsia="仿宋" w:cs="仿宋"/>
          <w:color w:val="auto"/>
          <w:sz w:val="24"/>
          <w:szCs w:val="24"/>
          <w:highlight w:val="none"/>
          <w:lang w:eastAsia="zh-CN"/>
        </w:rPr>
        <w:t>17.1本合同债权债务未经甲方书面同意，不得以任何形式转让。</w:t>
      </w:r>
      <w:bookmarkEnd w:id="130"/>
    </w:p>
    <w:p w14:paraId="62C4F26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17.2乙方不得以任何理由或形式将本合同的权利义务转移或委托给第三方。</w:t>
      </w:r>
    </w:p>
    <w:p w14:paraId="5EBA04C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17.3乙方保证在合同履行期间对其向甲方提供的所有书面文件的真实性、合法性负责。</w:t>
      </w:r>
    </w:p>
    <w:p w14:paraId="0B7744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17.4因乙方与第三方的纠纷导致甲方被起诉，甲方财产被查封、保全、扣押、冻结、被执行的，乙方应向甲方承担赔偿责任，并以被采取强制措施财产的现金价值或者现金总数为基数，按月承担2%的损失赔偿，自上述措施开始之日起至上述措施解除并不对甲方造成影响之日止。</w:t>
      </w:r>
    </w:p>
    <w:p w14:paraId="2C1201F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17.5乙方不得以任何理由聚众闹事、到政府部门上访、静坐，围攻或围堵甲方办公场所等，若对甲方造成损失的，按照实际发生额由乙方承担。</w:t>
      </w:r>
    </w:p>
    <w:p w14:paraId="6A39A3F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17.6乙方已充分考察现场并熟悉施工区域的环境，施工时乙方不得以不了解现场情况为由增加任何费用。</w:t>
      </w:r>
    </w:p>
    <w:p w14:paraId="17852EC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17.7乙方完全接受甲方的付款条件，乙方不得以自身垫资为由停工或拖延工期。</w:t>
      </w:r>
    </w:p>
    <w:p w14:paraId="6D02672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17.8施工过程出现停水、停电等情形的，乙方同意谅解，不向甲方主张任何的损失和赔偿，但甲方应尽快维修，因此导致的停工工期顺延。</w:t>
      </w:r>
    </w:p>
    <w:p w14:paraId="0E16230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17.9乙方已明确知晓甲方结算流程及结算责任人，最终结算不符合结算的形式要件均应当认为是无效结算。</w:t>
      </w:r>
    </w:p>
    <w:p w14:paraId="03BB034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17.10双方发生争议后，应继续履行合同。但客观已履行不能或双方一致同意暂停施工的除外。</w:t>
      </w:r>
    </w:p>
    <w:p w14:paraId="0D39A52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17.11本合同约定的所有罚款应被理解为乙方应承担的违约金。双方按照合同约定应承担多项违约金、赔偿款的，合并计算。</w:t>
      </w:r>
    </w:p>
    <w:p w14:paraId="4D6385C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17.12乙方须无条件接收甲方签发、转发的施工变更、工作联系单、整改通知单等文件。</w:t>
      </w:r>
    </w:p>
    <w:p w14:paraId="3C8C3799">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31" w:name="_Toc9595"/>
      <w:r>
        <w:rPr>
          <w:rFonts w:hint="eastAsia" w:ascii="仿宋" w:hAnsi="仿宋" w:eastAsia="仿宋" w:cs="仿宋"/>
          <w:b/>
          <w:bCs/>
          <w:color w:val="auto"/>
          <w:sz w:val="24"/>
          <w:szCs w:val="24"/>
          <w:highlight w:val="none"/>
          <w:lang w:eastAsia="zh-CN"/>
        </w:rPr>
        <w:t>第十八条 违约责任与合同解除</w:t>
      </w:r>
      <w:bookmarkEnd w:id="131"/>
    </w:p>
    <w:p w14:paraId="07521BD4">
      <w:pPr>
        <w:spacing w:line="360" w:lineRule="auto"/>
        <w:ind w:firstLine="482" w:firstLineChars="200"/>
        <w:outlineLvl w:val="2"/>
        <w:rPr>
          <w:rFonts w:hint="eastAsia" w:ascii="仿宋" w:hAnsi="仿宋" w:eastAsia="仿宋" w:cs="仿宋"/>
          <w:b/>
          <w:bCs/>
          <w:color w:val="auto"/>
          <w:sz w:val="24"/>
          <w:szCs w:val="24"/>
          <w:highlight w:val="none"/>
          <w:lang w:eastAsia="zh-CN"/>
        </w:rPr>
      </w:pPr>
      <w:bookmarkStart w:id="132" w:name="_Toc23401"/>
      <w:r>
        <w:rPr>
          <w:rFonts w:hint="eastAsia" w:ascii="仿宋" w:hAnsi="仿宋" w:eastAsia="仿宋" w:cs="仿宋"/>
          <w:b/>
          <w:bCs/>
          <w:color w:val="auto"/>
          <w:sz w:val="24"/>
          <w:szCs w:val="24"/>
          <w:highlight w:val="none"/>
          <w:lang w:eastAsia="zh-CN"/>
        </w:rPr>
        <w:t>18.1违约责任</w:t>
      </w:r>
      <w:bookmarkEnd w:id="132"/>
    </w:p>
    <w:p w14:paraId="3B15A783">
      <w:pPr>
        <w:spacing w:line="360" w:lineRule="auto"/>
        <w:ind w:firstLine="480"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color w:val="auto"/>
          <w:sz w:val="24"/>
          <w:szCs w:val="24"/>
          <w:highlight w:val="none"/>
          <w:lang w:eastAsia="zh-CN"/>
        </w:rPr>
        <w:t>18.1.1甲方逾期支付工程款的，乙方有权督促甲方及时完成付款，若甲方拒不付款，每延误一天，承担合同价款千分之六（6‰）的违约金。</w:t>
      </w:r>
    </w:p>
    <w:p w14:paraId="6ACFCCC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18.1.2因乙方原因造成工期延误的，乙方应承担违约责任：每延误一天，承担合同价款千分之六（6‰）的违约金。</w:t>
      </w:r>
    </w:p>
    <w:p w14:paraId="6FAA7E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18.1.3因发生争议但不属于17.13约定情况而乙方停工的，均属于乙方违约，每停工一日历天乙方按合同总价的千分之一（1‰）向甲方承担违约责任，并赔偿因乙方停工造成甲方的损失。乙方坚持要求甲方满足乙方所提条件（包括但不限于要求甲方提高合同单价、先予补偿损失等经济要求，或者声称已经亏损或再做下去亏损更大而无法继续施工等理由）才同意继续施工或撤离施工场地的，属于乙方重大合同违约且履约不能，甲方有权单方解除合同，乙方须对甲方承担合同价款30％的违约金。</w:t>
      </w:r>
    </w:p>
    <w:p w14:paraId="2AEFCF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18.1.4如因乙方原因造成政府部门对甲方的安全、质量、环保等罚款或者要求甲方承担违约责任的，乙方须承担罚款金额</w:t>
      </w:r>
      <w:r>
        <w:rPr>
          <w:rFonts w:ascii="仿宋" w:hAnsi="仿宋" w:eastAsia="仿宋" w:cs="仿宋"/>
          <w:color w:val="auto"/>
          <w:sz w:val="24"/>
          <w:szCs w:val="24"/>
          <w:highlight w:val="none"/>
          <w:lang w:eastAsia="zh-CN"/>
        </w:rPr>
        <w:t>。</w:t>
      </w:r>
    </w:p>
    <w:p w14:paraId="60DC0BD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18.1.5乙方所发生违约金、罚款、对甲方造成的损失和赔偿费用直接从合同价款中扣除。</w:t>
      </w:r>
    </w:p>
    <w:p w14:paraId="5B06AEBA">
      <w:pPr>
        <w:spacing w:line="360" w:lineRule="auto"/>
        <w:ind w:firstLine="482" w:firstLineChars="200"/>
        <w:outlineLvl w:val="2"/>
        <w:rPr>
          <w:rFonts w:hint="eastAsia" w:ascii="仿宋" w:hAnsi="仿宋" w:eastAsia="仿宋" w:cs="仿宋"/>
          <w:b/>
          <w:bCs/>
          <w:color w:val="auto"/>
          <w:sz w:val="24"/>
          <w:szCs w:val="24"/>
          <w:highlight w:val="none"/>
          <w:lang w:eastAsia="zh-CN"/>
        </w:rPr>
      </w:pPr>
      <w:bookmarkStart w:id="133" w:name="_Toc28384"/>
      <w:r>
        <w:rPr>
          <w:rFonts w:hint="eastAsia" w:ascii="仿宋" w:hAnsi="仿宋" w:eastAsia="仿宋" w:cs="仿宋"/>
          <w:b/>
          <w:bCs/>
          <w:color w:val="auto"/>
          <w:sz w:val="24"/>
          <w:szCs w:val="24"/>
          <w:highlight w:val="none"/>
          <w:lang w:eastAsia="zh-CN"/>
        </w:rPr>
        <w:t>18.2合同解除</w:t>
      </w:r>
      <w:bookmarkEnd w:id="133"/>
    </w:p>
    <w:p w14:paraId="6F19A7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18.2.1乙方违约金累计超过合同价款</w:t>
      </w:r>
      <w:r>
        <w:rPr>
          <w:rFonts w:hint="eastAsia" w:ascii="仿宋" w:hAnsi="仿宋" w:eastAsia="仿宋" w:cs="仿宋"/>
          <w:iCs/>
          <w:color w:val="auto"/>
          <w:sz w:val="24"/>
          <w:szCs w:val="24"/>
          <w:highlight w:val="none"/>
          <w:lang w:eastAsia="zh-CN"/>
        </w:rPr>
        <w:t>30%</w:t>
      </w:r>
      <w:r>
        <w:rPr>
          <w:rFonts w:hint="eastAsia" w:ascii="仿宋" w:hAnsi="仿宋" w:eastAsia="仿宋" w:cs="仿宋"/>
          <w:color w:val="auto"/>
          <w:sz w:val="24"/>
          <w:szCs w:val="24"/>
          <w:highlight w:val="none"/>
          <w:lang w:eastAsia="zh-CN"/>
        </w:rPr>
        <w:t>时或乙方逾期履行合同期限超过</w:t>
      </w:r>
    </w:p>
    <w:p w14:paraId="3E9F62E5">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个日历天，甲方有权单方解除合同并将乙方清退出场。为保证工程正常施工，甲方有权另行委托第三方入场。乙方应于收到甲方解除合同通知书后一周内按甲方要求标准清场，并移交施工场地。</w:t>
      </w:r>
    </w:p>
    <w:p w14:paraId="5A6AA49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18.2.2乙方发生转包行为，甲方有权解除合同，自解除通知发送至乙方时生效，乙方应按合同价款的</w:t>
      </w:r>
      <w:r>
        <w:rPr>
          <w:rFonts w:hint="eastAsia" w:ascii="仿宋" w:hAnsi="仿宋" w:eastAsia="仿宋" w:cs="仿宋"/>
          <w:iCs/>
          <w:color w:val="auto"/>
          <w:sz w:val="24"/>
          <w:szCs w:val="24"/>
          <w:highlight w:val="none"/>
          <w:lang w:eastAsia="zh-CN"/>
        </w:rPr>
        <w:t>20%</w:t>
      </w:r>
      <w:r>
        <w:rPr>
          <w:rFonts w:hint="eastAsia" w:ascii="仿宋" w:hAnsi="仿宋" w:eastAsia="仿宋" w:cs="仿宋"/>
          <w:color w:val="auto"/>
          <w:sz w:val="24"/>
          <w:szCs w:val="24"/>
          <w:highlight w:val="none"/>
          <w:lang w:eastAsia="zh-CN"/>
        </w:rPr>
        <w:t>赔偿甲方的的全部损失和费用。</w:t>
      </w:r>
    </w:p>
    <w:p w14:paraId="3974C0A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18.2.3合同价款为暂定总价合同，乙方中途不得提出涨价，施工过程期间因此消极怠工、部分停止或停止施工累计超过</w:t>
      </w:r>
      <w:r>
        <w:rPr>
          <w:rFonts w:hint="eastAsia" w:ascii="仿宋" w:hAnsi="仿宋" w:eastAsia="仿宋" w:cs="仿宋"/>
          <w:iCs/>
          <w:color w:val="auto"/>
          <w:sz w:val="24"/>
          <w:szCs w:val="24"/>
          <w:highlight w:val="none"/>
          <w:lang w:eastAsia="zh-CN"/>
        </w:rPr>
        <w:t>7</w:t>
      </w:r>
      <w:r>
        <w:rPr>
          <w:rFonts w:hint="eastAsia" w:ascii="仿宋" w:hAnsi="仿宋" w:eastAsia="仿宋" w:cs="仿宋"/>
          <w:color w:val="auto"/>
          <w:sz w:val="24"/>
          <w:szCs w:val="24"/>
          <w:highlight w:val="none"/>
          <w:lang w:eastAsia="zh-CN"/>
        </w:rPr>
        <w:t>个日历天，甲方有权解除合同，自解除通知发送至乙方时生效。乙方需按18.1.2承担工期违约责任。</w:t>
      </w:r>
    </w:p>
    <w:p w14:paraId="537A5BD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18.2.4合同解除的，乙方作业人员及其机械设备、材料等全部物资应在合同解除后7个日历天内无条件撤出工地，逾期每日承担违约金</w:t>
      </w:r>
      <w:r>
        <w:rPr>
          <w:rFonts w:hint="eastAsia" w:ascii="仿宋" w:hAnsi="仿宋" w:eastAsia="仿宋" w:cs="仿宋"/>
          <w:iCs/>
          <w:color w:val="auto"/>
          <w:sz w:val="24"/>
          <w:szCs w:val="24"/>
          <w:highlight w:val="none"/>
          <w:lang w:eastAsia="zh-CN"/>
        </w:rPr>
        <w:t>1000</w:t>
      </w:r>
      <w:r>
        <w:rPr>
          <w:rFonts w:hint="eastAsia" w:ascii="仿宋" w:hAnsi="仿宋" w:eastAsia="仿宋" w:cs="仿宋"/>
          <w:color w:val="auto"/>
          <w:sz w:val="24"/>
          <w:szCs w:val="24"/>
          <w:highlight w:val="none"/>
          <w:lang w:eastAsia="zh-CN"/>
        </w:rPr>
        <w:t>元。双方在合同解除后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完成对已完工程量质量验收及核对。如乙方不予配合，甲方有权在对工程现场拍照或邀请监理单位见证后，即安排其他施工队伍进场施工。届时，甲方拍摄的照片或监理单位的见证记录，将作为界定乙方已完工程量、未完工程量及已完工程质量的有效证据。若因乙方长期占用场地导致甲方工期延误、停工等其他损失的，甲方有权停止支付任何款项，并由乙方承担全部的赔偿责任。该部分费用直接从应付合同价款中扣除，不足部分甲方有权继续向乙方追偿。</w:t>
      </w:r>
    </w:p>
    <w:p w14:paraId="35D540A2">
      <w:pPr>
        <w:spacing w:line="360" w:lineRule="auto"/>
        <w:ind w:firstLine="480" w:firstLineChars="200"/>
        <w:rPr>
          <w:rFonts w:hint="eastAsia" w:ascii="仿宋" w:hAnsi="仿宋" w:eastAsia="仿宋" w:cs="仿宋"/>
          <w:color w:val="auto"/>
          <w:sz w:val="24"/>
          <w:szCs w:val="24"/>
          <w:highlight w:val="none"/>
          <w:lang w:eastAsia="zh-CN"/>
        </w:rPr>
      </w:pPr>
      <w:bookmarkStart w:id="134" w:name="_Hlk6322707"/>
      <w:bookmarkStart w:id="135" w:name="_Hlk6323022"/>
      <w:bookmarkStart w:id="136" w:name="_Hlk6564810"/>
      <w:r>
        <w:rPr>
          <w:rFonts w:hint="eastAsia" w:ascii="仿宋" w:hAnsi="仿宋" w:eastAsia="仿宋" w:cs="仿宋"/>
          <w:color w:val="auto"/>
          <w:sz w:val="24"/>
          <w:szCs w:val="24"/>
          <w:highlight w:val="none"/>
          <w:lang w:eastAsia="zh-CN"/>
        </w:rPr>
        <w:t>18.2.5合同解除后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个日历天内，乙方向甲方提交结算报告及完整的结算资料，甲方收到结算报告后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个日历天内完成审核或提出修改意见。结算价款确定后，甲方仍按原合同约定的时间及比例支付相应工程价款。</w:t>
      </w:r>
    </w:p>
    <w:bookmarkEnd w:id="134"/>
    <w:bookmarkEnd w:id="135"/>
    <w:bookmarkEnd w:id="136"/>
    <w:p w14:paraId="70BE60A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18.2.6双方一致确认诉讼合同解除的异议期为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个日历天，此期限不予中断、中止或延长。</w:t>
      </w:r>
    </w:p>
    <w:p w14:paraId="13608645">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37" w:name="_Toc26728"/>
      <w:r>
        <w:rPr>
          <w:rFonts w:hint="eastAsia" w:ascii="仿宋" w:hAnsi="仿宋" w:eastAsia="仿宋" w:cs="仿宋"/>
          <w:b/>
          <w:bCs/>
          <w:color w:val="auto"/>
          <w:sz w:val="24"/>
          <w:szCs w:val="24"/>
          <w:highlight w:val="none"/>
          <w:lang w:eastAsia="zh-CN"/>
        </w:rPr>
        <w:t>第十九条 合同授权</w:t>
      </w:r>
      <w:bookmarkEnd w:id="137"/>
    </w:p>
    <w:p w14:paraId="548440B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19.1甲方授权项目负责人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（电话：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）行使以下职责权限：负责按照合同约定标准及程序确认结算金额、处理经济及工期的索赔签证等事宜。</w:t>
      </w:r>
    </w:p>
    <w:p w14:paraId="631AB2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w:t>
      </w:r>
      <w:r>
        <w:rPr>
          <w:rFonts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lang w:eastAsia="zh-CN"/>
        </w:rPr>
        <w:t>结算应当以本合同约定为依据，如需调整约定，双方需签署书面补充协议（补充协议需经甲方评审并加盖甲方公司印章后方才有效）。</w:t>
      </w:r>
    </w:p>
    <w:p w14:paraId="58F853D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w:t>
      </w:r>
      <w:r>
        <w:rPr>
          <w:rFonts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lang w:eastAsia="zh-CN"/>
        </w:rPr>
        <w:t>甲方任何人员包括项目负责人出具的任何与书面合同条款约定不符的书面和口头承诺，或签署的任何与书面合同条款约定不符的文件包括但不限于调价文件、结算文件、签证文件、赔偿文件、豁免责任文件以及违约条款、争议解决条款等，乙方均不应采信，甲方均有权拒绝追认。</w:t>
      </w:r>
    </w:p>
    <w:p w14:paraId="6D6717F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19.4未取得甲方书面授权的人员所签署的任何文件、协议，以及获得授权的人员超越书面授权范围或授权期限所签署的任何文件、协议，均一概无效，且甲方对此不承担任何责任。</w:t>
      </w:r>
    </w:p>
    <w:p w14:paraId="69E8BA1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19.5乙方授权其施工项目负责人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（电话：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行使以下职责权限：负责按照合同约定标准确认结算金额、处理索赔事宜。该负责人必须始终驻守现场。乙方在进场后5个日历天内，将其他管理人员岗位、职责权限、人员名字、联系电话等情况进行明确并书面报送甲方备案。如乙方未及时报送备案，其管理人员的职责权限将按照最大范围理解，即其所有人员的任何行为均视为乙方行为，并由乙方承担法律后果。 </w:t>
      </w:r>
    </w:p>
    <w:p w14:paraId="725C5E13">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38" w:name="_Toc9466"/>
      <w:r>
        <w:rPr>
          <w:rFonts w:hint="eastAsia" w:ascii="仿宋" w:hAnsi="仿宋" w:eastAsia="仿宋" w:cs="仿宋"/>
          <w:color w:val="auto"/>
          <w:sz w:val="24"/>
          <w:szCs w:val="24"/>
          <w:highlight w:val="none"/>
          <w:lang w:eastAsia="zh-CN"/>
        </w:rPr>
        <w:t>19.</w:t>
      </w:r>
      <w:r>
        <w:rPr>
          <w:rFonts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lang w:eastAsia="zh-CN"/>
        </w:rPr>
        <w:t>乙方如变更授权，应及时书面通知甲方。</w:t>
      </w:r>
      <w:bookmarkEnd w:id="138"/>
    </w:p>
    <w:p w14:paraId="122C5C19">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39" w:name="_Toc12486"/>
      <w:bookmarkStart w:id="140" w:name="_Toc25845"/>
      <w:bookmarkStart w:id="141" w:name="_Toc1417"/>
      <w:r>
        <w:rPr>
          <w:rFonts w:hint="eastAsia" w:ascii="仿宋" w:hAnsi="仿宋" w:eastAsia="仿宋" w:cs="仿宋"/>
          <w:b/>
          <w:bCs/>
          <w:color w:val="auto"/>
          <w:sz w:val="24"/>
          <w:szCs w:val="24"/>
          <w:highlight w:val="none"/>
          <w:lang w:eastAsia="zh-CN"/>
        </w:rPr>
        <w:t>第二十条</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b/>
          <w:bCs/>
          <w:color w:val="auto"/>
          <w:sz w:val="24"/>
          <w:szCs w:val="24"/>
          <w:highlight w:val="none"/>
          <w:lang w:eastAsia="zh-CN"/>
        </w:rPr>
        <w:t>通讯联络</w:t>
      </w:r>
      <w:bookmarkEnd w:id="139"/>
      <w:bookmarkEnd w:id="140"/>
      <w:bookmarkEnd w:id="141"/>
    </w:p>
    <w:p w14:paraId="500939C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20.1本合同中所涉及各方之间的申请、批准、确认、同意、决定、核实、通知、任命、指令或表示同意、否定等的文件，只能采用书面形式，且只有在对方收到方能生效。</w:t>
      </w:r>
    </w:p>
    <w:p w14:paraId="552DCA7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甲方送达地址：                                电子邮箱：</w:t>
      </w:r>
    </w:p>
    <w:p w14:paraId="4D5C585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收件人：                                      联系方式：</w:t>
      </w:r>
    </w:p>
    <w:p w14:paraId="6C3374C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乙方送达地址：                                电子邮箱：</w:t>
      </w:r>
    </w:p>
    <w:p w14:paraId="35A943F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收件人：                                      联系方式：</w:t>
      </w:r>
    </w:p>
    <w:p w14:paraId="3228FC7E">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42" w:name="_Toc12385"/>
      <w:r>
        <w:rPr>
          <w:rFonts w:hint="eastAsia" w:ascii="仿宋" w:hAnsi="仿宋" w:eastAsia="仿宋" w:cs="仿宋"/>
          <w:color w:val="auto"/>
          <w:sz w:val="24"/>
          <w:szCs w:val="24"/>
          <w:highlight w:val="none"/>
          <w:lang w:eastAsia="zh-CN"/>
        </w:rPr>
        <w:t>20.2邮件寄送至以上地址即视为收到。</w:t>
      </w:r>
      <w:bookmarkEnd w:id="142"/>
    </w:p>
    <w:p w14:paraId="0A238FDB">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43" w:name="_Toc9904"/>
      <w:r>
        <w:rPr>
          <w:rFonts w:hint="eastAsia" w:ascii="仿宋" w:hAnsi="仿宋" w:eastAsia="仿宋" w:cs="仿宋"/>
          <w:b/>
          <w:bCs/>
          <w:color w:val="auto"/>
          <w:sz w:val="24"/>
          <w:szCs w:val="24"/>
          <w:highlight w:val="none"/>
          <w:lang w:eastAsia="zh-CN"/>
        </w:rPr>
        <w:t>第二十一条 争议解决</w:t>
      </w:r>
      <w:bookmarkEnd w:id="143"/>
    </w:p>
    <w:p w14:paraId="3162960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本合同在履行过程中如发生争议，将采取下列解决方式：</w:t>
      </w:r>
    </w:p>
    <w:p w14:paraId="2BB457E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（1）由甲乙双方组织协商解决；</w:t>
      </w:r>
    </w:p>
    <w:p w14:paraId="74801A5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（2）经上述程序仍不能解决时，可向</w:t>
      </w:r>
      <w:r>
        <w:rPr>
          <w:rFonts w:hint="eastAsia" w:ascii="仿宋" w:hAnsi="仿宋" w:eastAsia="仿宋" w:cs="仿宋"/>
          <w:color w:val="auto"/>
          <w:sz w:val="24"/>
          <w:szCs w:val="24"/>
          <w:highlight w:val="none"/>
          <w:u w:val="single"/>
          <w:lang w:eastAsia="zh-CN"/>
        </w:rPr>
        <w:t xml:space="preserve"> ① </w:t>
      </w:r>
      <w:r>
        <w:rPr>
          <w:rFonts w:hint="eastAsia" w:ascii="仿宋" w:hAnsi="仿宋" w:eastAsia="仿宋" w:cs="仿宋"/>
          <w:color w:val="auto"/>
          <w:sz w:val="24"/>
          <w:szCs w:val="24"/>
          <w:highlight w:val="none"/>
          <w:lang w:eastAsia="zh-CN"/>
        </w:rPr>
        <w:t>。</w:t>
      </w:r>
    </w:p>
    <w:p w14:paraId="0A4CE786">
      <w:pPr>
        <w:pStyle w:val="9"/>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①项目所在地人民法院提请诉讼。</w:t>
      </w:r>
    </w:p>
    <w:p w14:paraId="12E61DC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②西安仲裁委员会申请仲裁。</w:t>
      </w:r>
    </w:p>
    <w:p w14:paraId="078F47F8">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44" w:name="_Toc2554"/>
      <w:r>
        <w:rPr>
          <w:rFonts w:hint="eastAsia" w:ascii="仿宋" w:hAnsi="仿宋" w:eastAsia="仿宋" w:cs="仿宋"/>
          <w:b/>
          <w:bCs/>
          <w:color w:val="auto"/>
          <w:sz w:val="24"/>
          <w:szCs w:val="24"/>
          <w:highlight w:val="none"/>
          <w:lang w:eastAsia="zh-CN"/>
        </w:rPr>
        <w:t>第二十二条 合同履行期限及份数</w:t>
      </w:r>
      <w:bookmarkEnd w:id="144"/>
    </w:p>
    <w:p w14:paraId="0149DAA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22.1本合同一式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份，甲方执</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份，乙方执</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份。</w:t>
      </w:r>
    </w:p>
    <w:p w14:paraId="6C1B74E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22.2本合同自双方法定代表人或委托代理人签字、盖单位公章或合同专用章后生效，乙方交付质量合格的工程，保修期满，甲方支付完合同价款后终止。</w:t>
      </w:r>
    </w:p>
    <w:p w14:paraId="4FD27966">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45" w:name="_Toc23976"/>
      <w:r>
        <w:rPr>
          <w:rFonts w:hint="eastAsia" w:ascii="仿宋" w:hAnsi="仿宋" w:eastAsia="仿宋" w:cs="仿宋"/>
          <w:b/>
          <w:bCs/>
          <w:color w:val="auto"/>
          <w:sz w:val="24"/>
          <w:szCs w:val="24"/>
          <w:highlight w:val="none"/>
          <w:lang w:eastAsia="zh-CN"/>
        </w:rPr>
        <w:t>第二十三条 特别说明</w:t>
      </w:r>
      <w:bookmarkEnd w:id="145"/>
    </w:p>
    <w:p w14:paraId="4D4DF3E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23.1若乙方涉及虚假诉讼问题，经查证属实，将处以最低五十万元的罚款，以及承担甲方因此支出的全部费用，包括但不限于履行生效判决和裁定的费用、诉讼费、律师费、以及甲方因此虚假诉讼商业信誉受损所遭受的直接和间接损失等，上述罚款甲方可直接从合同价款中扣除。如该行为涉及犯罪的，甲方将案件移交公安机关处理。</w:t>
      </w:r>
    </w:p>
    <w:p w14:paraId="0FE761E5">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lang w:eastAsia="zh-CN"/>
        </w:rPr>
        <w:t>23</w:t>
      </w:r>
      <w:r>
        <w:rPr>
          <w:rFonts w:hint="eastAsia" w:ascii="仿宋" w:hAnsi="仿宋" w:eastAsia="仿宋" w:cs="仿宋"/>
          <w:bCs/>
          <w:color w:val="auto"/>
          <w:sz w:val="24"/>
          <w:szCs w:val="24"/>
          <w:highlight w:val="none"/>
          <w:lang w:eastAsia="zh-CN"/>
        </w:rPr>
        <w:t>.2若甲方因乙方涉诉收到司法机关的协助执行通知书，甲方暂停支付乙方所有款项，甲方有权按照法院执行裁定书载明款项将该笔款项转入法院执行账户。该笔款项冲抵对乙方的应付账款，不足额的再进行追偿。</w:t>
      </w:r>
    </w:p>
    <w:p w14:paraId="292F3A0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23.3甲方在履约过程中对乙方所做出的任何认可或批准，均不免除或减轻乙方的安全、质量、进度、保修等方面的责任。</w:t>
      </w:r>
    </w:p>
    <w:p w14:paraId="7B1DE3C3">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46" w:name="_Toc14695"/>
      <w:r>
        <w:rPr>
          <w:rFonts w:hint="eastAsia" w:ascii="仿宋" w:hAnsi="仿宋" w:eastAsia="仿宋" w:cs="仿宋"/>
          <w:b/>
          <w:bCs/>
          <w:color w:val="auto"/>
          <w:sz w:val="24"/>
          <w:szCs w:val="24"/>
          <w:highlight w:val="none"/>
          <w:lang w:eastAsia="zh-CN"/>
        </w:rPr>
        <w:t>第二十四条 组成承包合同的文件及解释顺序</w:t>
      </w:r>
      <w:bookmarkEnd w:id="146"/>
    </w:p>
    <w:p w14:paraId="2B05690B">
      <w:pPr>
        <w:spacing w:line="360" w:lineRule="auto"/>
        <w:ind w:firstLine="480"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color w:val="auto"/>
          <w:sz w:val="24"/>
          <w:szCs w:val="24"/>
          <w:highlight w:val="none"/>
          <w:lang w:eastAsia="zh-CN"/>
        </w:rPr>
        <w:t>除本合同另有约定外，组成本合同的文件及优先解释顺序如下：</w:t>
      </w:r>
    </w:p>
    <w:p w14:paraId="21D642D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24.1本合同文本及附件；</w:t>
      </w:r>
    </w:p>
    <w:p w14:paraId="5AA34DA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24.2中标通知书、招标文件、中标人的投标文件；</w:t>
      </w:r>
    </w:p>
    <w:p w14:paraId="387FD22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24.3本合同工程建设标准、规范、图纸及有关技术文件；</w:t>
      </w:r>
    </w:p>
    <w:p w14:paraId="284B713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24.4甲方的各项管理制度；</w:t>
      </w:r>
    </w:p>
    <w:p w14:paraId="507C13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24.5 </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76D13C1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除非合同另有约定，合同履行过程中双方共同签署的补充协议、洽商文件以及经确认的双方往来文件也视为本合同组成部分。上述所有文件构成本合同内容，对双方具有约束力。</w:t>
      </w:r>
    </w:p>
    <w:p w14:paraId="40083A69">
      <w:pPr>
        <w:spacing w:line="360" w:lineRule="auto"/>
        <w:ind w:firstLine="482" w:firstLineChars="200"/>
        <w:outlineLvl w:val="1"/>
        <w:rPr>
          <w:rFonts w:hint="eastAsia" w:ascii="仿宋" w:hAnsi="仿宋" w:eastAsia="仿宋" w:cs="仿宋"/>
          <w:b/>
          <w:bCs/>
          <w:color w:val="auto"/>
          <w:sz w:val="24"/>
          <w:szCs w:val="24"/>
          <w:highlight w:val="none"/>
          <w:lang w:eastAsia="zh-CN"/>
        </w:rPr>
      </w:pPr>
      <w:bookmarkStart w:id="147" w:name="_Toc29568"/>
      <w:r>
        <w:rPr>
          <w:rFonts w:hint="eastAsia" w:ascii="仿宋" w:hAnsi="仿宋" w:eastAsia="仿宋" w:cs="仿宋"/>
          <w:b/>
          <w:bCs/>
          <w:color w:val="auto"/>
          <w:sz w:val="24"/>
          <w:szCs w:val="24"/>
          <w:highlight w:val="none"/>
          <w:lang w:eastAsia="zh-CN"/>
        </w:rPr>
        <w:t>第二十五条 补充条款</w:t>
      </w:r>
      <w:bookmarkEnd w:id="147"/>
    </w:p>
    <w:p w14:paraId="4A0901F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25.1 施工过程中，技术资料和工程进度必须同步，每月监理工程师和甲方管理人员对施工进度及资料进行检查，出现问题限期整改，否则罚款人民币1000元/项•次。工程竣工验收前，乙方须将竣工资料（一式捌份）交监理工程师验收，由监理工程师出具证明后，方可组织验收。</w:t>
      </w:r>
    </w:p>
    <w:p w14:paraId="4FAE4E8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25.2现场施工用水、用电由甲方指定接口，乙方不得私拉乱接，二级箱以下（含二级箱）电箱、开关箱、电缆等均由乙方负责。造成的损失由乙方承担。</w:t>
      </w:r>
    </w:p>
    <w:p w14:paraId="7D2E91F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25.3 乙方施工产生的垃圾由乙方清理并运至场外，做到工完场清。乙方若不外运，由甲方组织车辆外运垃圾，直接按10元/㎡从结算中扣除。工程竣工后，乙方应在甲方指定的时间内清退出场、提交竣工资料，同时乙方应将施工现场清理干净。否则，甲方将按1000元/日历天向乙方收取场地占用费，此笔费用从合同价款中予以扣除。</w:t>
      </w:r>
    </w:p>
    <w:p w14:paraId="09A437D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25.4由于乙方事先已知或应预见到可能会发生强暴雨、大风等自然灾害但未及时采取必要的防范和保护措施或防范保护措施不力而造成的损失及清理和修复费用由乙方承担。</w:t>
      </w:r>
    </w:p>
    <w:p w14:paraId="25C0064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25.5乙方应按照当地的规定，根据劳动合同约定的工资标准、支付周期和日期，支付劳动者工资，不得以工程款被拖欠、结算纠纷等理由克扣劳动者工资。</w:t>
      </w:r>
    </w:p>
    <w:p w14:paraId="4C862C5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25.6乙方必须为从事危险作业的职工办理工伤保险、意外伤害保险，并为施工场地内乙方的所有人员生命财产及施工机械设备办理保险，支付保险费用。</w:t>
      </w:r>
    </w:p>
    <w:p w14:paraId="64CC12A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25.7现场乙方必须设置1-2名质量员，配合甲方或监理单位进行现场质量巡查及问题落实整改。</w:t>
      </w:r>
    </w:p>
    <w:p w14:paraId="269FAE9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25.8施工日志按甲方要求填写，确保真实有效，按要求上交，如若未按要求执行，最终结算时扣除合同价款的1%。</w:t>
      </w:r>
    </w:p>
    <w:p w14:paraId="1B8E809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25.9甲方要求乙方暂停工程或暂停部分工程，涉及的工期，届时双方协商确定。</w:t>
      </w:r>
    </w:p>
    <w:p w14:paraId="5075CD7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25.10安全目标为无死亡事故，工伤频率控制在西安市建筑施工安全管理法规规定的指标要求范围内。若因乙方责任发生工伤事故，有关费用全部由乙方承担，因此给甲方造成损失的，还应按照甲方的实际损失承担赔偿责任（包括但不限于甲方为此支付的赔偿金、违约金、律师费、诉讼费等）。</w:t>
      </w:r>
    </w:p>
    <w:p w14:paraId="6573982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25.11如甲方提出需乙方施工合同外工作内容，合同价款及付款方式另行约定。</w:t>
      </w:r>
    </w:p>
    <w:p w14:paraId="0E271E5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附件一《工程安全生产管理协议书》</w:t>
      </w:r>
    </w:p>
    <w:p w14:paraId="6A6FC7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附件二《质量保修书》</w:t>
      </w:r>
    </w:p>
    <w:p w14:paraId="253F82F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附件三《建设工程廉政责任书》</w:t>
      </w:r>
    </w:p>
    <w:p w14:paraId="55364E8D">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（本页以下无正文）</w:t>
      </w:r>
    </w:p>
    <w:p w14:paraId="38E8B0E3">
      <w:pPr>
        <w:spacing w:line="360" w:lineRule="auto"/>
        <w:ind w:firstLine="482" w:firstLineChars="200"/>
        <w:rPr>
          <w:rFonts w:hint="eastAsia" w:ascii="仿宋" w:hAnsi="仿宋" w:eastAsia="仿宋" w:cs="仿宋"/>
          <w:b/>
          <w:bCs/>
          <w:color w:val="auto"/>
          <w:sz w:val="24"/>
          <w:szCs w:val="24"/>
          <w:highlight w:val="none"/>
          <w:lang w:eastAsia="zh-CN"/>
        </w:rPr>
      </w:pPr>
    </w:p>
    <w:p w14:paraId="41F16BE1">
      <w:pPr>
        <w:pStyle w:val="7"/>
        <w:ind w:firstLine="480"/>
        <w:rPr>
          <w:color w:val="auto"/>
          <w:sz w:val="24"/>
          <w:szCs w:val="24"/>
          <w:highlight w:val="none"/>
          <w:lang w:eastAsia="zh-CN"/>
        </w:rPr>
      </w:pPr>
    </w:p>
    <w:p w14:paraId="31D3FAB3">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甲方（盖章）：                       乙方（盖章）：   </w:t>
      </w:r>
    </w:p>
    <w:p w14:paraId="7AE0AAA1">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法定代表人（签字或盖章）：           法定代表人（签字或盖章）：</w:t>
      </w:r>
    </w:p>
    <w:p w14:paraId="10205DD6">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委托代理人：                         委托代理人：</w:t>
      </w:r>
    </w:p>
    <w:p w14:paraId="1C1A5F47">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联系电话：                           联系电话：</w:t>
      </w:r>
    </w:p>
    <w:p w14:paraId="7B2D7F78">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地    址：                           地    址：</w:t>
      </w:r>
    </w:p>
    <w:p w14:paraId="4EE580F2">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电子邮箱：                           电子邮箱：</w:t>
      </w:r>
    </w:p>
    <w:p w14:paraId="046C8297">
      <w:pPr>
        <w:spacing w:line="360" w:lineRule="auto"/>
        <w:ind w:firstLine="482" w:firstLineChars="200"/>
        <w:rPr>
          <w:rFonts w:hint="eastAsia" w:ascii="仿宋" w:hAnsi="仿宋" w:eastAsia="仿宋" w:cs="仿宋"/>
          <w:b/>
          <w:bCs/>
          <w:color w:val="auto"/>
          <w:highlight w:val="none"/>
          <w:lang w:eastAsia="zh-CN"/>
        </w:rPr>
      </w:pPr>
      <w:r>
        <w:rPr>
          <w:rFonts w:hint="eastAsia" w:ascii="仿宋" w:hAnsi="仿宋" w:eastAsia="仿宋" w:cs="仿宋"/>
          <w:b/>
          <w:bCs/>
          <w:color w:val="auto"/>
          <w:sz w:val="24"/>
          <w:szCs w:val="24"/>
          <w:highlight w:val="none"/>
          <w:lang w:eastAsia="zh-CN"/>
        </w:rPr>
        <w:t>签订日期：    年   月   日           签订日期：    年   月   日</w:t>
      </w:r>
    </w:p>
    <w:p w14:paraId="71B9C3DB">
      <w:pPr>
        <w:spacing w:line="360" w:lineRule="auto"/>
        <w:rPr>
          <w:rFonts w:hint="eastAsia" w:ascii="仿宋" w:hAnsi="仿宋" w:eastAsia="仿宋" w:cs="仿宋"/>
          <w:color w:val="auto"/>
          <w:highlight w:val="none"/>
          <w:lang w:eastAsia="zh-CN"/>
        </w:rPr>
      </w:pPr>
    </w:p>
    <w:p w14:paraId="3C62ED77">
      <w:pPr>
        <w:spacing w:line="360" w:lineRule="auto"/>
        <w:rPr>
          <w:rFonts w:hint="eastAsia" w:ascii="仿宋" w:hAnsi="仿宋" w:eastAsia="仿宋" w:cs="仿宋"/>
          <w:color w:val="auto"/>
          <w:highlight w:val="none"/>
          <w:lang w:eastAsia="zh-CN"/>
        </w:rPr>
      </w:pPr>
    </w:p>
    <w:p w14:paraId="6013E6C8">
      <w:pPr>
        <w:spacing w:line="360" w:lineRule="auto"/>
        <w:rPr>
          <w:rFonts w:hint="eastAsia" w:ascii="仿宋" w:hAnsi="仿宋" w:eastAsia="仿宋" w:cs="仿宋"/>
          <w:color w:val="auto"/>
          <w:highlight w:val="none"/>
          <w:lang w:eastAsia="zh-CN"/>
        </w:rPr>
      </w:pPr>
    </w:p>
    <w:p w14:paraId="6242C40B">
      <w:pPr>
        <w:spacing w:line="360" w:lineRule="auto"/>
        <w:rPr>
          <w:rFonts w:hint="eastAsia" w:ascii="仿宋" w:hAnsi="仿宋" w:eastAsia="仿宋" w:cs="仿宋"/>
          <w:color w:val="auto"/>
          <w:highlight w:val="none"/>
          <w:lang w:eastAsia="zh-CN"/>
        </w:rPr>
      </w:pPr>
    </w:p>
    <w:p w14:paraId="665806A5">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327AEB58">
      <w:pPr>
        <w:spacing w:line="360" w:lineRule="auto"/>
        <w:outlineLvl w:val="2"/>
        <w:rPr>
          <w:rFonts w:hint="eastAsia" w:ascii="仿宋" w:hAnsi="仿宋" w:eastAsia="仿宋" w:cs="仿宋"/>
          <w:color w:val="auto"/>
          <w:sz w:val="24"/>
          <w:szCs w:val="24"/>
          <w:highlight w:val="none"/>
          <w:lang w:eastAsia="zh-CN"/>
        </w:rPr>
      </w:pPr>
      <w:bookmarkStart w:id="148" w:name="_Toc10276"/>
      <w:r>
        <w:rPr>
          <w:rFonts w:hint="eastAsia" w:ascii="仿宋" w:hAnsi="仿宋" w:eastAsia="仿宋" w:cs="仿宋"/>
          <w:color w:val="auto"/>
          <w:sz w:val="24"/>
          <w:szCs w:val="24"/>
          <w:highlight w:val="none"/>
          <w:lang w:eastAsia="zh-CN"/>
        </w:rPr>
        <w:t>附件一：工程安全生产管理协议书</w:t>
      </w:r>
      <w:bookmarkEnd w:id="148"/>
    </w:p>
    <w:p w14:paraId="5B4DBFBF">
      <w:pPr>
        <w:spacing w:after="240" w:afterLines="100"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工程安全生产管理协议书</w:t>
      </w:r>
    </w:p>
    <w:p w14:paraId="3E05CC6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发包人（以下简称甲方）：        </w:t>
      </w:r>
    </w:p>
    <w:p w14:paraId="7E397435">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承包人（以下简称乙方）：        </w:t>
      </w:r>
    </w:p>
    <w:p w14:paraId="36CD7FF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了进一步规范双方安全生产行为，明晰和落实各自安全生产责任，保障从业人员的生命健康和财产安全，确保施工安全、有序进行。依据《中华人民共和国安全生产法》、《建设工程安全生产管理条例》等法律法规和相关要求，遵循平等、公平和诚实信用的原则，在双方签订</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的基础上，双方就施工安全管理协商达成一致，订立本协议。</w:t>
      </w:r>
    </w:p>
    <w:p w14:paraId="7E68E5D1">
      <w:pPr>
        <w:spacing w:line="360" w:lineRule="auto"/>
        <w:ind w:firstLine="460" w:firstLineChars="192"/>
        <w:outlineLvl w:val="2"/>
        <w:rPr>
          <w:rFonts w:hint="eastAsia" w:ascii="仿宋" w:hAnsi="仿宋" w:eastAsia="仿宋" w:cs="仿宋"/>
          <w:bCs/>
          <w:color w:val="auto"/>
          <w:sz w:val="24"/>
          <w:szCs w:val="24"/>
          <w:highlight w:val="none"/>
          <w:lang w:eastAsia="zh-CN"/>
        </w:rPr>
      </w:pPr>
      <w:bookmarkStart w:id="149" w:name="_Toc16544"/>
      <w:r>
        <w:rPr>
          <w:rFonts w:hint="eastAsia" w:ascii="仿宋" w:hAnsi="仿宋" w:eastAsia="仿宋" w:cs="仿宋"/>
          <w:bCs/>
          <w:color w:val="auto"/>
          <w:sz w:val="24"/>
          <w:szCs w:val="24"/>
          <w:highlight w:val="none"/>
          <w:lang w:eastAsia="zh-CN"/>
        </w:rPr>
        <w:t xml:space="preserve">1 </w:t>
      </w:r>
      <w:r>
        <w:rPr>
          <w:rFonts w:hint="eastAsia" w:ascii="仿宋" w:hAnsi="仿宋" w:eastAsia="仿宋" w:cs="仿宋"/>
          <w:color w:val="auto"/>
          <w:sz w:val="24"/>
          <w:szCs w:val="24"/>
          <w:highlight w:val="none"/>
          <w:lang w:eastAsia="zh-CN"/>
        </w:rPr>
        <w:t>乙方</w:t>
      </w:r>
      <w:r>
        <w:rPr>
          <w:rFonts w:hint="eastAsia" w:ascii="仿宋" w:hAnsi="仿宋" w:eastAsia="仿宋" w:cs="仿宋"/>
          <w:bCs/>
          <w:color w:val="auto"/>
          <w:sz w:val="24"/>
          <w:szCs w:val="24"/>
          <w:highlight w:val="none"/>
          <w:lang w:eastAsia="zh-CN"/>
        </w:rPr>
        <w:t>基本情况</w:t>
      </w:r>
      <w:bookmarkEnd w:id="149"/>
    </w:p>
    <w:p w14:paraId="5B91D5C6">
      <w:pPr>
        <w:spacing w:line="360" w:lineRule="auto"/>
        <w:ind w:firstLine="460" w:firstLineChars="192"/>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营业执照号码：                   有效期止：</w:t>
      </w:r>
    </w:p>
    <w:p w14:paraId="069E9FD1">
      <w:pPr>
        <w:spacing w:line="360" w:lineRule="auto"/>
        <w:ind w:firstLine="460" w:firstLineChars="192"/>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资质证书号码：                   有效期止：</w:t>
      </w:r>
    </w:p>
    <w:p w14:paraId="01C11BE9">
      <w:pPr>
        <w:spacing w:line="360" w:lineRule="auto"/>
        <w:ind w:firstLine="460" w:firstLineChars="192"/>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安全生产许可证号码：             有效期止：</w:t>
      </w:r>
    </w:p>
    <w:p w14:paraId="27E3D033">
      <w:pPr>
        <w:spacing w:line="360" w:lineRule="auto"/>
        <w:ind w:firstLine="460" w:firstLineChars="192"/>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 责任范围：乙方所承担的工程项目范围内的所有作业人员的生命健康、文明施工、消防保卫、施工设施及环境等安全。</w:t>
      </w:r>
    </w:p>
    <w:p w14:paraId="38980A14">
      <w:pPr>
        <w:spacing w:line="360" w:lineRule="auto"/>
        <w:ind w:firstLine="480" w:firstLineChars="200"/>
        <w:outlineLvl w:val="2"/>
        <w:rPr>
          <w:rFonts w:hint="eastAsia" w:ascii="仿宋" w:hAnsi="仿宋" w:eastAsia="仿宋" w:cs="仿宋"/>
          <w:bCs/>
          <w:color w:val="auto"/>
          <w:sz w:val="24"/>
          <w:szCs w:val="24"/>
          <w:highlight w:val="none"/>
          <w:lang w:eastAsia="zh-CN"/>
        </w:rPr>
      </w:pPr>
      <w:bookmarkStart w:id="150" w:name="_Toc30314"/>
      <w:r>
        <w:rPr>
          <w:rFonts w:hint="eastAsia" w:ascii="仿宋" w:hAnsi="仿宋" w:eastAsia="仿宋" w:cs="仿宋"/>
          <w:bCs/>
          <w:color w:val="auto"/>
          <w:sz w:val="24"/>
          <w:szCs w:val="24"/>
          <w:highlight w:val="none"/>
          <w:lang w:eastAsia="zh-CN"/>
        </w:rPr>
        <w:t>3 甲方的权利和义务</w:t>
      </w:r>
      <w:bookmarkEnd w:id="150"/>
    </w:p>
    <w:p w14:paraId="10CACBED">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3.1 负责对乙方进行安全技术交底，督促乙方落实各项安全技术措施。</w:t>
      </w:r>
    </w:p>
    <w:p w14:paraId="42B1C468">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3.2 负责向甲方或甲方聘请的监理单位申报乙方编制的专项施工方案和安全施工措施，并督促乙方实施。按照合同约定，按时足额支付安全文明施工措施费。</w:t>
      </w:r>
    </w:p>
    <w:p w14:paraId="5CBB19B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3.3 有权对乙方项目安全管理体系的建立运行、安全生产规章制度落实和安全措施执行情况进行检查，并要求乙方及时整改。</w:t>
      </w:r>
    </w:p>
    <w:p w14:paraId="499123A1">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3.4 有权对乙方采购的安全防护用品的材质、使用情况进行监督检查。</w:t>
      </w:r>
    </w:p>
    <w:p w14:paraId="6FC1F072">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3.5 有权审查乙方特种作业人员的资格，对无证上岗的，有权要求乙方立即辞退或调换岗位。</w:t>
      </w:r>
    </w:p>
    <w:p w14:paraId="5E2B7E62">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3.6 有权对违反安全生产法律法规、标准规章的行为纠正，必要时按照合同约定收取乙方违约金或要求乙方停工整改。</w:t>
      </w:r>
    </w:p>
    <w:p w14:paraId="5CB39A9D">
      <w:pPr>
        <w:spacing w:line="360" w:lineRule="auto"/>
        <w:ind w:firstLine="460" w:firstLineChars="192"/>
        <w:outlineLvl w:val="2"/>
        <w:rPr>
          <w:rFonts w:hint="eastAsia" w:ascii="仿宋" w:hAnsi="仿宋" w:eastAsia="仿宋" w:cs="仿宋"/>
          <w:bCs/>
          <w:color w:val="auto"/>
          <w:sz w:val="24"/>
          <w:szCs w:val="24"/>
          <w:highlight w:val="none"/>
          <w:lang w:eastAsia="zh-CN"/>
        </w:rPr>
      </w:pPr>
      <w:bookmarkStart w:id="151" w:name="_Toc12288"/>
      <w:r>
        <w:rPr>
          <w:rFonts w:hint="eastAsia" w:ascii="仿宋" w:hAnsi="仿宋" w:eastAsia="仿宋" w:cs="仿宋"/>
          <w:bCs/>
          <w:color w:val="auto"/>
          <w:sz w:val="24"/>
          <w:szCs w:val="24"/>
          <w:highlight w:val="none"/>
          <w:lang w:eastAsia="zh-CN"/>
        </w:rPr>
        <w:t>4 乙方的权利和义务</w:t>
      </w:r>
      <w:bookmarkEnd w:id="151"/>
    </w:p>
    <w:p w14:paraId="1E9D5908">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4.1 遵守工程建设安全生产有关管理规定，严格按安全标准和经批准的工程安全技术措施、专项施工方案进行施工。对本单位承包工程施工过程的安全全面负责。负责建立健全项目安全生产保证体系，配备项目负责人和专职安全管理人员，随时接受甲方、当地政府、监理等单位安全检查人员依法实施的监督检查，采取必要的措施，消除事故隐患。遵守施工现场安全生产管理制度和劳动纪律，服从甲方的安全生产管理。有权拒绝甲方的违章指挥和强令冒险作业。</w:t>
      </w:r>
    </w:p>
    <w:p w14:paraId="35C68DC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由于乙方导致生产安全事故的，由乙方承担全部责任并赔偿损失，甲方有权就事故造成的损失，向乙方索赔。</w:t>
      </w:r>
    </w:p>
    <w:p w14:paraId="016CE338">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4.2 负责本单位从业人员的安全生产、文明施工管理，组织实施施工、操作人员入场前、定期和经常性的安全、文明施工教育培训、安全技术交底，并形成书面材料；保证操作人员具备必要的安全生产知识、熟悉有关的安全生产规章制度和安全操作规程、掌握本岗位的安全操作技能和紧急情况下的应急避险措施，并督促施工人员自觉遵守安全生产的各项规章制度。</w:t>
      </w:r>
    </w:p>
    <w:p w14:paraId="3E913530">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应当书面告知本单位危险岗位人员的操作规程和违章操作的危害。</w:t>
      </w:r>
    </w:p>
    <w:p w14:paraId="3A7D88FF">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4.3 人员进场，必须及时如实向甲方填报进场人员的姓名、性别、年龄、工种、本工种工龄、家庭住址、身份证号、教育培训情况等信息。</w:t>
      </w:r>
    </w:p>
    <w:p w14:paraId="558114BA">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严禁雇佣童工、未成年工、不适宜从事有关工种、身份不明的人员（如违法犯罪人员）及特殊工种超过50岁或非特殊工种超过55岁人员。乙方使用以上人员造成生产安全事故或产生其他法律后果的，由乙方承担全部责任。</w:t>
      </w:r>
    </w:p>
    <w:p w14:paraId="2AB7C2C5">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4.4 保证所施工的承包工程安全生产所需资源的投入和有效使用，承担因安全投入不足产生的所有后果。根据所承担分部工程的特点，负责制定、报批和组织实施承包工程和区域的安全施工措施、专项施工方案，并针对分项工程和作业环境实际，对有关安全施工的技术要求向作业班组、作业人员做出详细说明。指导、督促作业人员严格按照安全技术要求和操作规程作业。</w:t>
      </w:r>
    </w:p>
    <w:p w14:paraId="1D9838D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对属于危险性较大的分部分项工程专项施工方案，乙方在施工前必须经本单位技术负责人审核，报监理单位履行审批程序。经总监理工程师审查同意、加盖执业印章后，方可组织施工。变更施工方案的，必须再次履行审批程序。施工前，专项施工方案的编制人或本单位项目技术负责人必须向全体管理人员和操作人员进行方案交底，并保存交底记录。</w:t>
      </w:r>
    </w:p>
    <w:p w14:paraId="3C32924E">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乙方在施工方案未经甲方和监理单位审批同意，擅自组织施工或变更施工方案的，乙方对导致的后果承担全部责任。</w:t>
      </w:r>
    </w:p>
    <w:p w14:paraId="3D620B93">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4.5 负责为本单位从业人员提供必要的个体劳动防护用品，并督促正确使用，及时制止违章行为。</w:t>
      </w:r>
    </w:p>
    <w:p w14:paraId="07BFEFA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4.6 向甲方申报自带进场机具设备的规格、型号、数量、安全状况等并负责安全使用，严禁机具设备“带病”运转。由于自带机具设备原因造成的生产安全事故，乙方承担全部责任。</w:t>
      </w:r>
    </w:p>
    <w:p w14:paraId="42EA8D8A">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严禁乙方人员操作使用非乙方的设备设施，确需使用的，应共同办理验收和移交手续，乙方人员擅自操作使用导致事故的，乙方承担全部责任。给甲方和相关方造成损失的，有权向乙方索赔。</w:t>
      </w:r>
    </w:p>
    <w:p w14:paraId="79883D55">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乙方现场临时用电，必须执行TN-S系统和两级漏电保护，配备持证专业电工，所有用电必须从本单位配电箱引出，并对用电安全全面负责。</w:t>
      </w:r>
    </w:p>
    <w:p w14:paraId="195A4381">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4.7 接受甲方的安全监督检查，对检查提出的问题和隐患，落实资源及时整改，不得以任何理由拒绝整改或设置障碍。</w:t>
      </w:r>
    </w:p>
    <w:p w14:paraId="7CE9EACB">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4.8 对本单位所使用的员工宿舍、食堂的安全负责。宿舍、食堂建筑必须符合安全要求，使用管理应符合现行行业标准《施工现场环境与卫生标准》（JGJ146）的规定。对本单位员工在宿舍、食堂等生活区发生的事故承担全部责任。</w:t>
      </w:r>
    </w:p>
    <w:p w14:paraId="1C2A4226">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4.9 接受甲方按照的合同约定和比照内部管理规定，对违反安全生产管理规定行为的处理，并承担由此产生的经济损失。</w:t>
      </w:r>
    </w:p>
    <w:p w14:paraId="4B3FA666">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4.10 负责为本单位从业人员办理工伤保险、意外伤害保险，支付保险费、承担保险义务。</w:t>
      </w:r>
    </w:p>
    <w:p w14:paraId="6BA0996D">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加强对本单位从业人员非工作期间的安全管理，并对非工作时间和施工现场以外发生的事故承担全部责任。</w:t>
      </w:r>
    </w:p>
    <w:p w14:paraId="79DF086E">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因不可抗力造成乙方人员伤亡和财产损失的由乙方负责，并承担全部费用。</w:t>
      </w:r>
    </w:p>
    <w:p w14:paraId="678BCB3A">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4.11 对本单位施工人员所发生的生产安全事故，乙方应当按照规定立即报告，采取有效措施组织抢救伤者和财产，防止事故扩大。配合甲方等单位按照有关法律法规对事故进行调查处理，负责做好家属的安抚、事故善后处理工作，并承担全部责任。</w:t>
      </w:r>
    </w:p>
    <w:p w14:paraId="2644F3AE">
      <w:pPr>
        <w:spacing w:line="360" w:lineRule="auto"/>
        <w:ind w:firstLine="460" w:firstLineChars="192"/>
        <w:outlineLvl w:val="2"/>
        <w:rPr>
          <w:rFonts w:hint="eastAsia" w:ascii="仿宋" w:hAnsi="仿宋" w:eastAsia="仿宋" w:cs="仿宋"/>
          <w:bCs/>
          <w:color w:val="auto"/>
          <w:sz w:val="24"/>
          <w:szCs w:val="24"/>
          <w:highlight w:val="none"/>
          <w:lang w:eastAsia="zh-CN"/>
        </w:rPr>
      </w:pPr>
      <w:bookmarkStart w:id="152" w:name="_Toc10320"/>
      <w:r>
        <w:rPr>
          <w:rFonts w:hint="eastAsia" w:ascii="仿宋" w:hAnsi="仿宋" w:eastAsia="仿宋" w:cs="仿宋"/>
          <w:bCs/>
          <w:color w:val="auto"/>
          <w:sz w:val="24"/>
          <w:szCs w:val="24"/>
          <w:highlight w:val="none"/>
          <w:lang w:eastAsia="zh-CN"/>
        </w:rPr>
        <w:t>5 其他约定</w:t>
      </w:r>
      <w:bookmarkEnd w:id="152"/>
    </w:p>
    <w:p w14:paraId="10C501CF">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乙方拟派</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为本单位现场项目负责人，</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为现场安全负责人；承诺所派现场项目负责人、安全负责人持证上岗，为本单位职工，有正式任命文件，能到岗履职。未到岗履职的，按照甲方的合同约定，甲方收取乙方的违约金，直至人员到岗或办理变更。</w:t>
      </w:r>
    </w:p>
    <w:p w14:paraId="707EC3FB">
      <w:pPr>
        <w:spacing w:line="360" w:lineRule="auto"/>
        <w:ind w:firstLine="480" w:firstLineChars="200"/>
        <w:outlineLvl w:val="2"/>
        <w:rPr>
          <w:rFonts w:hint="eastAsia" w:ascii="仿宋" w:hAnsi="仿宋" w:eastAsia="仿宋" w:cs="仿宋"/>
          <w:bCs/>
          <w:color w:val="auto"/>
          <w:sz w:val="24"/>
          <w:szCs w:val="24"/>
          <w:highlight w:val="none"/>
          <w:lang w:eastAsia="zh-CN"/>
        </w:rPr>
      </w:pPr>
      <w:bookmarkStart w:id="153" w:name="_Toc28248"/>
      <w:r>
        <w:rPr>
          <w:rFonts w:hint="eastAsia" w:ascii="仿宋" w:hAnsi="仿宋" w:eastAsia="仿宋" w:cs="仿宋"/>
          <w:bCs/>
          <w:color w:val="auto"/>
          <w:sz w:val="24"/>
          <w:szCs w:val="24"/>
          <w:highlight w:val="none"/>
          <w:lang w:eastAsia="zh-CN"/>
        </w:rPr>
        <w:t>6 协议的生效与终止</w:t>
      </w:r>
      <w:bookmarkEnd w:id="153"/>
    </w:p>
    <w:p w14:paraId="10C39FC9">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本协议书作为《</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》的附件，同《</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》同时生效、同时终止。</w:t>
      </w:r>
    </w:p>
    <w:p w14:paraId="6D05C28B">
      <w:pPr>
        <w:spacing w:line="360" w:lineRule="auto"/>
        <w:ind w:firstLine="480" w:firstLineChars="200"/>
        <w:outlineLvl w:val="2"/>
        <w:rPr>
          <w:rFonts w:hint="eastAsia" w:ascii="仿宋" w:hAnsi="仿宋" w:eastAsia="仿宋" w:cs="仿宋"/>
          <w:bCs/>
          <w:color w:val="auto"/>
          <w:sz w:val="24"/>
          <w:szCs w:val="24"/>
          <w:highlight w:val="none"/>
          <w:lang w:eastAsia="zh-CN"/>
        </w:rPr>
      </w:pPr>
      <w:bookmarkStart w:id="154" w:name="_Toc29889"/>
      <w:r>
        <w:rPr>
          <w:rFonts w:hint="eastAsia" w:ascii="仿宋" w:hAnsi="仿宋" w:eastAsia="仿宋" w:cs="仿宋"/>
          <w:bCs/>
          <w:color w:val="auto"/>
          <w:sz w:val="24"/>
          <w:szCs w:val="24"/>
          <w:highlight w:val="none"/>
          <w:lang w:eastAsia="zh-CN"/>
        </w:rPr>
        <w:t>7 协议的份数及资料性附件</w:t>
      </w:r>
      <w:bookmarkEnd w:id="154"/>
    </w:p>
    <w:p w14:paraId="00F1360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7.1 本协议书一式四份，甲、乙双方各执两份。</w:t>
      </w:r>
    </w:p>
    <w:p w14:paraId="5ED46B4F">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7.2 本协议书的附件</w:t>
      </w:r>
    </w:p>
    <w:p w14:paraId="0A590761">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7.2.1 承包人营业执照、资质证书、安全生产许可证的有效复印件（加盖单位公章）。</w:t>
      </w:r>
    </w:p>
    <w:p w14:paraId="1651E081">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7.2.2 派驻现场项目负责人的法人委托书。</w:t>
      </w:r>
    </w:p>
    <w:p w14:paraId="2775CFD3">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7.2.3 派驻现场项目负责人、专职安全管理人员的考核合格证书有效复印件（加盖单位公章）。</w:t>
      </w:r>
    </w:p>
    <w:p w14:paraId="762E28DC">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55" w:name="_Toc26551"/>
      <w:r>
        <w:rPr>
          <w:rFonts w:hint="eastAsia" w:ascii="仿宋" w:hAnsi="仿宋" w:eastAsia="仿宋" w:cs="仿宋"/>
          <w:bCs/>
          <w:color w:val="auto"/>
          <w:sz w:val="24"/>
          <w:szCs w:val="24"/>
          <w:highlight w:val="none"/>
          <w:lang w:eastAsia="zh-CN"/>
        </w:rPr>
        <w:t>8 补充条款：</w:t>
      </w:r>
      <w:r>
        <w:rPr>
          <w:rFonts w:hint="eastAsia" w:ascii="仿宋" w:hAnsi="仿宋" w:eastAsia="仿宋" w:cs="仿宋"/>
          <w:bCs/>
          <w:color w:val="auto"/>
          <w:sz w:val="24"/>
          <w:szCs w:val="24"/>
          <w:highlight w:val="none"/>
          <w:u w:val="single"/>
          <w:lang w:eastAsia="zh-CN"/>
        </w:rPr>
        <w:t xml:space="preserve"> / </w:t>
      </w:r>
      <w:r>
        <w:rPr>
          <w:rFonts w:hint="eastAsia" w:ascii="仿宋" w:hAnsi="仿宋" w:eastAsia="仿宋" w:cs="仿宋"/>
          <w:b/>
          <w:bCs/>
          <w:color w:val="auto"/>
          <w:sz w:val="24"/>
          <w:szCs w:val="24"/>
          <w:highlight w:val="none"/>
          <w:lang w:eastAsia="zh-CN"/>
        </w:rPr>
        <w:t>（本页以下无正文）</w:t>
      </w:r>
      <w:bookmarkEnd w:id="155"/>
    </w:p>
    <w:p w14:paraId="2E474A55">
      <w:pPr>
        <w:spacing w:line="360" w:lineRule="auto"/>
        <w:ind w:firstLine="480" w:firstLineChars="200"/>
        <w:rPr>
          <w:rFonts w:hint="eastAsia" w:ascii="仿宋" w:hAnsi="仿宋" w:eastAsia="仿宋" w:cs="仿宋"/>
          <w:bCs/>
          <w:color w:val="auto"/>
          <w:sz w:val="24"/>
          <w:szCs w:val="24"/>
          <w:highlight w:val="none"/>
          <w:lang w:eastAsia="zh-CN"/>
        </w:rPr>
      </w:pPr>
    </w:p>
    <w:p w14:paraId="670E000E">
      <w:pPr>
        <w:spacing w:line="360" w:lineRule="auto"/>
        <w:rPr>
          <w:rFonts w:hint="eastAsia" w:ascii="仿宋" w:hAnsi="仿宋" w:eastAsia="仿宋" w:cs="仿宋"/>
          <w:color w:val="auto"/>
          <w:sz w:val="24"/>
          <w:szCs w:val="24"/>
          <w:highlight w:val="none"/>
          <w:lang w:eastAsia="zh-CN"/>
        </w:rPr>
      </w:pPr>
    </w:p>
    <w:p w14:paraId="1E300BB0">
      <w:pPr>
        <w:spacing w:line="360" w:lineRule="auto"/>
        <w:rPr>
          <w:rFonts w:hint="eastAsia" w:ascii="仿宋" w:hAnsi="仿宋" w:eastAsia="仿宋" w:cs="仿宋"/>
          <w:color w:val="auto"/>
          <w:sz w:val="24"/>
          <w:szCs w:val="24"/>
          <w:highlight w:val="none"/>
          <w:lang w:eastAsia="zh-CN"/>
        </w:rPr>
      </w:pPr>
    </w:p>
    <w:p w14:paraId="44A3765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    方： </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（公章）   </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（公章）</w:t>
      </w:r>
    </w:p>
    <w:p w14:paraId="2F71E84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甲方法定代表人          </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乙方法定代表人</w:t>
      </w:r>
    </w:p>
    <w:p w14:paraId="454809E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（或委托代理人）：        </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（或委托代理人）：</w:t>
      </w:r>
    </w:p>
    <w:p w14:paraId="7090ED5B">
      <w:pPr>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33EDB37A">
      <w:pPr>
        <w:spacing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签订时间：     年    月    日        签订时间：     年    月    日</w:t>
      </w:r>
    </w:p>
    <w:p w14:paraId="0E7E318A">
      <w:pPr>
        <w:spacing w:line="360" w:lineRule="auto"/>
        <w:jc w:val="both"/>
        <w:rPr>
          <w:rFonts w:hint="eastAsia" w:ascii="仿宋" w:hAnsi="仿宋" w:eastAsia="仿宋" w:cs="仿宋"/>
          <w:color w:val="auto"/>
          <w:sz w:val="24"/>
          <w:szCs w:val="24"/>
          <w:highlight w:val="none"/>
          <w:lang w:eastAsia="zh-CN"/>
        </w:rPr>
      </w:pPr>
    </w:p>
    <w:p w14:paraId="72A95223">
      <w:pPr>
        <w:pStyle w:val="12"/>
        <w:spacing w:line="360" w:lineRule="auto"/>
        <w:ind w:left="1470"/>
        <w:rPr>
          <w:rFonts w:hint="eastAsia" w:ascii="仿宋" w:hAnsi="仿宋" w:eastAsia="仿宋" w:cs="仿宋"/>
          <w:color w:val="auto"/>
          <w:sz w:val="24"/>
          <w:szCs w:val="24"/>
          <w:highlight w:val="none"/>
          <w:lang w:eastAsia="zh-CN"/>
        </w:rPr>
      </w:pPr>
    </w:p>
    <w:p w14:paraId="2D63C38C">
      <w:pPr>
        <w:pStyle w:val="12"/>
        <w:spacing w:line="360" w:lineRule="auto"/>
        <w:ind w:left="1470"/>
        <w:rPr>
          <w:rFonts w:hint="eastAsia" w:ascii="仿宋" w:hAnsi="仿宋" w:eastAsia="仿宋" w:cs="仿宋"/>
          <w:color w:val="auto"/>
          <w:sz w:val="24"/>
          <w:szCs w:val="24"/>
          <w:highlight w:val="none"/>
          <w:lang w:eastAsia="zh-CN"/>
        </w:rPr>
      </w:pPr>
    </w:p>
    <w:p w14:paraId="3C862178">
      <w:pPr>
        <w:pStyle w:val="12"/>
        <w:spacing w:line="360" w:lineRule="auto"/>
        <w:ind w:left="0" w:leftChars="0"/>
        <w:rPr>
          <w:rFonts w:hint="eastAsia" w:ascii="仿宋" w:hAnsi="仿宋" w:eastAsia="仿宋" w:cs="仿宋"/>
          <w:color w:val="auto"/>
          <w:sz w:val="24"/>
          <w:szCs w:val="24"/>
          <w:highlight w:val="none"/>
          <w:lang w:eastAsia="zh-CN"/>
        </w:rPr>
      </w:pPr>
    </w:p>
    <w:p w14:paraId="4562F44A">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483EC2F1">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附件二：工程质量保修书</w:t>
      </w:r>
    </w:p>
    <w:p w14:paraId="27AD19BE">
      <w:pPr>
        <w:spacing w:after="240" w:afterLines="100" w:line="360" w:lineRule="auto"/>
        <w:jc w:val="cente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工程质量保修书</w:t>
      </w:r>
    </w:p>
    <w:p w14:paraId="2C93DA64">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发包人（以下简称甲方）：</w:t>
      </w:r>
    </w:p>
    <w:p w14:paraId="0AFCD79B">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承包人（以下简称乙方）：</w:t>
      </w:r>
    </w:p>
    <w:p w14:paraId="5F52CDCC">
      <w:pPr>
        <w:spacing w:line="360" w:lineRule="auto"/>
        <w:rPr>
          <w:rFonts w:hint="eastAsia" w:ascii="仿宋" w:hAnsi="仿宋" w:eastAsia="仿宋" w:cs="仿宋"/>
          <w:color w:val="auto"/>
          <w:sz w:val="24"/>
          <w:szCs w:val="24"/>
          <w:highlight w:val="none"/>
          <w:lang w:eastAsia="zh-CN"/>
        </w:rPr>
      </w:pPr>
    </w:p>
    <w:p w14:paraId="6304C010">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甲方和乙方根据《中华人民共和国建筑法》和《建设工程质量管理条例》，经协商一致就</w:t>
      </w:r>
      <w:r>
        <w:rPr>
          <w:rFonts w:hint="eastAsia" w:ascii="仿宋" w:hAnsi="仿宋" w:eastAsia="仿宋" w:cs="仿宋"/>
          <w:color w:val="auto"/>
          <w:sz w:val="24"/>
          <w:szCs w:val="24"/>
          <w:highlight w:val="none"/>
          <w:u w:val="single"/>
          <w:lang w:eastAsia="zh-CN"/>
        </w:rPr>
        <w:t>（     ）</w:t>
      </w:r>
      <w:r>
        <w:rPr>
          <w:rFonts w:hint="eastAsia" w:ascii="仿宋" w:hAnsi="仿宋" w:eastAsia="仿宋" w:cs="仿宋"/>
          <w:color w:val="auto"/>
          <w:sz w:val="24"/>
          <w:szCs w:val="24"/>
          <w:highlight w:val="none"/>
          <w:lang w:eastAsia="zh-CN"/>
        </w:rPr>
        <w:t>签订工程质量保修书。</w:t>
      </w:r>
    </w:p>
    <w:p w14:paraId="513F168A">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一、工程质量保修范围和内容</w:t>
      </w:r>
    </w:p>
    <w:p w14:paraId="19D91358">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乙方在质量保修期内，按照有关法律规定和合同约定，承担工程质量保修责任。</w:t>
      </w:r>
    </w:p>
    <w:p w14:paraId="085FA863">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　　</w:t>
      </w:r>
      <w:r>
        <w:rPr>
          <w:rFonts w:hint="eastAsia" w:ascii="仿宋" w:hAnsi="仿宋" w:eastAsia="仿宋" w:cs="仿宋"/>
          <w:color w:val="auto"/>
          <w:sz w:val="24"/>
          <w:szCs w:val="24"/>
          <w:highlight w:val="none"/>
          <w:lang w:eastAsia="zh-CN"/>
        </w:rPr>
        <w:t>二、质量保修期</w:t>
      </w:r>
    </w:p>
    <w:p w14:paraId="06DC901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根据《建设工程质量管理条例》及有关规定，工程的质量保修期如下：</w:t>
      </w:r>
    </w:p>
    <w:p w14:paraId="43B3CCEE">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1．地基基础工程和主体结构工程为施工文件规定的工程合理使用年限；</w:t>
      </w:r>
    </w:p>
    <w:p w14:paraId="1036A9ED">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2．屋面防水工程、有防水要求的卫生间、房间和外墙面的防渗为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年；</w:t>
      </w:r>
    </w:p>
    <w:p w14:paraId="0C89BD0E">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3．装修工程为</w:t>
      </w:r>
      <w:r>
        <w:rPr>
          <w:rFonts w:hint="eastAsia" w:ascii="仿宋" w:hAnsi="仿宋" w:eastAsia="仿宋" w:cs="仿宋"/>
          <w:color w:val="auto"/>
          <w:sz w:val="24"/>
          <w:szCs w:val="24"/>
          <w:highlight w:val="none"/>
          <w:u w:val="single"/>
          <w:lang w:eastAsia="zh-CN"/>
        </w:rPr>
        <w:t xml:space="preserve"> 2 </w:t>
      </w:r>
      <w:r>
        <w:rPr>
          <w:rFonts w:hint="eastAsia" w:ascii="仿宋" w:hAnsi="仿宋" w:eastAsia="仿宋" w:cs="仿宋"/>
          <w:color w:val="auto"/>
          <w:sz w:val="24"/>
          <w:szCs w:val="24"/>
          <w:highlight w:val="none"/>
          <w:lang w:eastAsia="zh-CN"/>
        </w:rPr>
        <w:t>年；</w:t>
      </w:r>
    </w:p>
    <w:p w14:paraId="7757808B">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4．电气管线、给排水管道、设备安装工程为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年；</w:t>
      </w:r>
    </w:p>
    <w:p w14:paraId="44CFC934">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5．供热与供冷系统为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个采暖期、供冷期；</w:t>
      </w:r>
    </w:p>
    <w:p w14:paraId="0CBBF5EE">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6．住宅小区内的给排水设施、道路等配套工程为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年；</w:t>
      </w:r>
    </w:p>
    <w:p w14:paraId="6A071D9D">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7．其他项目保修期限约定如下：</w:t>
      </w:r>
      <w:r>
        <w:rPr>
          <w:rFonts w:hint="eastAsia" w:ascii="仿宋" w:hAnsi="仿宋" w:eastAsia="仿宋" w:cs="仿宋"/>
          <w:color w:val="auto"/>
          <w:sz w:val="24"/>
          <w:szCs w:val="24"/>
          <w:highlight w:val="none"/>
          <w:u w:val="single"/>
          <w:lang w:eastAsia="zh-CN"/>
        </w:rPr>
        <w:t xml:space="preserve">    2 年   </w:t>
      </w:r>
      <w:r>
        <w:rPr>
          <w:rFonts w:hint="eastAsia" w:ascii="仿宋" w:hAnsi="仿宋" w:eastAsia="仿宋" w:cs="仿宋"/>
          <w:color w:val="auto"/>
          <w:sz w:val="24"/>
          <w:szCs w:val="24"/>
          <w:highlight w:val="none"/>
          <w:lang w:eastAsia="zh-CN"/>
        </w:rPr>
        <w:t>。</w:t>
      </w:r>
    </w:p>
    <w:p w14:paraId="52D04E61">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质量保修期自工程竣工验收合格之日起计算。</w:t>
      </w:r>
    </w:p>
    <w:p w14:paraId="47732E5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三、缺陷责任期</w:t>
      </w:r>
    </w:p>
    <w:p w14:paraId="17F851A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工程缺陷责任期为</w:t>
      </w:r>
      <w:r>
        <w:rPr>
          <w:rFonts w:hint="eastAsia" w:ascii="仿宋" w:hAnsi="仿宋" w:eastAsia="仿宋" w:cs="仿宋"/>
          <w:color w:val="auto"/>
          <w:sz w:val="24"/>
          <w:szCs w:val="24"/>
          <w:highlight w:val="none"/>
          <w:u w:val="single"/>
          <w:lang w:eastAsia="zh-CN"/>
        </w:rPr>
        <w:t xml:space="preserve"> 24 </w:t>
      </w:r>
      <w:r>
        <w:rPr>
          <w:rFonts w:hint="eastAsia" w:ascii="仿宋" w:hAnsi="仿宋" w:eastAsia="仿宋" w:cs="仿宋"/>
          <w:color w:val="auto"/>
          <w:sz w:val="24"/>
          <w:szCs w:val="24"/>
          <w:highlight w:val="none"/>
          <w:lang w:eastAsia="zh-CN"/>
        </w:rPr>
        <w:t>个月，缺陷责任期自工程通过竣工验收之日起计算。单位工程先于全部工程进行验收，单位工程缺陷责任期自单位工程验收合格之日起算。</w:t>
      </w:r>
    </w:p>
    <w:p w14:paraId="4A14489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缺陷责任期终止后，乙方向甲方申请退还剩余的质量保证金。</w:t>
      </w:r>
    </w:p>
    <w:p w14:paraId="486EFF5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四、质量保修责任</w:t>
      </w:r>
    </w:p>
    <w:p w14:paraId="615555F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属于保修范围、内容的项目，乙方应当在接到保修通知之日起24小时内派人保修。乙方不在约定期限内派人保修的，甲方可以委托他人修理，并由乙方承担实际发生的费用外加50%的管理费（从质保金中扣除，不足部分另行追偿）。保修期内，乙方联系方式等发生变化后，应及时书面通知甲方，否则，甲方发出通知之日即视为通知到达之日。</w:t>
      </w:r>
    </w:p>
    <w:p w14:paraId="6E264E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2．发生紧急事故需抢修的，乙方在接到事故通知后，应于接到通知后 12 小时内到达事故现场抢修。</w:t>
      </w:r>
    </w:p>
    <w:p w14:paraId="1E7DE40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3．对于涉及结构安全的质量问题，应当按照《建设工程质量管理条例》的规定，立即向当地建设行政主管部门和有关部门报告，采取安全防范措施，提出保修方案，乙方实施保修。</w:t>
      </w:r>
    </w:p>
    <w:p w14:paraId="017B02DB">
      <w:pPr>
        <w:spacing w:line="360" w:lineRule="auto"/>
        <w:ind w:firstLine="480" w:firstLineChars="200"/>
        <w:outlineLvl w:val="2"/>
        <w:rPr>
          <w:rFonts w:hint="eastAsia" w:ascii="仿宋" w:hAnsi="仿宋" w:eastAsia="仿宋" w:cs="仿宋"/>
          <w:color w:val="auto"/>
          <w:sz w:val="24"/>
          <w:szCs w:val="24"/>
          <w:highlight w:val="none"/>
          <w:lang w:eastAsia="zh-CN"/>
        </w:rPr>
      </w:pPr>
      <w:bookmarkStart w:id="156" w:name="_Toc3382"/>
      <w:r>
        <w:rPr>
          <w:rFonts w:hint="eastAsia" w:ascii="仿宋" w:hAnsi="仿宋" w:eastAsia="仿宋" w:cs="仿宋"/>
          <w:color w:val="auto"/>
          <w:sz w:val="24"/>
          <w:szCs w:val="24"/>
          <w:highlight w:val="none"/>
          <w:lang w:eastAsia="zh-CN"/>
        </w:rPr>
        <w:t>4．质量保修完成后，由甲方组织验收。</w:t>
      </w:r>
      <w:bookmarkEnd w:id="156"/>
    </w:p>
    <w:p w14:paraId="47A99E2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五、保修费用</w:t>
      </w:r>
    </w:p>
    <w:p w14:paraId="511E7E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保修费用由造成质量缺陷的责任方承担。</w:t>
      </w:r>
    </w:p>
    <w:p w14:paraId="78FB444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六、双方约定的其他工程质量保修事项：</w:t>
      </w:r>
      <w:r>
        <w:rPr>
          <w:rFonts w:hint="eastAsia" w:ascii="仿宋" w:hAnsi="仿宋" w:eastAsia="仿宋" w:cs="仿宋"/>
          <w:color w:val="auto"/>
          <w:sz w:val="24"/>
          <w:szCs w:val="24"/>
          <w:highlight w:val="none"/>
          <w:u w:val="single"/>
          <w:lang w:eastAsia="zh-CN"/>
        </w:rPr>
        <w:t xml:space="preserve">   无    </w:t>
      </w:r>
      <w:r>
        <w:rPr>
          <w:rFonts w:hint="eastAsia" w:ascii="仿宋" w:hAnsi="仿宋" w:eastAsia="仿宋" w:cs="仿宋"/>
          <w:color w:val="auto"/>
          <w:sz w:val="24"/>
          <w:szCs w:val="24"/>
          <w:highlight w:val="none"/>
          <w:lang w:eastAsia="zh-CN"/>
        </w:rPr>
        <w:t>。</w:t>
      </w:r>
    </w:p>
    <w:p w14:paraId="6207743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工程质量保修书由甲方、乙方在工程竣工验收前共同签署，作为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》附件，其有效期限至保修期满。</w:t>
      </w:r>
    </w:p>
    <w:p w14:paraId="68BE997A">
      <w:pPr>
        <w:pStyle w:val="4"/>
        <w:rPr>
          <w:color w:val="auto"/>
          <w:highlight w:val="none"/>
          <w:lang w:eastAsia="zh-CN"/>
        </w:rPr>
      </w:pPr>
    </w:p>
    <w:p w14:paraId="7850B54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 xml:space="preserve">(公章)：                         </w:t>
      </w:r>
      <w:r>
        <w:rPr>
          <w:rFonts w:hint="eastAsia" w:ascii="仿宋" w:hAnsi="仿宋" w:eastAsia="仿宋" w:cs="仿宋"/>
          <w:color w:val="auto"/>
          <w:sz w:val="24"/>
          <w:szCs w:val="24"/>
          <w:highlight w:val="none"/>
          <w:lang w:eastAsia="zh-CN"/>
        </w:rPr>
        <w:t xml:space="preserve">  乙方</w:t>
      </w:r>
      <w:r>
        <w:rPr>
          <w:rFonts w:hint="eastAsia" w:ascii="仿宋" w:hAnsi="仿宋" w:eastAsia="仿宋" w:cs="仿宋"/>
          <w:color w:val="auto"/>
          <w:sz w:val="24"/>
          <w:szCs w:val="24"/>
          <w:highlight w:val="none"/>
        </w:rPr>
        <w:t>(公章)：</w:t>
      </w:r>
    </w:p>
    <w:p w14:paraId="75A285B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4BAD0808">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法定代表人(签字)：                     法定代表人(签字)：</w:t>
      </w:r>
    </w:p>
    <w:p w14:paraId="70218F86">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委托代理人(签字)：                     委托代理人(签字)：</w:t>
      </w:r>
    </w:p>
    <w:p w14:paraId="4F5EFE7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                               电  话：</w:t>
      </w:r>
    </w:p>
    <w:p w14:paraId="48BCD019">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  真：                               传  真：</w:t>
      </w:r>
    </w:p>
    <w:p w14:paraId="6EF3E350">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开户银行：                             开户银行：</w:t>
      </w:r>
    </w:p>
    <w:p w14:paraId="3B40ABB4">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                               账  号：</w:t>
      </w:r>
    </w:p>
    <w:p w14:paraId="3682F13B">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邮政编码：                             邮政编码：</w:t>
      </w:r>
    </w:p>
    <w:p w14:paraId="428104A3">
      <w:pPr>
        <w:spacing w:line="360" w:lineRule="auto"/>
        <w:rPr>
          <w:rFonts w:hint="eastAsia" w:ascii="仿宋" w:hAnsi="仿宋" w:eastAsia="仿宋" w:cs="仿宋"/>
          <w:color w:val="auto"/>
          <w:sz w:val="24"/>
          <w:szCs w:val="24"/>
          <w:highlight w:val="none"/>
          <w:lang w:eastAsia="zh-CN"/>
        </w:rPr>
      </w:pPr>
    </w:p>
    <w:p w14:paraId="10FEFB3C">
      <w:pPr>
        <w:spacing w:line="360" w:lineRule="auto"/>
        <w:rPr>
          <w:rFonts w:hint="eastAsia" w:ascii="仿宋" w:hAnsi="仿宋" w:eastAsia="仿宋" w:cs="仿宋"/>
          <w:color w:val="auto"/>
          <w:sz w:val="24"/>
          <w:szCs w:val="24"/>
          <w:highlight w:val="none"/>
          <w:lang w:eastAsia="zh-CN"/>
        </w:rPr>
      </w:pPr>
    </w:p>
    <w:p w14:paraId="037B61A5">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附件三：建设工程廉政责任书</w:t>
      </w:r>
    </w:p>
    <w:p w14:paraId="0927695A">
      <w:pPr>
        <w:spacing w:line="360" w:lineRule="auto"/>
        <w:ind w:firstLine="482" w:firstLineChars="2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建设工程廉政责任书</w:t>
      </w:r>
    </w:p>
    <w:p w14:paraId="73E4C27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发包人（以下简称甲方）：</w:t>
      </w:r>
    </w:p>
    <w:p w14:paraId="41BD0D0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承包人（以下简称乙方）：</w:t>
      </w:r>
    </w:p>
    <w:p w14:paraId="3DF1D2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加强建设工程廉政建设，规范建设工程各项活动中甲乙双方的行为，防止谋取不正当利益的违法违纪现象的发生，保护国家、集体和当事人的合法权益，根据国家有关工程建设的法律法规和廉政建设的有关规定，订立本廉政责任书。</w:t>
      </w:r>
    </w:p>
    <w:p w14:paraId="3FD63AC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一、双方的责任</w:t>
      </w:r>
    </w:p>
    <w:p w14:paraId="05D5F3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1.1应严格遵守国家关于建设工程的有关法律、法规，相关政策，以及廉政建设的各项规定。</w:t>
      </w:r>
    </w:p>
    <w:p w14:paraId="513B5E9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1.2严格执行建设工程合同文件，自觉按合同办事。</w:t>
      </w:r>
    </w:p>
    <w:p w14:paraId="3BBC4CE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1.3各项活动必须坚持公开、公平、公正、诚信、透明的原则(除法律法规另有规定者外)，不得为获取不正当的利益，损害国家、集体和对方利益，不得违反建设工程管理的规章制度。</w:t>
      </w:r>
    </w:p>
    <w:p w14:paraId="4FD6B47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1.4发现对方在业务活动中有违规、违纪、违法行为的，应及时提醒对方，情节严重的，应向其上级主管部门或纪检监察、司法等有关机关举报。</w:t>
      </w:r>
    </w:p>
    <w:p w14:paraId="0B4D662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二、甲方责任</w:t>
      </w:r>
    </w:p>
    <w:p w14:paraId="0A04D0B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甲方的领导和从事该建设工程项目的工作人员，在工程建设的事前、事中、事后应遵守以下规定：</w:t>
      </w:r>
    </w:p>
    <w:p w14:paraId="212EB90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2.1不得向乙方和相关单位索要或接受回扣、礼金、有价证券、贵重物品和好处费、感谢费等。</w:t>
      </w:r>
    </w:p>
    <w:p w14:paraId="7449D87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2.2不得在乙方和相关单位报销任何应由甲方或个人支付的费用。</w:t>
      </w:r>
    </w:p>
    <w:p w14:paraId="2CCEDE0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2.3不得要求、暗示或接受乙方和相关单位为个人装修住房、婚丧嫁娶、配偶子女的工作安排以及出国(境)、旅游等提供方便。</w:t>
      </w:r>
    </w:p>
    <w:p w14:paraId="1A8ADCF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2.4不得参加有可能影响公正执行公务的乙方和相关单位的宴请、健身、娱乐等活动。</w:t>
      </w:r>
    </w:p>
    <w:p w14:paraId="584263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2.5不得向乙方和相关单位介绍或为配偶、子女、亲属参与同甲方工程建设管理合同有关的业务活动；不得以任何理由要求乙方和相关单位使用某种产品、材料和设备。</w:t>
      </w:r>
    </w:p>
    <w:p w14:paraId="436E765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三、乙方责任</w:t>
      </w:r>
    </w:p>
    <w:p w14:paraId="665708A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应与甲方保持正常的业务交往，按照有关法律法规和程序开展业务工作，严格执行工程建设的有关方针、政策，执行工程建设强制性标准，并遵守以下规定：</w:t>
      </w:r>
    </w:p>
    <w:p w14:paraId="682BA2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3.1不得以任何理由向甲方及其工作人员索要、接受或赠送礼金、有价证券、贵重物品及回扣、好处费、感谢费等。</w:t>
      </w:r>
    </w:p>
    <w:p w14:paraId="1566F1D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3.2不得以任何理由为甲方和相关单位报销应由对方或个人支付的费用。</w:t>
      </w:r>
    </w:p>
    <w:p w14:paraId="30A06E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3.3不得接受或暗示为甲方、相关单位或个人装修住房、婚丧嫁娶、配偶子女的工作安排以及出国(境)、旅游等提供方便。</w:t>
      </w:r>
    </w:p>
    <w:p w14:paraId="71D621B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3.4不得以任何理由为甲方、相关单位或个人组织有可能影响公正执行公务的宴请、健身、娱乐等活动。</w:t>
      </w:r>
    </w:p>
    <w:p w14:paraId="2F0762A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四、违约责任</w:t>
      </w:r>
    </w:p>
    <w:p w14:paraId="47A844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4.1甲方工作人员有违反本责任书第一、二条责任行为的，依据有关法律、法规给予处理；涉嫌犯罪的，移交司法机关追究刑事责任；给乙方单位造成经济损失的，应予以赔偿。</w:t>
      </w:r>
    </w:p>
    <w:p w14:paraId="2FF0007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4.2乙方工作人员有违反本责任书第一、三条责任行为的，依据有关法律法规处理；涉嫌犯罪的，移交司法机关追究刑事责任；给甲方单位造成经济损失的，应予以赔偿。</w:t>
      </w:r>
    </w:p>
    <w:p w14:paraId="0C3539E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4.3本责任书作为建设工程合同的组成部分，与建设工程合同具有同等法律效力。经双方签署后立即生效。</w:t>
      </w:r>
    </w:p>
    <w:p w14:paraId="5BB6459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五、责任书有效期</w:t>
      </w:r>
    </w:p>
    <w:p w14:paraId="27094F5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本责任书的有效期为双方签署之日起至该工程项目竣工验收合格时止。</w:t>
      </w:r>
    </w:p>
    <w:p w14:paraId="6807FF9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六、责任书份数</w:t>
      </w:r>
    </w:p>
    <w:p w14:paraId="4CA87F1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本责任书一式二份，甲乙双方各执一份，具有同等效力。 </w:t>
      </w:r>
    </w:p>
    <w:p w14:paraId="781C6D98">
      <w:pPr>
        <w:pStyle w:val="4"/>
        <w:rPr>
          <w:color w:val="auto"/>
          <w:highlight w:val="none"/>
          <w:lang w:eastAsia="zh-CN"/>
        </w:rPr>
      </w:pPr>
      <w:bookmarkStart w:id="157" w:name="_Toc11972"/>
      <w:r>
        <w:rPr>
          <w:rFonts w:hint="eastAsia" w:ascii="仿宋" w:hAnsi="仿宋" w:eastAsia="仿宋" w:cs="仿宋"/>
          <w:color w:val="auto"/>
          <w:sz w:val="24"/>
          <w:szCs w:val="24"/>
          <w:highlight w:val="none"/>
          <w:lang w:eastAsia="zh-CN"/>
        </w:rPr>
        <w:t>（本页以下无正文）</w:t>
      </w:r>
      <w:bookmarkEnd w:id="157"/>
    </w:p>
    <w:p w14:paraId="32079BA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(公章)      乙方：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(公章)</w:t>
      </w:r>
    </w:p>
    <w:p w14:paraId="3E79B41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法定地址：</w:t>
      </w:r>
      <w:r>
        <w:rPr>
          <w:rFonts w:hint="eastAsia" w:ascii="仿宋" w:hAnsi="仿宋" w:eastAsia="仿宋" w:cs="仿宋"/>
          <w:color w:val="auto"/>
          <w:sz w:val="24"/>
          <w:szCs w:val="24"/>
          <w:highlight w:val="none"/>
          <w:u w:val="single"/>
        </w:rPr>
        <w:t xml:space="preserve">                   </w:t>
      </w:r>
    </w:p>
    <w:p w14:paraId="5BEB8CF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                      法定代表人或其</w:t>
      </w:r>
    </w:p>
    <w:p w14:paraId="0251060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      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(签字)</w:t>
      </w:r>
    </w:p>
    <w:p w14:paraId="62B8D66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电话：</w:t>
      </w:r>
      <w:r>
        <w:rPr>
          <w:rFonts w:hint="eastAsia" w:ascii="仿宋" w:hAnsi="仿宋" w:eastAsia="仿宋" w:cs="仿宋"/>
          <w:color w:val="auto"/>
          <w:sz w:val="24"/>
          <w:szCs w:val="24"/>
          <w:highlight w:val="none"/>
          <w:u w:val="single"/>
          <w:lang w:eastAsia="zh-CN"/>
        </w:rPr>
        <w:t xml:space="preserve">                       </w:t>
      </w:r>
    </w:p>
    <w:p w14:paraId="12442D6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传真：</w:t>
      </w:r>
      <w:r>
        <w:rPr>
          <w:rFonts w:hint="eastAsia" w:ascii="仿宋" w:hAnsi="仿宋" w:eastAsia="仿宋" w:cs="仿宋"/>
          <w:color w:val="auto"/>
          <w:sz w:val="24"/>
          <w:szCs w:val="24"/>
          <w:highlight w:val="none"/>
          <w:u w:val="single"/>
          <w:lang w:eastAsia="zh-CN"/>
        </w:rPr>
        <w:t xml:space="preserve">                       </w:t>
      </w:r>
    </w:p>
    <w:p w14:paraId="441AF57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电子邮箱：</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电子邮箱：</w:t>
      </w:r>
      <w:r>
        <w:rPr>
          <w:rFonts w:hint="eastAsia" w:ascii="仿宋" w:hAnsi="仿宋" w:eastAsia="仿宋" w:cs="仿宋"/>
          <w:color w:val="auto"/>
          <w:sz w:val="24"/>
          <w:szCs w:val="24"/>
          <w:highlight w:val="none"/>
          <w:u w:val="single"/>
          <w:lang w:eastAsia="zh-CN"/>
        </w:rPr>
        <w:t xml:space="preserve">                   </w:t>
      </w:r>
    </w:p>
    <w:p w14:paraId="63FA771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开户银行：</w:t>
      </w:r>
      <w:r>
        <w:rPr>
          <w:rFonts w:hint="eastAsia" w:ascii="仿宋" w:hAnsi="仿宋" w:eastAsia="仿宋" w:cs="仿宋"/>
          <w:color w:val="auto"/>
          <w:sz w:val="24"/>
          <w:szCs w:val="24"/>
          <w:highlight w:val="none"/>
          <w:u w:val="single"/>
          <w:lang w:eastAsia="zh-CN"/>
        </w:rPr>
        <w:t xml:space="preserve">                   </w:t>
      </w:r>
    </w:p>
    <w:p w14:paraId="3574B01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账号：</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账号：</w:t>
      </w:r>
      <w:r>
        <w:rPr>
          <w:rFonts w:hint="eastAsia" w:ascii="仿宋" w:hAnsi="仿宋" w:eastAsia="仿宋" w:cs="仿宋"/>
          <w:color w:val="auto"/>
          <w:sz w:val="24"/>
          <w:szCs w:val="24"/>
          <w:highlight w:val="none"/>
          <w:u w:val="single"/>
          <w:lang w:eastAsia="zh-CN"/>
        </w:rPr>
        <w:t xml:space="preserve">                       </w:t>
      </w:r>
    </w:p>
    <w:p w14:paraId="12591D6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邮政编码：</w:t>
      </w:r>
      <w:r>
        <w:rPr>
          <w:rFonts w:hint="eastAsia" w:ascii="仿宋" w:hAnsi="仿宋" w:eastAsia="仿宋" w:cs="仿宋"/>
          <w:color w:val="auto"/>
          <w:sz w:val="24"/>
          <w:szCs w:val="24"/>
          <w:highlight w:val="none"/>
          <w:u w:val="single"/>
          <w:lang w:eastAsia="zh-CN"/>
        </w:rPr>
        <w:t xml:space="preserve">                   </w:t>
      </w:r>
    </w:p>
    <w:p w14:paraId="320A6681">
      <w:pPr>
        <w:spacing w:before="71" w:line="224" w:lineRule="auto"/>
        <w:jc w:val="center"/>
        <w:outlineLvl w:val="0"/>
        <w:rPr>
          <w:rFonts w:hint="eastAsia" w:ascii="宋体" w:hAnsi="宋体" w:eastAsia="宋体" w:cs="宋体"/>
          <w:spacing w:val="9"/>
          <w:sz w:val="35"/>
          <w:szCs w:val="35"/>
          <w:highlight w:val="none"/>
          <w:lang w:eastAsia="zh-CN"/>
          <w14:textOutline w14:w="6540" w14:cap="sq" w14:cmpd="sng" w14:algn="ctr">
            <w14:solidFill>
              <w14:srgbClr w14:val="000000"/>
            </w14:solidFill>
            <w14:prstDash w14:val="solid"/>
            <w14:bevel/>
          </w14:textOutline>
        </w:rPr>
      </w:pPr>
      <w:bookmarkStart w:id="158" w:name="_Toc11367"/>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第</w:t>
      </w:r>
      <w:r>
        <w:rPr>
          <w:rFonts w:hint="eastAsia"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七</w:t>
      </w:r>
      <w:r>
        <w:rPr>
          <w:rFonts w:ascii="宋体" w:hAnsi="宋体" w:eastAsia="宋体" w:cs="宋体"/>
          <w:color w:val="121212"/>
          <w:spacing w:val="8"/>
          <w:sz w:val="36"/>
          <w:szCs w:val="36"/>
          <w:highlight w:val="none"/>
          <w:lang w:eastAsia="zh-CN"/>
          <w14:textOutline w14:w="6540" w14:cap="sq" w14:cmpd="sng" w14:algn="ctr">
            <w14:solidFill>
              <w14:srgbClr w14:val="121212"/>
            </w14:solidFill>
            <w14:prstDash w14:val="solid"/>
            <w14:bevel/>
          </w14:textOutline>
        </w:rPr>
        <w:t>章 投标文件格式</w:t>
      </w:r>
      <w:bookmarkEnd w:id="158"/>
    </w:p>
    <w:p w14:paraId="0BEC5DDF">
      <w:pPr>
        <w:pStyle w:val="2"/>
        <w:rPr>
          <w:highlight w:val="none"/>
        </w:rPr>
      </w:pPr>
    </w:p>
    <w:p w14:paraId="54683DA4">
      <w:pPr>
        <w:spacing w:line="360" w:lineRule="auto"/>
        <w:ind w:firstLine="480" w:firstLineChars="200"/>
        <w:jc w:val="center"/>
        <w:outlineLvl w:val="1"/>
        <w:rPr>
          <w:rFonts w:hint="eastAsia" w:ascii="仿宋" w:hAnsi="仿宋" w:eastAsia="仿宋" w:cs="仿宋"/>
          <w:color w:val="auto"/>
          <w:sz w:val="24"/>
          <w:szCs w:val="24"/>
          <w:highlight w:val="none"/>
          <w:lang w:eastAsia="zh-CN"/>
        </w:rPr>
      </w:pPr>
      <w:bookmarkStart w:id="159" w:name="_Toc838"/>
      <w:r>
        <w:rPr>
          <w:rFonts w:hint="eastAsia" w:ascii="仿宋" w:hAnsi="仿宋" w:eastAsia="仿宋" w:cs="仿宋"/>
          <w:color w:val="auto"/>
          <w:sz w:val="24"/>
          <w:szCs w:val="24"/>
          <w:highlight w:val="none"/>
          <w:lang w:eastAsia="zh-CN"/>
        </w:rPr>
        <w:t>（此部分内容具体以电子交易平台中体现的格式为准）</w:t>
      </w:r>
      <w:bookmarkEnd w:id="159"/>
    </w:p>
    <w:p w14:paraId="4EF4C61C">
      <w:pPr>
        <w:rPr>
          <w:highlight w:val="none"/>
          <w:lang w:eastAsia="zh-CN"/>
        </w:rPr>
      </w:pPr>
    </w:p>
    <w:p w14:paraId="0AC40664">
      <w:pPr>
        <w:rPr>
          <w:highlight w:val="none"/>
          <w:lang w:eastAsia="zh-CN"/>
        </w:rPr>
      </w:pPr>
      <w:r>
        <w:rPr>
          <w:highlight w:val="none"/>
          <w:lang w:eastAsia="zh-CN"/>
        </w:rPr>
        <w:br w:type="page"/>
      </w:r>
    </w:p>
    <w:p w14:paraId="159DF6EA">
      <w:pPr>
        <w:tabs>
          <w:tab w:val="center" w:pos="4535"/>
          <w:tab w:val="left" w:pos="6521"/>
        </w:tabs>
        <w:spacing w:line="360" w:lineRule="auto"/>
        <w:jc w:val="both"/>
        <w:outlineLvl w:val="1"/>
        <w:rPr>
          <w:sz w:val="32"/>
          <w:szCs w:val="32"/>
          <w:highlight w:val="none"/>
          <w:lang w:eastAsia="zh-CN"/>
        </w:rPr>
      </w:pPr>
      <w:bookmarkStart w:id="160" w:name="_Toc27462"/>
      <w:r>
        <w:rPr>
          <w:rFonts w:hint="eastAsia"/>
          <w:sz w:val="32"/>
          <w:szCs w:val="32"/>
          <w:highlight w:val="none"/>
          <w:lang w:eastAsia="zh-CN"/>
        </w:rPr>
        <w:t>1、投标文件封面</w:t>
      </w:r>
      <w:bookmarkEnd w:id="160"/>
    </w:p>
    <w:p w14:paraId="00FAF466">
      <w:pPr>
        <w:tabs>
          <w:tab w:val="left" w:pos="5670"/>
        </w:tabs>
        <w:spacing w:line="360" w:lineRule="auto"/>
        <w:ind w:firstLine="300"/>
        <w:rPr>
          <w:rFonts w:ascii="宋体" w:hAnsi="宋体" w:cs="宋体"/>
          <w:b/>
          <w:bCs/>
          <w:sz w:val="32"/>
          <w:szCs w:val="32"/>
          <w:highlight w:val="none"/>
          <w:lang w:val="zh-CN" w:eastAsia="zh-CN"/>
        </w:rPr>
      </w:pPr>
    </w:p>
    <w:p w14:paraId="6B63AB2F">
      <w:pPr>
        <w:tabs>
          <w:tab w:val="left" w:pos="5670"/>
        </w:tabs>
        <w:spacing w:line="360" w:lineRule="auto"/>
        <w:ind w:firstLine="300"/>
        <w:outlineLvl w:val="2"/>
        <w:rPr>
          <w:rFonts w:ascii="宋体" w:hAnsi="宋体" w:cs="宋体"/>
          <w:b/>
          <w:bCs/>
          <w:sz w:val="32"/>
          <w:szCs w:val="32"/>
          <w:highlight w:val="none"/>
          <w:lang w:val="zh-CN" w:eastAsia="zh-CN"/>
        </w:rPr>
      </w:pPr>
      <w:bookmarkStart w:id="161" w:name="_Toc6558"/>
      <w:r>
        <w:rPr>
          <w:rFonts w:hint="eastAsia" w:ascii="宋体" w:hAnsi="宋体" w:cs="宋体"/>
          <w:b/>
          <w:bCs/>
          <w:sz w:val="32"/>
          <w:szCs w:val="32"/>
          <w:highlight w:val="none"/>
          <w:lang w:val="zh-CN" w:eastAsia="zh-CN"/>
        </w:rPr>
        <w:t>政府采购项目</w:t>
      </w:r>
      <w:bookmarkEnd w:id="161"/>
    </w:p>
    <w:p w14:paraId="3E4FA873">
      <w:pPr>
        <w:tabs>
          <w:tab w:val="left" w:pos="5670"/>
        </w:tabs>
        <w:spacing w:line="360" w:lineRule="auto"/>
        <w:ind w:firstLine="300"/>
        <w:rPr>
          <w:rFonts w:ascii="宋体" w:hAnsi="宋体" w:cs="宋体"/>
          <w:b/>
          <w:bCs/>
          <w:sz w:val="32"/>
          <w:szCs w:val="32"/>
          <w:highlight w:val="none"/>
          <w:lang w:val="zh-CN" w:eastAsia="zh-CN"/>
        </w:rPr>
      </w:pPr>
      <w:r>
        <w:rPr>
          <w:rFonts w:hint="eastAsia" w:ascii="宋体" w:hAnsi="宋体" w:cs="宋体"/>
          <w:b/>
          <w:bCs/>
          <w:sz w:val="32"/>
          <w:szCs w:val="32"/>
          <w:highlight w:val="none"/>
          <w:lang w:val="zh-CN" w:eastAsia="zh-CN"/>
        </w:rPr>
        <w:t>项目编号：SXHC2024-273</w:t>
      </w:r>
    </w:p>
    <w:p w14:paraId="0BE970AE">
      <w:pPr>
        <w:pStyle w:val="14"/>
        <w:rPr>
          <w:rFonts w:ascii="宋体" w:hAnsi="宋体" w:cs="宋体"/>
          <w:b/>
          <w:bCs/>
          <w:sz w:val="32"/>
          <w:szCs w:val="32"/>
          <w:highlight w:val="none"/>
          <w:lang w:val="zh-CN" w:eastAsia="zh-CN"/>
        </w:rPr>
      </w:pPr>
    </w:p>
    <w:p w14:paraId="191A473E">
      <w:pPr>
        <w:pStyle w:val="14"/>
        <w:rPr>
          <w:rFonts w:ascii="宋体" w:hAnsi="宋体" w:cs="宋体"/>
          <w:b/>
          <w:bCs/>
          <w:sz w:val="32"/>
          <w:szCs w:val="32"/>
          <w:highlight w:val="none"/>
          <w:lang w:val="zh-CN" w:eastAsia="zh-CN"/>
        </w:rPr>
      </w:pPr>
    </w:p>
    <w:p w14:paraId="3CFABA27">
      <w:pPr>
        <w:spacing w:before="68" w:line="360" w:lineRule="auto"/>
        <w:jc w:val="center"/>
        <w:rPr>
          <w:rFonts w:ascii="宋体" w:hAnsi="宋体" w:cs="宋体"/>
          <w:b/>
          <w:bCs/>
          <w:sz w:val="44"/>
          <w:szCs w:val="44"/>
          <w:highlight w:val="none"/>
          <w:lang w:eastAsia="zh-CN"/>
        </w:rPr>
      </w:pPr>
    </w:p>
    <w:p w14:paraId="18B94B2F">
      <w:pPr>
        <w:spacing w:before="68" w:line="360" w:lineRule="auto"/>
        <w:jc w:val="center"/>
        <w:rPr>
          <w:rFonts w:ascii="宋体" w:hAnsi="宋体" w:cs="宋体"/>
          <w:b/>
          <w:bCs/>
          <w:sz w:val="44"/>
          <w:szCs w:val="44"/>
          <w:highlight w:val="none"/>
          <w:lang w:eastAsia="zh-CN"/>
        </w:rPr>
      </w:pPr>
      <w:r>
        <w:rPr>
          <w:rFonts w:hint="eastAsia" w:ascii="宋体" w:hAnsi="宋体" w:cs="宋体"/>
          <w:b/>
          <w:bCs/>
          <w:sz w:val="44"/>
          <w:szCs w:val="44"/>
          <w:highlight w:val="none"/>
          <w:lang w:eastAsia="zh-CN"/>
        </w:rPr>
        <w:t>秦始皇帝陵博物院</w:t>
      </w:r>
    </w:p>
    <w:p w14:paraId="67F25EC8">
      <w:pPr>
        <w:spacing w:before="68" w:line="360" w:lineRule="auto"/>
        <w:jc w:val="center"/>
        <w:rPr>
          <w:rFonts w:ascii="宋体" w:hAnsi="宋体" w:cs="宋体"/>
          <w:b/>
          <w:bCs/>
          <w:sz w:val="44"/>
          <w:szCs w:val="44"/>
          <w:highlight w:val="none"/>
          <w:lang w:eastAsia="zh-CN"/>
        </w:rPr>
      </w:pPr>
      <w:r>
        <w:rPr>
          <w:rFonts w:hint="eastAsia" w:ascii="宋体" w:hAnsi="宋体" w:cs="宋体"/>
          <w:b/>
          <w:bCs/>
          <w:sz w:val="44"/>
          <w:szCs w:val="44"/>
          <w:highlight w:val="none"/>
          <w:lang w:eastAsia="zh-CN"/>
        </w:rPr>
        <w:t>一号坑主展厅参观环境提升改造（</w:t>
      </w:r>
      <w:r>
        <w:rPr>
          <w:rFonts w:hint="eastAsia" w:ascii="宋体" w:hAnsi="宋体" w:cs="宋体"/>
          <w:b/>
          <w:bCs/>
          <w:sz w:val="44"/>
          <w:szCs w:val="44"/>
          <w:highlight w:val="none"/>
          <w:lang w:val="en-US" w:eastAsia="zh-CN"/>
        </w:rPr>
        <w:t>二次</w:t>
      </w:r>
      <w:r>
        <w:rPr>
          <w:rFonts w:hint="eastAsia" w:ascii="宋体" w:hAnsi="宋体" w:cs="宋体"/>
          <w:b/>
          <w:bCs/>
          <w:sz w:val="44"/>
          <w:szCs w:val="44"/>
          <w:highlight w:val="none"/>
          <w:lang w:eastAsia="zh-CN"/>
        </w:rPr>
        <w:t>）</w:t>
      </w:r>
    </w:p>
    <w:p w14:paraId="3A0D1CFB">
      <w:pPr>
        <w:rPr>
          <w:rFonts w:ascii="宋体" w:hAnsi="宋体" w:cs="宋体"/>
          <w:highlight w:val="none"/>
          <w:lang w:eastAsia="zh-CN"/>
        </w:rPr>
      </w:pPr>
    </w:p>
    <w:p w14:paraId="18235682">
      <w:pPr>
        <w:spacing w:line="360" w:lineRule="auto"/>
        <w:jc w:val="center"/>
        <w:rPr>
          <w:rFonts w:ascii="宋体" w:hAnsi="宋体" w:cs="宋体"/>
          <w:b/>
          <w:bCs/>
          <w:sz w:val="44"/>
          <w:szCs w:val="44"/>
          <w:highlight w:val="none"/>
          <w:lang w:eastAsia="zh-CN"/>
        </w:rPr>
      </w:pPr>
    </w:p>
    <w:p w14:paraId="306E7080">
      <w:pPr>
        <w:spacing w:line="360" w:lineRule="auto"/>
        <w:jc w:val="center"/>
        <w:rPr>
          <w:rFonts w:ascii="宋体" w:hAnsi="宋体" w:cs="宋体"/>
          <w:b/>
          <w:bCs/>
          <w:sz w:val="44"/>
          <w:szCs w:val="44"/>
          <w:highlight w:val="none"/>
          <w:lang w:eastAsia="zh-CN"/>
        </w:rPr>
      </w:pPr>
      <w:r>
        <w:rPr>
          <w:rFonts w:hint="eastAsia" w:ascii="宋体" w:hAnsi="宋体" w:cs="宋体"/>
          <w:b/>
          <w:bCs/>
          <w:sz w:val="44"/>
          <w:szCs w:val="44"/>
          <w:highlight w:val="none"/>
          <w:lang w:eastAsia="zh-CN"/>
        </w:rPr>
        <w:t>投 标 文 件</w:t>
      </w:r>
    </w:p>
    <w:p w14:paraId="3CB4C3B5">
      <w:pPr>
        <w:spacing w:line="360" w:lineRule="auto"/>
        <w:jc w:val="center"/>
        <w:rPr>
          <w:rFonts w:ascii="宋体" w:hAnsi="宋体" w:cs="宋体"/>
          <w:sz w:val="32"/>
          <w:szCs w:val="32"/>
          <w:highlight w:val="none"/>
          <w:lang w:eastAsia="zh-CN"/>
        </w:rPr>
      </w:pPr>
      <w:r>
        <w:rPr>
          <w:rFonts w:hint="eastAsia" w:ascii="宋体" w:hAnsi="宋体" w:cs="宋体"/>
          <w:sz w:val="32"/>
          <w:szCs w:val="32"/>
          <w:highlight w:val="none"/>
          <w:lang w:eastAsia="zh-CN"/>
        </w:rPr>
        <w:t xml:space="preserve"> (格式)</w:t>
      </w:r>
    </w:p>
    <w:p w14:paraId="4EEE245C">
      <w:pPr>
        <w:pStyle w:val="2"/>
        <w:rPr>
          <w:highlight w:val="none"/>
        </w:rPr>
      </w:pPr>
    </w:p>
    <w:p w14:paraId="4A2904A4">
      <w:pPr>
        <w:rPr>
          <w:rFonts w:ascii="宋体" w:hAnsi="宋体" w:cs="宋体"/>
          <w:highlight w:val="none"/>
          <w:lang w:eastAsia="zh-CN"/>
        </w:rPr>
      </w:pPr>
    </w:p>
    <w:p w14:paraId="7419A6CA">
      <w:pPr>
        <w:spacing w:line="480" w:lineRule="auto"/>
        <w:ind w:left="420" w:leftChars="200" w:firstLine="848" w:firstLineChars="265"/>
        <w:rPr>
          <w:rFonts w:ascii="宋体" w:hAnsi="宋体" w:cs="宋体"/>
          <w:b/>
          <w:bCs/>
          <w:sz w:val="32"/>
          <w:szCs w:val="32"/>
          <w:highlight w:val="none"/>
          <w:lang w:eastAsia="zh-CN"/>
        </w:rPr>
      </w:pPr>
      <w:r>
        <w:rPr>
          <w:rFonts w:hint="eastAsia" w:ascii="宋体" w:hAnsi="宋体" w:cs="宋体"/>
          <w:b/>
          <w:bCs/>
          <w:sz w:val="32"/>
          <w:szCs w:val="32"/>
          <w:highlight w:val="none"/>
          <w:lang w:eastAsia="zh-CN"/>
        </w:rPr>
        <w:t>投标人名称：</w:t>
      </w:r>
      <w:r>
        <w:rPr>
          <w:rFonts w:hint="eastAsia" w:ascii="宋体" w:hAnsi="宋体" w:cs="宋体"/>
          <w:b/>
          <w:bCs/>
          <w:sz w:val="32"/>
          <w:szCs w:val="32"/>
          <w:highlight w:val="none"/>
          <w:u w:val="single"/>
          <w:lang w:eastAsia="zh-CN"/>
        </w:rPr>
        <w:t xml:space="preserve">                       </w:t>
      </w:r>
      <w:r>
        <w:rPr>
          <w:rFonts w:hint="eastAsia" w:ascii="宋体" w:hAnsi="宋体" w:cs="宋体"/>
          <w:b/>
          <w:bCs/>
          <w:sz w:val="32"/>
          <w:szCs w:val="32"/>
          <w:highlight w:val="none"/>
          <w:lang w:eastAsia="zh-CN"/>
        </w:rPr>
        <w:t>（盖章）</w:t>
      </w:r>
    </w:p>
    <w:p w14:paraId="433CEB28">
      <w:pPr>
        <w:spacing w:line="480" w:lineRule="auto"/>
        <w:ind w:left="420" w:leftChars="200" w:firstLine="848" w:firstLineChars="265"/>
        <w:rPr>
          <w:rFonts w:ascii="宋体" w:hAnsi="宋体" w:cs="宋体"/>
          <w:b/>
          <w:bCs/>
          <w:sz w:val="32"/>
          <w:szCs w:val="32"/>
          <w:highlight w:val="none"/>
          <w:lang w:eastAsia="zh-CN"/>
        </w:rPr>
      </w:pPr>
      <w:r>
        <w:rPr>
          <w:rFonts w:hint="eastAsia" w:ascii="宋体" w:hAnsi="宋体" w:cs="宋体"/>
          <w:b/>
          <w:bCs/>
          <w:sz w:val="32"/>
          <w:szCs w:val="32"/>
          <w:highlight w:val="none"/>
          <w:lang w:eastAsia="zh-CN"/>
        </w:rPr>
        <w:t>法定代表人或授权代表：</w:t>
      </w:r>
      <w:r>
        <w:rPr>
          <w:rFonts w:hint="eastAsia" w:ascii="宋体" w:hAnsi="宋体" w:cs="宋体"/>
          <w:b/>
          <w:bCs/>
          <w:sz w:val="32"/>
          <w:szCs w:val="32"/>
          <w:highlight w:val="none"/>
          <w:u w:val="single"/>
          <w:lang w:eastAsia="zh-CN"/>
        </w:rPr>
        <w:t xml:space="preserve">             </w:t>
      </w:r>
      <w:r>
        <w:rPr>
          <w:rFonts w:hint="eastAsia" w:ascii="宋体" w:hAnsi="宋体" w:cs="宋体"/>
          <w:b/>
          <w:bCs/>
          <w:sz w:val="32"/>
          <w:szCs w:val="32"/>
          <w:highlight w:val="none"/>
          <w:lang w:eastAsia="zh-CN"/>
        </w:rPr>
        <w:t>（签字或盖章）</w:t>
      </w:r>
    </w:p>
    <w:p w14:paraId="66127BE9">
      <w:pPr>
        <w:spacing w:line="480" w:lineRule="auto"/>
        <w:ind w:left="420" w:leftChars="200" w:firstLine="848" w:firstLineChars="265"/>
        <w:rPr>
          <w:rFonts w:ascii="宋体" w:hAnsi="宋体" w:cs="宋体"/>
          <w:b/>
          <w:bCs/>
          <w:sz w:val="32"/>
          <w:szCs w:val="32"/>
          <w:highlight w:val="none"/>
          <w:lang w:eastAsia="zh-CN"/>
        </w:rPr>
      </w:pPr>
      <w:r>
        <w:rPr>
          <w:rFonts w:hint="eastAsia" w:ascii="宋体" w:hAnsi="宋体" w:cs="宋体"/>
          <w:b/>
          <w:bCs/>
          <w:sz w:val="32"/>
          <w:szCs w:val="32"/>
          <w:highlight w:val="none"/>
          <w:lang w:eastAsia="zh-CN"/>
        </w:rPr>
        <w:t>日    期：</w:t>
      </w:r>
      <w:r>
        <w:rPr>
          <w:rFonts w:hint="eastAsia" w:ascii="宋体" w:hAnsi="宋体" w:cs="宋体"/>
          <w:b/>
          <w:bCs/>
          <w:sz w:val="32"/>
          <w:szCs w:val="32"/>
          <w:highlight w:val="none"/>
          <w:u w:val="single"/>
          <w:lang w:eastAsia="zh-CN"/>
        </w:rPr>
        <w:t xml:space="preserve">         </w:t>
      </w:r>
      <w:r>
        <w:rPr>
          <w:rFonts w:hint="eastAsia" w:ascii="宋体" w:hAnsi="宋体" w:cs="宋体"/>
          <w:b/>
          <w:bCs/>
          <w:sz w:val="32"/>
          <w:szCs w:val="32"/>
          <w:highlight w:val="none"/>
          <w:lang w:eastAsia="zh-CN"/>
        </w:rPr>
        <w:t>年</w:t>
      </w:r>
      <w:r>
        <w:rPr>
          <w:rFonts w:hint="eastAsia" w:ascii="宋体" w:hAnsi="宋体" w:cs="宋体"/>
          <w:b/>
          <w:bCs/>
          <w:sz w:val="32"/>
          <w:szCs w:val="32"/>
          <w:highlight w:val="none"/>
          <w:u w:val="single"/>
          <w:lang w:eastAsia="zh-CN"/>
        </w:rPr>
        <w:t xml:space="preserve">        </w:t>
      </w:r>
      <w:r>
        <w:rPr>
          <w:rFonts w:hint="eastAsia" w:ascii="宋体" w:hAnsi="宋体" w:cs="宋体"/>
          <w:b/>
          <w:bCs/>
          <w:sz w:val="32"/>
          <w:szCs w:val="32"/>
          <w:highlight w:val="none"/>
          <w:lang w:eastAsia="zh-CN"/>
        </w:rPr>
        <w:t>月</w:t>
      </w:r>
      <w:r>
        <w:rPr>
          <w:rFonts w:hint="eastAsia" w:ascii="宋体" w:hAnsi="宋体" w:cs="宋体"/>
          <w:b/>
          <w:bCs/>
          <w:sz w:val="32"/>
          <w:szCs w:val="32"/>
          <w:highlight w:val="none"/>
          <w:u w:val="single"/>
          <w:lang w:eastAsia="zh-CN"/>
        </w:rPr>
        <w:t xml:space="preserve">        </w:t>
      </w:r>
      <w:r>
        <w:rPr>
          <w:rFonts w:hint="eastAsia" w:ascii="宋体" w:hAnsi="宋体" w:cs="宋体"/>
          <w:b/>
          <w:bCs/>
          <w:sz w:val="32"/>
          <w:szCs w:val="32"/>
          <w:highlight w:val="none"/>
          <w:lang w:eastAsia="zh-CN"/>
        </w:rPr>
        <w:t>日</w:t>
      </w:r>
    </w:p>
    <w:p w14:paraId="06007BC5">
      <w:pPr>
        <w:rPr>
          <w:rFonts w:ascii="宋体" w:hAnsi="宋体" w:cs="宋体"/>
          <w:b/>
          <w:bCs/>
          <w:sz w:val="32"/>
          <w:szCs w:val="32"/>
          <w:highlight w:val="none"/>
          <w:lang w:eastAsia="zh-CN"/>
        </w:rPr>
      </w:pPr>
      <w:r>
        <w:rPr>
          <w:rFonts w:hint="eastAsia" w:ascii="宋体" w:hAnsi="宋体" w:cs="宋体"/>
          <w:b/>
          <w:bCs/>
          <w:sz w:val="32"/>
          <w:szCs w:val="32"/>
          <w:highlight w:val="none"/>
          <w:lang w:eastAsia="zh-CN"/>
        </w:rPr>
        <w:br w:type="page"/>
      </w:r>
    </w:p>
    <w:p w14:paraId="4933D9C0">
      <w:pPr>
        <w:tabs>
          <w:tab w:val="center" w:pos="4535"/>
          <w:tab w:val="left" w:pos="6521"/>
        </w:tabs>
        <w:spacing w:line="360" w:lineRule="auto"/>
        <w:jc w:val="both"/>
        <w:outlineLvl w:val="1"/>
        <w:rPr>
          <w:sz w:val="32"/>
          <w:szCs w:val="32"/>
          <w:highlight w:val="none"/>
          <w:lang w:eastAsia="zh-CN"/>
        </w:rPr>
      </w:pPr>
      <w:bookmarkStart w:id="162" w:name="_Toc5886"/>
      <w:r>
        <w:rPr>
          <w:rFonts w:hint="eastAsia"/>
          <w:sz w:val="32"/>
          <w:szCs w:val="32"/>
          <w:highlight w:val="none"/>
          <w:lang w:eastAsia="zh-CN"/>
        </w:rPr>
        <w:t>2、响应</w:t>
      </w:r>
      <w:r>
        <w:rPr>
          <w:rFonts w:hint="eastAsia"/>
          <w:sz w:val="32"/>
          <w:szCs w:val="32"/>
          <w:highlight w:val="none"/>
          <w:lang w:val="zh-CN" w:eastAsia="zh-CN"/>
        </w:rPr>
        <w:t>函</w:t>
      </w:r>
      <w:bookmarkEnd w:id="162"/>
    </w:p>
    <w:p w14:paraId="61EFE031">
      <w:pPr>
        <w:pStyle w:val="17"/>
        <w:spacing w:before="0" w:beforeAutospacing="0" w:after="0" w:afterAutospacing="0"/>
        <w:jc w:val="center"/>
        <w:rPr>
          <w:rFonts w:hint="eastAsia" w:eastAsia="宋体"/>
          <w:b/>
          <w:bCs/>
          <w:sz w:val="48"/>
          <w:szCs w:val="48"/>
          <w:highlight w:val="none"/>
          <w:lang w:eastAsia="zh-CN"/>
        </w:rPr>
      </w:pPr>
    </w:p>
    <w:p w14:paraId="594B0D86">
      <w:pPr>
        <w:pStyle w:val="17"/>
        <w:spacing w:before="0" w:beforeAutospacing="0" w:after="0" w:afterAutospacing="0"/>
        <w:jc w:val="center"/>
        <w:rPr>
          <w:rFonts w:hint="eastAsia" w:eastAsia="宋体"/>
          <w:b/>
          <w:bCs/>
          <w:sz w:val="48"/>
          <w:szCs w:val="48"/>
          <w:highlight w:val="none"/>
          <w:lang w:eastAsia="zh-CN"/>
        </w:rPr>
      </w:pPr>
      <w:r>
        <w:rPr>
          <w:rFonts w:hint="eastAsia" w:eastAsia="宋体"/>
          <w:b/>
          <w:bCs/>
          <w:sz w:val="48"/>
          <w:szCs w:val="48"/>
          <w:highlight w:val="none"/>
          <w:lang w:eastAsia="zh-CN"/>
        </w:rPr>
        <w:t>响应</w:t>
      </w:r>
      <w:r>
        <w:rPr>
          <w:rFonts w:eastAsia="宋体"/>
          <w:b/>
          <w:bCs/>
          <w:sz w:val="48"/>
          <w:szCs w:val="48"/>
          <w:highlight w:val="none"/>
          <w:lang w:eastAsia="zh-CN"/>
        </w:rPr>
        <w:t>函</w:t>
      </w:r>
    </w:p>
    <w:p w14:paraId="1C3522AA">
      <w:pPr>
        <w:spacing w:line="360" w:lineRule="auto"/>
        <w:ind w:firstLine="480" w:firstLineChars="200"/>
        <w:rPr>
          <w:rFonts w:hint="eastAsia" w:ascii="仿宋" w:hAnsi="仿宋" w:eastAsia="仿宋" w:cs="仿宋"/>
          <w:color w:val="auto"/>
          <w:sz w:val="24"/>
          <w:szCs w:val="24"/>
          <w:highlight w:val="none"/>
          <w:lang w:eastAsia="zh-CN"/>
        </w:rPr>
      </w:pPr>
    </w:p>
    <w:p w14:paraId="0F89F2A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致：</w:t>
      </w:r>
      <w:r>
        <w:rPr>
          <w:rFonts w:hint="eastAsia" w:ascii="仿宋" w:hAnsi="仿宋" w:eastAsia="仿宋" w:cs="仿宋"/>
          <w:color w:val="auto"/>
          <w:sz w:val="24"/>
          <w:szCs w:val="24"/>
          <w:highlight w:val="none"/>
          <w:u w:val="single"/>
          <w:lang w:eastAsia="zh-CN"/>
        </w:rPr>
        <w:t>{代理机构名称}</w:t>
      </w:r>
    </w:p>
    <w:p w14:paraId="5DA8E19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我单位作为</w:t>
      </w:r>
      <w:r>
        <w:rPr>
          <w:rFonts w:hint="eastAsia" w:ascii="仿宋" w:hAnsi="仿宋" w:eastAsia="仿宋" w:cs="仿宋"/>
          <w:color w:val="auto"/>
          <w:sz w:val="24"/>
          <w:szCs w:val="24"/>
          <w:highlight w:val="none"/>
          <w:u w:val="single"/>
          <w:lang w:eastAsia="zh-CN"/>
        </w:rPr>
        <w:t>{项目名称}</w:t>
      </w:r>
      <w:r>
        <w:rPr>
          <w:rFonts w:hint="eastAsia" w:ascii="仿宋" w:hAnsi="仿宋" w:eastAsia="仿宋" w:cs="仿宋"/>
          <w:color w:val="auto"/>
          <w:sz w:val="24"/>
          <w:szCs w:val="24"/>
          <w:highlight w:val="none"/>
          <w:lang w:eastAsia="zh-CN"/>
        </w:rPr>
        <w:t>（项目编号：</w:t>
      </w:r>
      <w:r>
        <w:rPr>
          <w:rFonts w:hint="eastAsia" w:ascii="仿宋" w:hAnsi="仿宋" w:eastAsia="仿宋" w:cs="仿宋"/>
          <w:color w:val="auto"/>
          <w:sz w:val="24"/>
          <w:szCs w:val="24"/>
          <w:highlight w:val="none"/>
          <w:u w:val="single"/>
          <w:lang w:eastAsia="zh-CN"/>
        </w:rPr>
        <w:t>{项目编码}</w:t>
      </w:r>
      <w:r>
        <w:rPr>
          <w:rFonts w:hint="eastAsia" w:ascii="仿宋" w:hAnsi="仿宋" w:eastAsia="仿宋" w:cs="仿宋"/>
          <w:color w:val="auto"/>
          <w:sz w:val="24"/>
          <w:szCs w:val="24"/>
          <w:highlight w:val="none"/>
          <w:lang w:eastAsia="zh-CN"/>
        </w:rPr>
        <w:t>）的投标（响应）供应商，自愿参与本项目政府采购活动，充分理解采购文件的要求，在此郑重声明及承诺：</w:t>
      </w:r>
    </w:p>
    <w:p w14:paraId="384E26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一、我单位具有独立承担民事责任的能力；</w:t>
      </w:r>
    </w:p>
    <w:p w14:paraId="2627B95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二、我单位具有良好的商业信誉和健全的财务会计制度；</w:t>
      </w:r>
    </w:p>
    <w:p w14:paraId="63C3C16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三、我单位具有履行合同所必需的设备和专业技术能力；</w:t>
      </w:r>
    </w:p>
    <w:p w14:paraId="33D82C5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四、我单位具有依法缴纳税收和社会保障资金的良好记录；</w:t>
      </w:r>
    </w:p>
    <w:p w14:paraId="3D97A15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五、我单位参加政府采购活动前三年内，在经营活动中没有重大违法记录；</w:t>
      </w:r>
    </w:p>
    <w:p w14:paraId="4840A45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六、我单位满足采购文件规定的特定条件；</w:t>
      </w:r>
    </w:p>
    <w:p w14:paraId="13D493B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七、我单位不存在与单位负责人为同一人或者存在直接控股、管理关系的其他供应商参与同一合同项下的政府采购活动的行为；</w:t>
      </w:r>
    </w:p>
    <w:p w14:paraId="05984DD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八、我单位不属于为本项目提供整体设计、规范编制或者项目管理、监理、检测等服务的供应商；</w:t>
      </w:r>
    </w:p>
    <w:p w14:paraId="2A50FC7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九、我单位不存在与其他供应商委托同一单位或者个人编制投标（响应）文件、办理投标（响应）事宜的情形；</w:t>
      </w:r>
    </w:p>
    <w:p w14:paraId="76666B5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1E5FF6E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十一、我单位一旦中标（成交），将严格按照采购文件规定交纳代理服务费、履约保证金，在约定期限内签订采购合同，并严格履行采购合同规定的责任和义务；</w:t>
      </w:r>
    </w:p>
    <w:p w14:paraId="39391D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4CE17B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072C88F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十四、我单位完全接受和理解本项目采购文件规定的实质性要求；</w:t>
      </w:r>
    </w:p>
    <w:p w14:paraId="493D1CE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十五、我单位承诺，响应有效期为提交响应文件截止之日起</w:t>
      </w:r>
      <w:r>
        <w:rPr>
          <w:rFonts w:hint="eastAsia" w:ascii="仿宋" w:hAnsi="仿宋" w:eastAsia="仿宋" w:cs="仿宋"/>
          <w:color w:val="auto"/>
          <w:sz w:val="24"/>
          <w:szCs w:val="24"/>
          <w:highlight w:val="none"/>
          <w:u w:val="single"/>
          <w:lang w:eastAsia="zh-CN"/>
        </w:rPr>
        <w:t>{投标（响应）有效期天数}</w:t>
      </w:r>
      <w:r>
        <w:rPr>
          <w:rFonts w:hint="eastAsia" w:ascii="仿宋" w:hAnsi="仿宋" w:eastAsia="仿宋" w:cs="仿宋"/>
          <w:color w:val="auto"/>
          <w:sz w:val="24"/>
          <w:szCs w:val="24"/>
          <w:highlight w:val="none"/>
          <w:lang w:eastAsia="zh-CN"/>
        </w:rPr>
        <w:t>天；</w:t>
      </w:r>
    </w:p>
    <w:p w14:paraId="2E80263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8F8F94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特此声明。</w:t>
      </w:r>
    </w:p>
    <w:p w14:paraId="218BBA8C">
      <w:pPr>
        <w:spacing w:line="360" w:lineRule="auto"/>
        <w:ind w:firstLine="5280" w:firstLineChars="2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（签章）</w:t>
      </w:r>
    </w:p>
    <w:p w14:paraId="42137CFB">
      <w:pPr>
        <w:spacing w:line="360" w:lineRule="auto"/>
        <w:ind w:firstLine="5280" w:firstLineChars="2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 {当前日期}</w:t>
      </w:r>
    </w:p>
    <w:p w14:paraId="7CF5454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w:t>
      </w:r>
    </w:p>
    <w:p w14:paraId="7E1F198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747DFD9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2.需供应商提供的财务状况证明、履行合同所必需的设备和专业技术能力等证明材料的，按照本项目采购文件的规定提供。</w:t>
      </w:r>
    </w:p>
    <w:p w14:paraId="798B35F5">
      <w:pPr>
        <w:rPr>
          <w:rFonts w:hint="eastAsia" w:ascii="宋体" w:hAnsi="宋体" w:eastAsia="宋体" w:cs="宋体"/>
          <w:spacing w:val="9"/>
          <w:sz w:val="35"/>
          <w:szCs w:val="35"/>
          <w:highlight w:val="none"/>
          <w:lang w:eastAsia="zh-CN"/>
          <w14:textOutline w14:w="6540" w14:cap="sq" w14:cmpd="sng" w14:algn="ctr">
            <w14:solidFill>
              <w14:srgbClr w14:val="000000"/>
            </w14:solidFill>
            <w14:prstDash w14:val="solid"/>
            <w14:bevel/>
          </w14:textOutline>
        </w:rPr>
      </w:pPr>
      <w:r>
        <w:rPr>
          <w:rFonts w:ascii="宋体" w:hAnsi="宋体" w:eastAsia="宋体" w:cs="宋体"/>
          <w:spacing w:val="9"/>
          <w:sz w:val="35"/>
          <w:szCs w:val="35"/>
          <w:highlight w:val="none"/>
          <w:lang w:eastAsia="zh-CN"/>
          <w14:textOutline w14:w="6540" w14:cap="sq" w14:cmpd="sng" w14:algn="ctr">
            <w14:solidFill>
              <w14:srgbClr w14:val="000000"/>
            </w14:solidFill>
            <w14:prstDash w14:val="solid"/>
            <w14:bevel/>
          </w14:textOutline>
        </w:rPr>
        <w:br w:type="page"/>
      </w:r>
    </w:p>
    <w:p w14:paraId="68583725">
      <w:pPr>
        <w:tabs>
          <w:tab w:val="center" w:pos="4535"/>
          <w:tab w:val="left" w:pos="6521"/>
        </w:tabs>
        <w:spacing w:line="360" w:lineRule="auto"/>
        <w:jc w:val="both"/>
        <w:outlineLvl w:val="1"/>
        <w:rPr>
          <w:sz w:val="32"/>
          <w:szCs w:val="32"/>
          <w:highlight w:val="none"/>
          <w:lang w:eastAsia="zh-CN"/>
        </w:rPr>
      </w:pPr>
      <w:bookmarkStart w:id="163" w:name="_Toc22779"/>
      <w:r>
        <w:rPr>
          <w:rFonts w:hint="eastAsia"/>
          <w:sz w:val="32"/>
          <w:szCs w:val="32"/>
          <w:highlight w:val="none"/>
          <w:lang w:eastAsia="zh-CN"/>
        </w:rPr>
        <w:t>3、</w:t>
      </w:r>
      <w:r>
        <w:rPr>
          <w:rFonts w:hint="eastAsia"/>
          <w:sz w:val="32"/>
          <w:szCs w:val="32"/>
          <w:highlight w:val="none"/>
          <w:lang w:val="zh-CN" w:eastAsia="zh-CN"/>
        </w:rPr>
        <w:t>开标一览表（唱标报告）</w:t>
      </w:r>
      <w:bookmarkEnd w:id="163"/>
      <w:r>
        <w:rPr>
          <w:rFonts w:hint="eastAsia"/>
          <w:sz w:val="32"/>
          <w:szCs w:val="32"/>
          <w:highlight w:val="none"/>
          <w:lang w:eastAsia="zh-CN"/>
        </w:rPr>
        <w:t xml:space="preserve"> </w:t>
      </w:r>
    </w:p>
    <w:p w14:paraId="7D931CB5">
      <w:pPr>
        <w:pStyle w:val="17"/>
        <w:spacing w:before="0" w:beforeAutospacing="0" w:after="0" w:afterAutospacing="0"/>
        <w:jc w:val="center"/>
        <w:rPr>
          <w:rFonts w:hint="eastAsia" w:eastAsia="宋体"/>
          <w:b/>
          <w:bCs/>
          <w:sz w:val="48"/>
          <w:szCs w:val="48"/>
          <w:highlight w:val="none"/>
          <w:lang w:val="zh-CN" w:eastAsia="zh-CN"/>
        </w:rPr>
      </w:pPr>
    </w:p>
    <w:p w14:paraId="355ABA81">
      <w:pPr>
        <w:pStyle w:val="17"/>
        <w:spacing w:before="0" w:beforeAutospacing="0" w:after="0" w:afterAutospacing="0"/>
        <w:jc w:val="center"/>
        <w:outlineLvl w:val="2"/>
        <w:rPr>
          <w:rFonts w:hint="eastAsia" w:eastAsia="宋体"/>
          <w:b/>
          <w:bCs/>
          <w:sz w:val="48"/>
          <w:szCs w:val="48"/>
          <w:highlight w:val="none"/>
          <w:lang w:eastAsia="zh-CN"/>
        </w:rPr>
      </w:pPr>
      <w:bookmarkStart w:id="164" w:name="_Toc14356"/>
      <w:r>
        <w:rPr>
          <w:rFonts w:hint="eastAsia" w:eastAsia="宋体"/>
          <w:b/>
          <w:bCs/>
          <w:sz w:val="48"/>
          <w:szCs w:val="48"/>
          <w:highlight w:val="none"/>
          <w:lang w:val="zh-CN" w:eastAsia="zh-CN"/>
        </w:rPr>
        <w:t>开标一览表（唱标报告）</w:t>
      </w:r>
      <w:bookmarkEnd w:id="164"/>
    </w:p>
    <w:tbl>
      <w:tblPr>
        <w:tblStyle w:val="20"/>
        <w:tblW w:w="9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7819"/>
      </w:tblGrid>
      <w:tr w14:paraId="303D0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690" w:type="dxa"/>
            <w:vAlign w:val="center"/>
          </w:tcPr>
          <w:p w14:paraId="0466F4C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项目名称</w:t>
            </w:r>
          </w:p>
        </w:tc>
        <w:tc>
          <w:tcPr>
            <w:tcW w:w="7819" w:type="dxa"/>
            <w:vAlign w:val="center"/>
          </w:tcPr>
          <w:p w14:paraId="7F5692D9">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秦始皇帝陵博物院一号坑主展厅参观环境提升改造（二次）</w:t>
            </w:r>
          </w:p>
        </w:tc>
      </w:tr>
      <w:tr w14:paraId="592E0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690" w:type="dxa"/>
            <w:vAlign w:val="center"/>
          </w:tcPr>
          <w:p w14:paraId="5D385B8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项目编号</w:t>
            </w:r>
          </w:p>
        </w:tc>
        <w:tc>
          <w:tcPr>
            <w:tcW w:w="7819" w:type="dxa"/>
            <w:vAlign w:val="center"/>
          </w:tcPr>
          <w:p w14:paraId="48A90EFE">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zh-CN" w:eastAsia="zh-CN"/>
              </w:rPr>
              <w:t>SXHC2024-273</w:t>
            </w:r>
          </w:p>
        </w:tc>
      </w:tr>
      <w:tr w14:paraId="2138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jc w:val="center"/>
        </w:trPr>
        <w:tc>
          <w:tcPr>
            <w:tcW w:w="1690" w:type="dxa"/>
            <w:vAlign w:val="center"/>
          </w:tcPr>
          <w:p w14:paraId="1F5F6BB1">
            <w:pPr>
              <w:kinsoku/>
              <w:autoSpaceDE/>
              <w:autoSpaceDN/>
              <w:adjustRightInd/>
              <w:snapToGrid/>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投标报价（元）</w:t>
            </w:r>
          </w:p>
        </w:tc>
        <w:tc>
          <w:tcPr>
            <w:tcW w:w="7819" w:type="dxa"/>
            <w:vAlign w:val="center"/>
          </w:tcPr>
          <w:p w14:paraId="3646A4A8">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大写：</w:t>
            </w:r>
          </w:p>
          <w:p w14:paraId="22AED6ED">
            <w:pPr>
              <w:rPr>
                <w:rFonts w:hint="eastAsia" w:ascii="仿宋" w:hAnsi="仿宋" w:eastAsia="仿宋" w:cs="仿宋"/>
                <w:sz w:val="24"/>
                <w:szCs w:val="24"/>
                <w:highlight w:val="none"/>
                <w:lang w:eastAsia="zh-CN"/>
              </w:rPr>
            </w:pPr>
          </w:p>
          <w:p w14:paraId="26241429">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小写：</w:t>
            </w:r>
          </w:p>
        </w:tc>
      </w:tr>
      <w:tr w14:paraId="25099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1690" w:type="dxa"/>
            <w:vAlign w:val="center"/>
          </w:tcPr>
          <w:p w14:paraId="010D81C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工期</w:t>
            </w:r>
          </w:p>
        </w:tc>
        <w:tc>
          <w:tcPr>
            <w:tcW w:w="7819" w:type="dxa"/>
            <w:vAlign w:val="center"/>
          </w:tcPr>
          <w:p w14:paraId="779024B5">
            <w:pPr>
              <w:rPr>
                <w:rFonts w:hint="eastAsia" w:ascii="仿宋" w:hAnsi="仿宋" w:eastAsia="仿宋" w:cs="仿宋"/>
                <w:sz w:val="24"/>
                <w:szCs w:val="24"/>
                <w:highlight w:val="none"/>
              </w:rPr>
            </w:pPr>
          </w:p>
        </w:tc>
      </w:tr>
      <w:tr w14:paraId="3AB59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1690" w:type="dxa"/>
            <w:vAlign w:val="center"/>
          </w:tcPr>
          <w:p w14:paraId="140DD0C4">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质量</w:t>
            </w:r>
          </w:p>
        </w:tc>
        <w:tc>
          <w:tcPr>
            <w:tcW w:w="7819" w:type="dxa"/>
            <w:vAlign w:val="center"/>
          </w:tcPr>
          <w:p w14:paraId="0DD2378F">
            <w:pPr>
              <w:jc w:val="center"/>
              <w:rPr>
                <w:rFonts w:hint="eastAsia" w:ascii="仿宋" w:hAnsi="仿宋" w:eastAsia="仿宋" w:cs="仿宋"/>
                <w:sz w:val="24"/>
                <w:szCs w:val="24"/>
                <w:highlight w:val="none"/>
              </w:rPr>
            </w:pPr>
          </w:p>
        </w:tc>
      </w:tr>
      <w:tr w14:paraId="60B75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9509" w:type="dxa"/>
            <w:gridSpan w:val="2"/>
            <w:vAlign w:val="center"/>
          </w:tcPr>
          <w:p w14:paraId="13C0277E">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说明：</w:t>
            </w:r>
          </w:p>
          <w:p w14:paraId="0EAE4650">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1.除可填报项目外对本开标一览表（唱标报告）的任何修改将被视为非实质性响应投标从而导致该投标被拒绝。</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w:t>
            </w:r>
            <w:r>
              <w:rPr>
                <w:rFonts w:hint="eastAsia" w:ascii="仿宋" w:hAnsi="仿宋" w:eastAsia="仿宋" w:cs="仿宋"/>
                <w:b/>
                <w:bCs/>
                <w:sz w:val="24"/>
                <w:szCs w:val="24"/>
                <w:highlight w:val="none"/>
                <w:lang w:eastAsia="zh-CN"/>
              </w:rPr>
              <w:t>2.投标报价大写与小写不一致，以大写为准。</w:t>
            </w:r>
          </w:p>
        </w:tc>
      </w:tr>
    </w:tbl>
    <w:p w14:paraId="562A27A9">
      <w:pPr>
        <w:pStyle w:val="14"/>
        <w:rPr>
          <w:rFonts w:ascii="宋体" w:hAnsi="宋体" w:cs="宋体"/>
          <w:sz w:val="32"/>
          <w:highlight w:val="none"/>
          <w:lang w:eastAsia="zh-CN"/>
        </w:rPr>
      </w:pPr>
    </w:p>
    <w:p w14:paraId="5C7722EF">
      <w:pPr>
        <w:pStyle w:val="14"/>
        <w:rPr>
          <w:rFonts w:ascii="宋体" w:hAnsi="宋体" w:cs="宋体"/>
          <w:sz w:val="32"/>
          <w:highlight w:val="none"/>
          <w:lang w:eastAsia="zh-CN"/>
        </w:rPr>
      </w:pPr>
    </w:p>
    <w:p w14:paraId="78B4F3B4">
      <w:pPr>
        <w:spacing w:line="360" w:lineRule="auto"/>
        <w:ind w:firstLine="2640" w:firstLineChars="1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投标人名称（盖章）：</w:t>
      </w:r>
      <w:r>
        <w:rPr>
          <w:rFonts w:hint="eastAsia" w:ascii="仿宋" w:hAnsi="仿宋" w:eastAsia="仿宋" w:cs="仿宋"/>
          <w:color w:val="auto"/>
          <w:sz w:val="24"/>
          <w:szCs w:val="24"/>
          <w:highlight w:val="none"/>
          <w:u w:val="single"/>
          <w:lang w:eastAsia="zh-CN"/>
        </w:rPr>
        <w:t xml:space="preserve">                                </w:t>
      </w:r>
    </w:p>
    <w:p w14:paraId="15DDFC1A">
      <w:pPr>
        <w:spacing w:line="360" w:lineRule="auto"/>
        <w:ind w:firstLine="2640" w:firstLineChars="1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法定代表人或授权代表（签字或盖章）：</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37C4F2F4">
      <w:pPr>
        <w:spacing w:line="360" w:lineRule="auto"/>
        <w:ind w:firstLine="2640" w:firstLineChars="1100"/>
        <w:rPr>
          <w:rFonts w:ascii="宋体" w:hAnsi="宋体" w:cs="宋体"/>
          <w:sz w:val="32"/>
          <w:highlight w:val="none"/>
          <w:u w:val="single"/>
          <w:lang w:eastAsia="zh-CN"/>
        </w:rPr>
      </w:pPr>
      <w:r>
        <w:rPr>
          <w:rFonts w:hint="eastAsia" w:ascii="仿宋" w:hAnsi="仿宋" w:eastAsia="仿宋" w:cs="仿宋"/>
          <w:color w:val="auto"/>
          <w:sz w:val="24"/>
          <w:szCs w:val="24"/>
          <w:highlight w:val="none"/>
          <w:lang w:eastAsia="zh-CN"/>
        </w:rPr>
        <w:t xml:space="preserve">日    期： </w:t>
      </w:r>
      <w:r>
        <w:rPr>
          <w:rFonts w:hint="eastAsia" w:ascii="仿宋" w:hAnsi="仿宋" w:eastAsia="仿宋" w:cs="仿宋"/>
          <w:color w:val="auto"/>
          <w:sz w:val="24"/>
          <w:szCs w:val="24"/>
          <w:highlight w:val="none"/>
          <w:u w:val="single"/>
          <w:lang w:eastAsia="zh-CN"/>
        </w:rPr>
        <w:t xml:space="preserve">                                          </w:t>
      </w:r>
    </w:p>
    <w:p w14:paraId="5FABB57C">
      <w:pPr>
        <w:rPr>
          <w:rFonts w:hint="eastAsia" w:ascii="宋体" w:hAnsi="宋体" w:eastAsia="宋体" w:cs="宋体"/>
          <w:spacing w:val="9"/>
          <w:sz w:val="35"/>
          <w:szCs w:val="35"/>
          <w:highlight w:val="none"/>
          <w:lang w:eastAsia="zh-CN"/>
          <w14:textOutline w14:w="6540" w14:cap="sq" w14:cmpd="sng" w14:algn="ctr">
            <w14:solidFill>
              <w14:srgbClr w14:val="000000"/>
            </w14:solidFill>
            <w14:prstDash w14:val="solid"/>
            <w14:bevel/>
          </w14:textOutline>
        </w:rPr>
      </w:pPr>
    </w:p>
    <w:p w14:paraId="66CF4D61">
      <w:pPr>
        <w:jc w:val="both"/>
        <w:rPr>
          <w:rFonts w:hint="eastAsia" w:ascii="仿宋" w:hAnsi="仿宋" w:eastAsia="仿宋" w:cs="仿宋"/>
          <w:b/>
          <w:bCs/>
          <w:color w:val="auto"/>
          <w:sz w:val="32"/>
          <w:szCs w:val="32"/>
          <w:highlight w:val="none"/>
          <w:lang w:eastAsia="zh-CN"/>
        </w:rPr>
      </w:pPr>
      <w:bookmarkStart w:id="165" w:name="_Toc18383"/>
      <w:r>
        <w:rPr>
          <w:rFonts w:hint="eastAsia"/>
          <w:sz w:val="32"/>
          <w:szCs w:val="32"/>
          <w:highlight w:val="none"/>
          <w:lang w:eastAsia="zh-CN"/>
        </w:rPr>
        <w:br w:type="page"/>
      </w:r>
      <w:r>
        <w:rPr>
          <w:rFonts w:hint="eastAsia"/>
          <w:sz w:val="32"/>
          <w:szCs w:val="32"/>
          <w:highlight w:val="none"/>
          <w:lang w:eastAsia="zh-CN"/>
        </w:rPr>
        <w:t>4、已标价工程量清单</w:t>
      </w:r>
    </w:p>
    <w:p w14:paraId="538BAC22">
      <w:pPr>
        <w:pStyle w:val="33"/>
        <w:widowControl w:val="0"/>
        <w:spacing w:line="480" w:lineRule="auto"/>
        <w:jc w:val="both"/>
        <w:rPr>
          <w:rFonts w:hint="eastAsia" w:ascii="仿宋" w:hAnsi="仿宋" w:eastAsia="仿宋" w:cs="仿宋"/>
          <w:color w:val="auto"/>
          <w:sz w:val="24"/>
          <w:szCs w:val="24"/>
          <w:highlight w:val="none"/>
          <w:lang w:val="zh-CN" w:eastAsia="zh-CN"/>
        </w:rPr>
      </w:pPr>
    </w:p>
    <w:p w14:paraId="1DCEC3CE">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总价</w:t>
      </w:r>
    </w:p>
    <w:p w14:paraId="635C02BF">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2、总说明</w:t>
      </w:r>
    </w:p>
    <w:p w14:paraId="2B57E731">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3、单位工程造价汇总表</w:t>
      </w:r>
    </w:p>
    <w:p w14:paraId="0D05F5B9">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4、分部分项工程清单计价表</w:t>
      </w:r>
    </w:p>
    <w:p w14:paraId="4E3A122B">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5、措施项目清单计价表</w:t>
      </w:r>
    </w:p>
    <w:p w14:paraId="7F3491B4">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6、其它项目清单计价表</w:t>
      </w:r>
    </w:p>
    <w:p w14:paraId="02AA2853">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7、规费、税金项目清单计价表</w:t>
      </w:r>
    </w:p>
    <w:p w14:paraId="676D4325">
      <w:pPr>
        <w:widowControl w:val="0"/>
        <w:spacing w:line="480" w:lineRule="auto"/>
        <w:ind w:left="1680" w:leftChars="800"/>
        <w:rPr>
          <w:rFonts w:hint="eastAsia" w:ascii="仿宋" w:hAnsi="仿宋" w:eastAsia="仿宋" w:cs="仿宋"/>
          <w:color w:val="auto"/>
          <w:sz w:val="24"/>
          <w:szCs w:val="24"/>
          <w:highlight w:val="none"/>
          <w:lang w:eastAsia="zh-CN"/>
        </w:rPr>
      </w:pPr>
      <w:bookmarkStart w:id="166" w:name="OLE_LINK92"/>
      <w:r>
        <w:rPr>
          <w:rFonts w:hint="eastAsia" w:ascii="仿宋" w:hAnsi="仿宋" w:eastAsia="仿宋" w:cs="仿宋"/>
          <w:color w:val="auto"/>
          <w:sz w:val="24"/>
          <w:szCs w:val="24"/>
          <w:highlight w:val="none"/>
          <w:lang w:eastAsia="zh-CN"/>
        </w:rPr>
        <w:t>8、</w:t>
      </w:r>
      <w:bookmarkEnd w:id="166"/>
      <w:r>
        <w:rPr>
          <w:rFonts w:hint="eastAsia" w:ascii="仿宋" w:hAnsi="仿宋" w:eastAsia="仿宋" w:cs="仿宋"/>
          <w:color w:val="auto"/>
          <w:sz w:val="24"/>
          <w:szCs w:val="24"/>
          <w:highlight w:val="none"/>
          <w:lang w:eastAsia="zh-CN"/>
        </w:rPr>
        <w:t>主要材料价格表</w:t>
      </w:r>
    </w:p>
    <w:p w14:paraId="72CAEDA7">
      <w:pPr>
        <w:widowControl w:val="0"/>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说明：1.投标人应按以上目录装订报价部分，已标价工程量清单按陕西省09清单计价规则表格，用广联达GCCP6.0(6.4100.23.12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)版本计价软件生成的格式填写。</w:t>
      </w:r>
    </w:p>
    <w:p w14:paraId="64F00240">
      <w:pPr>
        <w:widowControl w:val="0"/>
        <w:spacing w:line="48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2.已标价工程量清单扉页需加盖有注册或登记在企业的造价人员签字并盖执业印章，若工程量清单编制人员非本单位注册人员，则需在此项后附与该人员注册单位签订的委托协议，协议格式自拟；</w:t>
      </w:r>
    </w:p>
    <w:p w14:paraId="06805A61">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lang w:eastAsia="zh-CN"/>
        </w:rPr>
        <w:t>3.已标价工程量清单原件扫描成PDF格式，以附件形式上传，作为投标文件的组成部分。</w:t>
      </w:r>
    </w:p>
    <w:p w14:paraId="513977BA">
      <w:pPr>
        <w:rPr>
          <w:sz w:val="32"/>
          <w:szCs w:val="32"/>
          <w:highlight w:val="none"/>
          <w:lang w:eastAsia="zh-CN"/>
        </w:rPr>
      </w:pPr>
      <w:r>
        <w:rPr>
          <w:rFonts w:hint="eastAsia"/>
          <w:sz w:val="32"/>
          <w:szCs w:val="32"/>
          <w:highlight w:val="none"/>
          <w:lang w:eastAsia="zh-CN"/>
        </w:rPr>
        <w:br w:type="page"/>
      </w:r>
    </w:p>
    <w:p w14:paraId="76A34BF0">
      <w:pPr>
        <w:tabs>
          <w:tab w:val="center" w:pos="4535"/>
          <w:tab w:val="left" w:pos="6521"/>
        </w:tabs>
        <w:spacing w:line="360" w:lineRule="auto"/>
        <w:jc w:val="both"/>
        <w:outlineLvl w:val="1"/>
        <w:rPr>
          <w:sz w:val="32"/>
          <w:szCs w:val="32"/>
          <w:highlight w:val="none"/>
          <w:lang w:eastAsia="zh-CN"/>
        </w:rPr>
      </w:pPr>
      <w:r>
        <w:rPr>
          <w:rFonts w:hint="eastAsia"/>
          <w:sz w:val="32"/>
          <w:szCs w:val="32"/>
          <w:highlight w:val="none"/>
          <w:lang w:eastAsia="zh-CN"/>
        </w:rPr>
        <w:t>5、一般资格审查证明文件</w:t>
      </w:r>
      <w:bookmarkEnd w:id="165"/>
    </w:p>
    <w:p w14:paraId="5638CFF0">
      <w:pPr>
        <w:widowControl w:val="0"/>
        <w:kinsoku/>
        <w:autoSpaceDE/>
        <w:autoSpaceDN/>
        <w:adjustRightInd/>
        <w:snapToGrid/>
        <w:jc w:val="both"/>
        <w:textAlignment w:val="auto"/>
        <w:rPr>
          <w:rFonts w:ascii="Times New Roman" w:hAnsi="Times New Roman" w:eastAsia="宋体" w:cs="Times New Roman"/>
          <w:snapToGrid/>
          <w:kern w:val="2"/>
          <w:szCs w:val="20"/>
          <w:highlight w:val="none"/>
          <w:lang w:eastAsia="zh-CN"/>
        </w:rPr>
      </w:pPr>
    </w:p>
    <w:p w14:paraId="13889AC0">
      <w:pPr>
        <w:pStyle w:val="2"/>
        <w:rPr>
          <w:highlight w:val="none"/>
        </w:rPr>
      </w:pPr>
    </w:p>
    <w:p w14:paraId="79F496AB">
      <w:pPr>
        <w:numPr>
          <w:ilvl w:val="0"/>
          <w:numId w:val="4"/>
        </w:num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投标人应具备《中华人民共和国政府采购法》第二十二条规定的条件：</w:t>
      </w:r>
    </w:p>
    <w:p w14:paraId="574E105D">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投标时投标人需在项目电子化交易系统中按要求填写《投标函》完成承诺并进行电子签章。</w:t>
      </w:r>
    </w:p>
    <w:p w14:paraId="77F14C1D">
      <w:pPr>
        <w:spacing w:line="360" w:lineRule="auto"/>
        <w:ind w:firstLine="480" w:firstLineChars="200"/>
        <w:outlineLvl w:val="1"/>
        <w:rPr>
          <w:rFonts w:hint="eastAsia" w:ascii="仿宋" w:hAnsi="仿宋" w:eastAsia="仿宋" w:cs="仿宋"/>
          <w:sz w:val="24"/>
          <w:szCs w:val="24"/>
          <w:highlight w:val="none"/>
          <w:lang w:eastAsia="zh-CN"/>
        </w:rPr>
      </w:pPr>
      <w:bookmarkStart w:id="167" w:name="_Toc21368"/>
      <w:r>
        <w:rPr>
          <w:rFonts w:hint="eastAsia" w:ascii="仿宋" w:hAnsi="仿宋" w:eastAsia="仿宋" w:cs="仿宋"/>
          <w:sz w:val="24"/>
          <w:szCs w:val="24"/>
          <w:highlight w:val="none"/>
          <w:lang w:eastAsia="zh-CN"/>
        </w:rPr>
        <w:t>2、供应商应提供健全的财务会计制度的证明材料；</w:t>
      </w:r>
      <w:bookmarkEnd w:id="167"/>
    </w:p>
    <w:p w14:paraId="47CC448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需在项目电子化交易系统中按要求上传2023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w:t>
      </w:r>
    </w:p>
    <w:p w14:paraId="3B82D161">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投标时提供扫描件并进行电子签章。</w:t>
      </w:r>
    </w:p>
    <w:p w14:paraId="67F6E57B">
      <w:pP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p>
    <w:p w14:paraId="3B2BF39B">
      <w:pPr>
        <w:tabs>
          <w:tab w:val="center" w:pos="4535"/>
          <w:tab w:val="left" w:pos="6521"/>
        </w:tabs>
        <w:spacing w:line="360" w:lineRule="auto"/>
        <w:jc w:val="both"/>
        <w:outlineLvl w:val="1"/>
        <w:rPr>
          <w:sz w:val="32"/>
          <w:szCs w:val="32"/>
          <w:highlight w:val="none"/>
          <w:lang w:eastAsia="zh-CN"/>
        </w:rPr>
      </w:pPr>
      <w:bookmarkStart w:id="168" w:name="_Toc31265"/>
      <w:r>
        <w:rPr>
          <w:rFonts w:hint="eastAsia"/>
          <w:sz w:val="32"/>
          <w:szCs w:val="32"/>
          <w:highlight w:val="none"/>
          <w:lang w:eastAsia="zh-CN"/>
        </w:rPr>
        <w:t>6、落实政府采购政策资格审查证明文件</w:t>
      </w:r>
      <w:bookmarkEnd w:id="168"/>
    </w:p>
    <w:p w14:paraId="1E51C70C">
      <w:pPr>
        <w:widowControl w:val="0"/>
        <w:kinsoku/>
        <w:autoSpaceDE/>
        <w:autoSpaceDN/>
        <w:adjustRightInd/>
        <w:snapToGrid/>
        <w:jc w:val="both"/>
        <w:textAlignment w:val="auto"/>
        <w:rPr>
          <w:rFonts w:ascii="Times New Roman" w:hAnsi="Times New Roman" w:eastAsia="宋体" w:cs="Times New Roman"/>
          <w:snapToGrid/>
          <w:kern w:val="2"/>
          <w:szCs w:val="20"/>
          <w:highlight w:val="none"/>
          <w:lang w:eastAsia="zh-CN"/>
        </w:rPr>
      </w:pPr>
    </w:p>
    <w:p w14:paraId="4F13D382">
      <w:pPr>
        <w:pStyle w:val="2"/>
        <w:rPr>
          <w:highlight w:val="none"/>
        </w:rPr>
      </w:pPr>
    </w:p>
    <w:p w14:paraId="007595A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参与的投标人（联合体）提供的工程全部由符合政策要求的中小企业承接。</w:t>
      </w:r>
    </w:p>
    <w:p w14:paraId="04FAC9B0">
      <w:pPr>
        <w:spacing w:line="360" w:lineRule="auto"/>
        <w:ind w:firstLine="482" w:firstLineChars="200"/>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投标时提供中小企业声明函、残疾人福利性单位声明、监狱企业的证明文件（符合其一即可，提供相关证明材料扫描件并进行电子签章。）</w:t>
      </w:r>
      <w:r>
        <w:rPr>
          <w:rFonts w:hint="eastAsia" w:ascii="仿宋" w:hAnsi="仿宋" w:eastAsia="仿宋" w:cs="仿宋"/>
          <w:sz w:val="24"/>
          <w:szCs w:val="24"/>
          <w:highlight w:val="none"/>
          <w:lang w:eastAsia="zh-CN"/>
        </w:rPr>
        <w:br w:type="page"/>
      </w:r>
    </w:p>
    <w:p w14:paraId="31191381">
      <w:pPr>
        <w:pStyle w:val="2"/>
        <w:rPr>
          <w:highlight w:val="none"/>
        </w:rPr>
      </w:pPr>
    </w:p>
    <w:p w14:paraId="2485AA97">
      <w:pPr>
        <w:tabs>
          <w:tab w:val="center" w:pos="4535"/>
          <w:tab w:val="left" w:pos="6521"/>
        </w:tabs>
        <w:spacing w:line="360" w:lineRule="auto"/>
        <w:jc w:val="both"/>
        <w:outlineLvl w:val="1"/>
        <w:rPr>
          <w:sz w:val="32"/>
          <w:szCs w:val="32"/>
          <w:highlight w:val="none"/>
          <w:lang w:eastAsia="zh-CN"/>
        </w:rPr>
      </w:pPr>
      <w:bookmarkStart w:id="169" w:name="_Toc31398"/>
      <w:r>
        <w:rPr>
          <w:rFonts w:hint="eastAsia"/>
          <w:sz w:val="32"/>
          <w:szCs w:val="32"/>
          <w:highlight w:val="none"/>
          <w:lang w:eastAsia="zh-CN"/>
        </w:rPr>
        <w:t>7、特殊资格审查证明文件</w:t>
      </w:r>
      <w:bookmarkEnd w:id="169"/>
    </w:p>
    <w:p w14:paraId="6884F03F">
      <w:pPr>
        <w:rPr>
          <w:vanish/>
          <w:sz w:val="24"/>
          <w:szCs w:val="24"/>
          <w:highlight w:val="none"/>
          <w:lang w:eastAsia="zh-CN"/>
        </w:rPr>
      </w:pPr>
    </w:p>
    <w:p w14:paraId="161199F2">
      <w:pPr>
        <w:rPr>
          <w:rFonts w:eastAsia="宋体"/>
          <w:highlight w:val="none"/>
          <w:lang w:eastAsia="zh-CN"/>
        </w:rPr>
      </w:pPr>
    </w:p>
    <w:p w14:paraId="4A76A12A">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1、具有独立承担民事责任能力：企业法人应提供标识有统一社会信用代码的营业执照；事业法人应提供事业单位法人证书；其他组织应提供合法登记证明文件，自然人提供身份证；</w:t>
      </w:r>
    </w:p>
    <w:p w14:paraId="288133FE">
      <w:pPr>
        <w:pStyle w:val="17"/>
        <w:widowControl w:val="0"/>
        <w:kinsoku/>
        <w:autoSpaceDE/>
        <w:autoSpaceDN/>
        <w:spacing w:before="0" w:beforeAutospacing="0" w:after="0" w:afterAutospacing="0" w:line="360" w:lineRule="auto"/>
        <w:ind w:firstLine="480" w:firstLineChars="200"/>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2、施工资质要求：投标人具有建设行政主管部门颁发的建筑工程施工总承包三级及以上资质，且具有合法有效的安全生产许可证；</w:t>
      </w:r>
    </w:p>
    <w:p w14:paraId="0068F03B">
      <w:pPr>
        <w:pStyle w:val="17"/>
        <w:widowControl w:val="0"/>
        <w:kinsoku/>
        <w:autoSpaceDE/>
        <w:autoSpaceDN/>
        <w:spacing w:before="0" w:beforeAutospacing="0" w:after="0" w:afterAutospacing="0" w:line="360" w:lineRule="auto"/>
        <w:textAlignment w:val="auto"/>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 xml:space="preserve">    3、拟派施工项目经理资质和专业要求：须具有本单位注册的建筑工程专业二级及以上注册建造师证书及有效的安全生产考核合格证书（B证），且无在建工程（提供承诺书)；</w:t>
      </w:r>
    </w:p>
    <w:p w14:paraId="736798B3">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4、投标人关联关系声明，包括：①控股管理关系（不得与参加本项目的其他供应商单位负责人为同一人或者存在直接控股、管理关系），②未为本项目提供整体设计、规范编制或者项目管理、监理、检测等服务；</w:t>
      </w:r>
    </w:p>
    <w:p w14:paraId="69D03E65">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5、信誉要求（提供开标截止时间前3天内任意时段的网页查询截图，</w:t>
      </w:r>
      <w:r>
        <w:rPr>
          <w:rFonts w:hint="eastAsia" w:ascii="仿宋" w:hAnsi="仿宋" w:eastAsia="仿宋" w:cs="仿宋"/>
          <w:snapToGrid/>
          <w:color w:val="auto"/>
          <w:highlight w:val="none"/>
          <w:lang w:val="en-US" w:eastAsia="zh-CN"/>
        </w:rPr>
        <w:t>资格审查时采购代理机构对信誉情况再次进行核查</w:t>
      </w:r>
      <w:r>
        <w:rPr>
          <w:rFonts w:hint="eastAsia" w:ascii="仿宋" w:hAnsi="仿宋" w:eastAsia="仿宋" w:cs="仿宋"/>
          <w:snapToGrid/>
          <w:color w:val="auto"/>
          <w:highlight w:val="none"/>
          <w:lang w:eastAsia="zh-CN"/>
        </w:rPr>
        <w:t>）：</w:t>
      </w:r>
    </w:p>
    <w:p w14:paraId="1EE831B5">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①投标人“全国建筑市场监管公共服务平台”可查询且无不良记录。</w:t>
      </w:r>
    </w:p>
    <w:p w14:paraId="4928D2E2">
      <w:pPr>
        <w:pStyle w:val="17"/>
        <w:widowControl w:val="0"/>
        <w:kinsoku/>
        <w:wordWrap w:val="0"/>
        <w:autoSpaceDE/>
        <w:autoSpaceDN/>
        <w:spacing w:before="0" w:beforeAutospacing="0" w:after="0" w:afterAutospacing="0" w:line="360" w:lineRule="auto"/>
        <w:ind w:firstLine="480" w:firstLineChars="200"/>
        <w:textAlignment w:val="auto"/>
        <w:outlineLvl w:val="1"/>
        <w:rPr>
          <w:rFonts w:hint="eastAsia" w:ascii="仿宋" w:hAnsi="仿宋" w:eastAsia="仿宋" w:cs="仿宋"/>
          <w:snapToGrid/>
          <w:color w:val="auto"/>
          <w:highlight w:val="none"/>
          <w:lang w:eastAsia="zh-CN"/>
        </w:rPr>
      </w:pPr>
      <w:r>
        <w:rPr>
          <w:rFonts w:hint="eastAsia" w:ascii="仿宋" w:hAnsi="仿宋" w:eastAsia="仿宋" w:cs="仿宋"/>
          <w:snapToGrid/>
          <w:color w:val="auto"/>
          <w:highlight w:val="none"/>
          <w:lang w:eastAsia="zh-CN"/>
        </w:rPr>
        <w:t>②投标人未被“信用中国”网站（www.creditchina.gov.cn）列入失信被执行人和重大税收违法失信主体，未被中国政府采购网（www.ccgp.gov.cn）列入政府采购严重违法失信行为记录名单。</w:t>
      </w:r>
    </w:p>
    <w:p w14:paraId="06D46B67">
      <w:pPr>
        <w:ind w:firstLine="482" w:firstLineChars="200"/>
        <w:rPr>
          <w:b/>
          <w:bCs/>
          <w:highlight w:val="none"/>
          <w:lang w:eastAsia="zh-CN"/>
        </w:rPr>
      </w:pPr>
      <w:r>
        <w:rPr>
          <w:rFonts w:hint="eastAsia" w:ascii="仿宋" w:hAnsi="仿宋" w:eastAsia="仿宋" w:cs="仿宋"/>
          <w:b/>
          <w:bCs/>
          <w:sz w:val="24"/>
          <w:szCs w:val="24"/>
          <w:highlight w:val="none"/>
          <w:lang w:eastAsia="zh-CN"/>
        </w:rPr>
        <w:t>投标时提供以上资料扫描件并进行电子签章。</w:t>
      </w:r>
    </w:p>
    <w:p w14:paraId="0111EA4A">
      <w:pPr>
        <w:rPr>
          <w:sz w:val="32"/>
          <w:szCs w:val="32"/>
          <w:highlight w:val="none"/>
          <w:lang w:eastAsia="zh-CN"/>
        </w:rPr>
      </w:pPr>
      <w:r>
        <w:rPr>
          <w:sz w:val="32"/>
          <w:szCs w:val="32"/>
          <w:highlight w:val="none"/>
          <w:lang w:eastAsia="zh-CN"/>
        </w:rPr>
        <w:br w:type="page"/>
      </w:r>
    </w:p>
    <w:p w14:paraId="0B2B3A61">
      <w:pPr>
        <w:pStyle w:val="17"/>
        <w:spacing w:before="0" w:beforeAutospacing="0" w:after="0" w:afterAutospacing="0"/>
        <w:jc w:val="both"/>
        <w:outlineLvl w:val="1"/>
        <w:rPr>
          <w:sz w:val="32"/>
          <w:szCs w:val="32"/>
          <w:highlight w:val="none"/>
          <w:lang w:val="zh-CN" w:eastAsia="zh-CN"/>
        </w:rPr>
      </w:pPr>
      <w:bookmarkStart w:id="170" w:name="_Toc16540"/>
      <w:r>
        <w:rPr>
          <w:rFonts w:hint="eastAsia"/>
          <w:sz w:val="32"/>
          <w:szCs w:val="32"/>
          <w:highlight w:val="none"/>
          <w:lang w:eastAsia="zh-CN"/>
        </w:rPr>
        <w:t>附件1：投标人</w:t>
      </w:r>
      <w:r>
        <w:rPr>
          <w:rFonts w:hint="eastAsia"/>
          <w:sz w:val="32"/>
          <w:szCs w:val="32"/>
          <w:highlight w:val="none"/>
          <w:lang w:val="zh-CN" w:eastAsia="zh-CN"/>
        </w:rPr>
        <w:t>关联关系声明</w:t>
      </w:r>
    </w:p>
    <w:p w14:paraId="6A6B9368">
      <w:pPr>
        <w:spacing w:line="540" w:lineRule="exact"/>
        <w:ind w:right="-197" w:rightChars="-94"/>
        <w:rPr>
          <w:rFonts w:hint="eastAsia" w:ascii="仿宋" w:hAnsi="仿宋" w:eastAsia="仿宋" w:cs="仿宋"/>
          <w:color w:val="auto"/>
          <w:sz w:val="24"/>
          <w:szCs w:val="24"/>
          <w:highlight w:val="none"/>
          <w:u w:val="single"/>
          <w:lang w:eastAsia="zh-CN"/>
        </w:rPr>
      </w:pPr>
    </w:p>
    <w:p w14:paraId="30DD1579">
      <w:pPr>
        <w:spacing w:line="540" w:lineRule="exact"/>
        <w:ind w:right="-197" w:rightChars="-94"/>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（采购人名称）    ：</w:t>
      </w:r>
    </w:p>
    <w:p w14:paraId="7477AC1C">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我单位作为</w:t>
      </w:r>
      <w:r>
        <w:rPr>
          <w:rFonts w:hint="eastAsia" w:ascii="仿宋" w:hAnsi="仿宋" w:eastAsia="仿宋" w:cs="仿宋"/>
          <w:color w:val="auto"/>
          <w:sz w:val="24"/>
          <w:szCs w:val="24"/>
          <w:highlight w:val="none"/>
          <w:u w:val="single"/>
          <w:lang w:eastAsia="zh-CN"/>
        </w:rPr>
        <w:t xml:space="preserve">   （项目名称）    </w:t>
      </w:r>
      <w:r>
        <w:rPr>
          <w:rFonts w:hint="eastAsia" w:ascii="仿宋" w:hAnsi="仿宋" w:eastAsia="仿宋" w:cs="仿宋"/>
          <w:color w:val="auto"/>
          <w:sz w:val="24"/>
          <w:szCs w:val="24"/>
          <w:highlight w:val="none"/>
          <w:lang w:eastAsia="zh-CN"/>
        </w:rPr>
        <w:t>的投标人，在此郑重声明：</w:t>
      </w:r>
    </w:p>
    <w:p w14:paraId="262BBA48">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一、在本次采购活动中</w:t>
      </w:r>
      <w:r>
        <w:rPr>
          <w:rFonts w:hint="eastAsia" w:ascii="仿宋" w:hAnsi="仿宋" w:eastAsia="仿宋" w:cs="仿宋"/>
          <w:color w:val="auto"/>
          <w:sz w:val="24"/>
          <w:szCs w:val="24"/>
          <w:highlight w:val="none"/>
          <w:u w:val="single"/>
          <w:lang w:eastAsia="zh-CN"/>
        </w:rPr>
        <w:t xml:space="preserve">   （填“存在”或“不存在”） </w:t>
      </w:r>
      <w:r>
        <w:rPr>
          <w:rFonts w:hint="eastAsia" w:ascii="仿宋" w:hAnsi="仿宋" w:eastAsia="仿宋" w:cs="仿宋"/>
          <w:color w:val="auto"/>
          <w:sz w:val="24"/>
          <w:szCs w:val="24"/>
          <w:highlight w:val="none"/>
          <w:lang w:eastAsia="zh-CN"/>
        </w:rPr>
        <w:t>与参加本项目其它投标人负责人为同一人，或有管理、控股等关联关系。</w:t>
      </w:r>
    </w:p>
    <w:p w14:paraId="0858977D">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二、我单位</w:t>
      </w:r>
      <w:r>
        <w:rPr>
          <w:rFonts w:hint="eastAsia" w:ascii="仿宋" w:hAnsi="仿宋" w:eastAsia="仿宋" w:cs="仿宋"/>
          <w:color w:val="auto"/>
          <w:sz w:val="24"/>
          <w:szCs w:val="24"/>
          <w:highlight w:val="none"/>
          <w:u w:val="single"/>
          <w:lang w:eastAsia="zh-CN"/>
        </w:rPr>
        <w:t xml:space="preserve">      （填“有”或“没有”）</w:t>
      </w:r>
      <w:r>
        <w:rPr>
          <w:rFonts w:hint="eastAsia" w:ascii="仿宋" w:hAnsi="仿宋" w:eastAsia="仿宋" w:cs="仿宋"/>
          <w:color w:val="auto"/>
          <w:sz w:val="24"/>
          <w:szCs w:val="24"/>
          <w:highlight w:val="none"/>
          <w:lang w:eastAsia="zh-CN"/>
        </w:rPr>
        <w:t>为本采购项目提供过整体设计、规范编制或者项目管理、监理、检测等服务。</w:t>
      </w:r>
    </w:p>
    <w:p w14:paraId="534A7C17">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本单位对上述声明的真实性负责，如有虚假，我方将无条件地退出本项目的采购活动，并遵照《中华人民共和国政府采购法》有关"提供虚假材料的规定"接受处罚。</w:t>
      </w:r>
    </w:p>
    <w:p w14:paraId="29F8F51C">
      <w:pPr>
        <w:spacing w:line="540" w:lineRule="exact"/>
        <w:ind w:right="-197" w:rightChars="-94"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特此声明。</w:t>
      </w:r>
    </w:p>
    <w:p w14:paraId="108DD436">
      <w:pPr>
        <w:ind w:firstLine="1920" w:firstLineChars="800"/>
        <w:rPr>
          <w:rFonts w:hint="eastAsia" w:ascii="仿宋" w:hAnsi="仿宋" w:eastAsia="仿宋" w:cs="仿宋"/>
          <w:color w:val="auto"/>
          <w:sz w:val="24"/>
          <w:szCs w:val="24"/>
          <w:highlight w:val="none"/>
          <w:lang w:eastAsia="zh-CN"/>
        </w:rPr>
      </w:pPr>
    </w:p>
    <w:p w14:paraId="40F1C23A">
      <w:pPr>
        <w:pStyle w:val="14"/>
        <w:rPr>
          <w:rFonts w:hint="eastAsia" w:ascii="仿宋" w:hAnsi="仿宋" w:eastAsia="仿宋" w:cs="仿宋"/>
          <w:color w:val="auto"/>
          <w:sz w:val="24"/>
          <w:szCs w:val="24"/>
          <w:highlight w:val="none"/>
          <w:lang w:eastAsia="zh-CN"/>
        </w:rPr>
      </w:pPr>
    </w:p>
    <w:p w14:paraId="1097BE58">
      <w:pPr>
        <w:spacing w:line="312" w:lineRule="auto"/>
        <w:ind w:firstLine="3360" w:firstLineChars="1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投标人名称（盖章）：</w:t>
      </w:r>
      <w:r>
        <w:rPr>
          <w:rFonts w:hint="eastAsia" w:ascii="仿宋" w:hAnsi="仿宋" w:eastAsia="仿宋" w:cs="仿宋"/>
          <w:color w:val="auto"/>
          <w:sz w:val="24"/>
          <w:szCs w:val="24"/>
          <w:highlight w:val="none"/>
          <w:u w:val="single"/>
          <w:lang w:eastAsia="zh-CN"/>
        </w:rPr>
        <w:t xml:space="preserve">                         </w:t>
      </w:r>
    </w:p>
    <w:p w14:paraId="671D1EFE">
      <w:pPr>
        <w:spacing w:line="312" w:lineRule="auto"/>
        <w:ind w:firstLine="3360" w:firstLineChars="1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法定代表人或授权代表（签字或盖章）：</w:t>
      </w:r>
      <w:r>
        <w:rPr>
          <w:rFonts w:hint="eastAsia" w:ascii="仿宋" w:hAnsi="仿宋" w:eastAsia="仿宋" w:cs="仿宋"/>
          <w:color w:val="auto"/>
          <w:sz w:val="24"/>
          <w:szCs w:val="24"/>
          <w:highlight w:val="none"/>
          <w:u w:val="single"/>
          <w:lang w:eastAsia="zh-CN"/>
        </w:rPr>
        <w:t xml:space="preserve">         </w:t>
      </w:r>
    </w:p>
    <w:p w14:paraId="3EDD34AF">
      <w:pPr>
        <w:ind w:firstLine="3360" w:firstLineChars="1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p>
    <w:p w14:paraId="233EBA14">
      <w:pPr>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br w:type="page"/>
      </w:r>
    </w:p>
    <w:p w14:paraId="4EBE2A67">
      <w:pPr>
        <w:pStyle w:val="17"/>
        <w:spacing w:before="0" w:beforeAutospacing="0" w:after="0" w:afterAutospacing="0"/>
        <w:jc w:val="both"/>
        <w:outlineLvl w:val="1"/>
        <w:rPr>
          <w:sz w:val="32"/>
          <w:szCs w:val="32"/>
          <w:highlight w:val="none"/>
          <w:lang w:eastAsia="zh-CN"/>
        </w:rPr>
      </w:pPr>
      <w:r>
        <w:rPr>
          <w:rFonts w:hint="eastAsia"/>
          <w:sz w:val="32"/>
          <w:szCs w:val="32"/>
          <w:highlight w:val="none"/>
          <w:lang w:eastAsia="zh-CN"/>
        </w:rPr>
        <w:t>附件2： 信誉书面声明</w:t>
      </w:r>
    </w:p>
    <w:p w14:paraId="708CBEEB">
      <w:pPr>
        <w:spacing w:line="360" w:lineRule="auto"/>
        <w:rPr>
          <w:rFonts w:hint="eastAsia" w:ascii="仿宋" w:hAnsi="仿宋" w:eastAsia="仿宋" w:cs="仿宋"/>
          <w:spacing w:val="4"/>
          <w:sz w:val="24"/>
          <w:szCs w:val="24"/>
          <w:highlight w:val="none"/>
          <w:u w:val="single"/>
          <w:lang w:eastAsia="zh-CN"/>
        </w:rPr>
      </w:pPr>
    </w:p>
    <w:p w14:paraId="1664DD9B">
      <w:pPr>
        <w:spacing w:line="360" w:lineRule="auto"/>
        <w:rPr>
          <w:rFonts w:hint="eastAsia" w:ascii="仿宋" w:hAnsi="仿宋" w:eastAsia="仿宋" w:cs="仿宋"/>
          <w:spacing w:val="4"/>
          <w:sz w:val="24"/>
          <w:szCs w:val="24"/>
          <w:highlight w:val="none"/>
          <w:u w:val="single"/>
          <w:lang w:eastAsia="zh-CN"/>
        </w:rPr>
      </w:pPr>
      <w:r>
        <w:rPr>
          <w:rFonts w:hint="eastAsia" w:ascii="仿宋" w:hAnsi="仿宋" w:eastAsia="仿宋" w:cs="仿宋"/>
          <w:spacing w:val="4"/>
          <w:sz w:val="24"/>
          <w:szCs w:val="24"/>
          <w:highlight w:val="none"/>
          <w:u w:val="single"/>
          <w:lang w:eastAsia="zh-CN"/>
        </w:rPr>
        <w:t xml:space="preserve">   （采购人名称）    ：</w:t>
      </w:r>
    </w:p>
    <w:p w14:paraId="34956B09">
      <w:pPr>
        <w:spacing w:line="540" w:lineRule="exact"/>
        <w:ind w:right="-197" w:rightChars="-94"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我单位作为</w:t>
      </w:r>
      <w:r>
        <w:rPr>
          <w:rFonts w:hint="eastAsia" w:ascii="仿宋" w:hAnsi="仿宋" w:eastAsia="仿宋" w:cs="仿宋"/>
          <w:sz w:val="24"/>
          <w:szCs w:val="24"/>
          <w:highlight w:val="none"/>
          <w:u w:val="single"/>
          <w:lang w:eastAsia="zh-CN"/>
        </w:rPr>
        <w:t xml:space="preserve">   （项目名称）    </w:t>
      </w:r>
      <w:r>
        <w:rPr>
          <w:rFonts w:hint="eastAsia" w:ascii="仿宋" w:hAnsi="仿宋" w:eastAsia="仿宋" w:cs="仿宋"/>
          <w:sz w:val="24"/>
          <w:szCs w:val="24"/>
          <w:highlight w:val="none"/>
          <w:lang w:eastAsia="zh-CN"/>
        </w:rPr>
        <w:t>的投标人，在此郑重声明：</w:t>
      </w:r>
    </w:p>
    <w:p w14:paraId="53B52511">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一、我公司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（填“可以”或“不可以”）在</w:t>
      </w:r>
      <w:r>
        <w:rPr>
          <w:rFonts w:hint="eastAsia" w:ascii="仿宋" w:hAnsi="仿宋" w:eastAsia="仿宋" w:cs="仿宋"/>
          <w:snapToGrid/>
          <w:color w:val="auto"/>
          <w:szCs w:val="24"/>
          <w:highlight w:val="none"/>
          <w:lang w:eastAsia="zh-CN"/>
        </w:rPr>
        <w:t>“全国建筑市场监管公共服务平台”可查询且</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（填“有”或“没有”）</w:t>
      </w:r>
      <w:r>
        <w:rPr>
          <w:rFonts w:hint="eastAsia" w:ascii="仿宋" w:hAnsi="仿宋" w:eastAsia="仿宋" w:cs="仿宋"/>
          <w:snapToGrid/>
          <w:color w:val="auto"/>
          <w:szCs w:val="24"/>
          <w:highlight w:val="none"/>
          <w:lang w:eastAsia="zh-CN"/>
        </w:rPr>
        <w:t>不良记录</w:t>
      </w:r>
    </w:p>
    <w:p w14:paraId="78A0E51B">
      <w:pPr>
        <w:pStyle w:val="8"/>
        <w:spacing w:line="600" w:lineRule="exact"/>
        <w:ind w:firstLine="480" w:firstLineChars="200"/>
        <w:rPr>
          <w:rFonts w:hint="eastAsia" w:ascii="仿宋" w:hAnsi="仿宋" w:eastAsia="宋体" w:cs="仿宋"/>
          <w:szCs w:val="24"/>
          <w:highlight w:val="none"/>
          <w:lang w:eastAsia="zh-CN"/>
        </w:rPr>
      </w:pPr>
      <w:r>
        <w:rPr>
          <w:rFonts w:hint="eastAsia" w:ascii="仿宋" w:hAnsi="仿宋" w:eastAsia="仿宋" w:cs="仿宋"/>
          <w:szCs w:val="24"/>
          <w:highlight w:val="none"/>
          <w:lang w:eastAsia="zh-CN"/>
        </w:rPr>
        <w:t>二、</w:t>
      </w:r>
      <w:r>
        <w:rPr>
          <w:rFonts w:hint="eastAsia" w:ascii="仿宋" w:hAnsi="仿宋" w:eastAsia="仿宋" w:cs="仿宋"/>
          <w:szCs w:val="24"/>
          <w:highlight w:val="none"/>
        </w:rPr>
        <w:t>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rPr>
        <w:t>（填“有”或“</w:t>
      </w:r>
      <w:r>
        <w:rPr>
          <w:rFonts w:hint="eastAsia" w:ascii="仿宋" w:hAnsi="仿宋" w:eastAsia="仿宋" w:cs="仿宋"/>
          <w:szCs w:val="24"/>
          <w:highlight w:val="none"/>
          <w:lang w:eastAsia="zh-CN"/>
        </w:rPr>
        <w:t>没有</w:t>
      </w:r>
      <w:r>
        <w:rPr>
          <w:rFonts w:hint="eastAsia" w:ascii="仿宋" w:hAnsi="仿宋" w:eastAsia="仿宋" w:cs="仿宋"/>
          <w:szCs w:val="24"/>
          <w:highlight w:val="none"/>
        </w:rPr>
        <w:t>”）被列入“信用中国”网站(www.creditchina.gov.cn/)中“失信被执行人”和“重大税收违法失信主体”当事人名单</w:t>
      </w:r>
      <w:r>
        <w:rPr>
          <w:rFonts w:hint="eastAsia" w:ascii="仿宋" w:hAnsi="仿宋" w:eastAsia="仿宋" w:cs="仿宋"/>
          <w:szCs w:val="24"/>
          <w:highlight w:val="none"/>
          <w:lang w:eastAsia="zh-CN"/>
        </w:rPr>
        <w:t>；</w:t>
      </w:r>
    </w:p>
    <w:p w14:paraId="11ADD927">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三、我公司</w:t>
      </w:r>
      <w:r>
        <w:rPr>
          <w:rFonts w:hint="eastAsia" w:ascii="仿宋" w:hAnsi="仿宋" w:eastAsia="仿宋" w:cs="仿宋"/>
          <w:szCs w:val="24"/>
          <w:highlight w:val="none"/>
          <w:u w:val="single"/>
          <w:lang w:eastAsia="zh-CN"/>
        </w:rPr>
        <w:t xml:space="preserve">     </w:t>
      </w:r>
      <w:r>
        <w:rPr>
          <w:rFonts w:hint="eastAsia" w:ascii="仿宋" w:hAnsi="仿宋" w:eastAsia="仿宋" w:cs="仿宋"/>
          <w:szCs w:val="24"/>
          <w:highlight w:val="none"/>
          <w:lang w:eastAsia="zh-CN"/>
        </w:rPr>
        <w:t>（填“有”或“没有”）处于中国政府采购网 (www.ccgp.gov.cn/)“政府采购严重违法失信行为记录名单”中的禁止参加政府采购活动期间。</w:t>
      </w:r>
    </w:p>
    <w:p w14:paraId="40D3718F">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val="zh-CN" w:eastAsia="zh-CN"/>
        </w:rPr>
        <w:t>本单位对上述声明内容的真实性负责。</w:t>
      </w:r>
      <w:r>
        <w:rPr>
          <w:rFonts w:hint="eastAsia" w:ascii="仿宋" w:hAnsi="仿宋" w:eastAsia="仿宋" w:cs="仿宋"/>
          <w:szCs w:val="24"/>
          <w:highlight w:val="none"/>
          <w:lang w:eastAsia="zh-CN"/>
        </w:rPr>
        <w:t>如有不实，我方将无条件地退出本项目的采购活动，并遵照《中华人民共和国政府采购法》有关"提供虚假材料的规定"接受处罚。</w:t>
      </w:r>
    </w:p>
    <w:p w14:paraId="26F9C263">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特此声明。</w:t>
      </w:r>
    </w:p>
    <w:p w14:paraId="6175343B">
      <w:pPr>
        <w:spacing w:line="360" w:lineRule="auto"/>
        <w:ind w:firstLine="480" w:firstLineChars="200"/>
        <w:rPr>
          <w:rFonts w:hint="eastAsia" w:ascii="仿宋" w:hAnsi="仿宋" w:eastAsia="仿宋" w:cs="仿宋"/>
          <w:sz w:val="24"/>
          <w:szCs w:val="24"/>
          <w:highlight w:val="none"/>
          <w:lang w:eastAsia="zh-CN"/>
        </w:rPr>
      </w:pPr>
    </w:p>
    <w:p w14:paraId="213DCD45">
      <w:pPr>
        <w:spacing w:line="360" w:lineRule="auto"/>
        <w:ind w:firstLine="3120" w:firstLineChars="13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投标人名称（盖章）：</w:t>
      </w:r>
      <w:r>
        <w:rPr>
          <w:rFonts w:hint="eastAsia" w:ascii="仿宋" w:hAnsi="仿宋" w:eastAsia="仿宋" w:cs="仿宋"/>
          <w:sz w:val="24"/>
          <w:szCs w:val="24"/>
          <w:highlight w:val="none"/>
          <w:u w:val="single"/>
          <w:lang w:eastAsia="zh-CN"/>
        </w:rPr>
        <w:t xml:space="preserve">                          </w:t>
      </w:r>
    </w:p>
    <w:p w14:paraId="7AEE4250">
      <w:pPr>
        <w:spacing w:line="360" w:lineRule="auto"/>
        <w:ind w:firstLine="3120" w:firstLineChars="13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法定代表人或授权代表（签字或盖章）：</w:t>
      </w:r>
      <w:r>
        <w:rPr>
          <w:rFonts w:hint="eastAsia" w:ascii="仿宋" w:hAnsi="仿宋" w:eastAsia="仿宋" w:cs="仿宋"/>
          <w:sz w:val="24"/>
          <w:szCs w:val="24"/>
          <w:highlight w:val="none"/>
          <w:u w:val="single"/>
          <w:lang w:eastAsia="zh-CN"/>
        </w:rPr>
        <w:t xml:space="preserve">          </w:t>
      </w:r>
    </w:p>
    <w:p w14:paraId="7EAC11CC">
      <w:pPr>
        <w:spacing w:line="360" w:lineRule="auto"/>
        <w:ind w:firstLine="3120" w:firstLineChars="13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日    期：</w:t>
      </w:r>
      <w:r>
        <w:rPr>
          <w:rFonts w:hint="eastAsia" w:ascii="仿宋" w:hAnsi="仿宋" w:eastAsia="仿宋" w:cs="仿宋"/>
          <w:sz w:val="24"/>
          <w:szCs w:val="24"/>
          <w:highlight w:val="none"/>
          <w:u w:val="single"/>
          <w:lang w:eastAsia="zh-CN"/>
        </w:rPr>
        <w:t xml:space="preserve">                                    </w:t>
      </w:r>
    </w:p>
    <w:p w14:paraId="4894B805">
      <w:pPr>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u w:val="single"/>
          <w:lang w:eastAsia="zh-CN"/>
        </w:rPr>
        <w:br w:type="page"/>
      </w:r>
    </w:p>
    <w:p w14:paraId="2257F9BF">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信誉书面声明后附开标截止时间前3天内任意时段的以下网站内容的查询网页截图并进行电子签章：</w:t>
      </w:r>
    </w:p>
    <w:p w14:paraId="70413ABE">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napToGrid/>
          <w:color w:val="auto"/>
          <w:szCs w:val="24"/>
          <w:highlight w:val="none"/>
          <w:lang w:eastAsia="zh-CN"/>
        </w:rPr>
        <w:t>①投标人“全国建筑市场监管公共服务平台”可查询且无不良记录（提供开标前3天的网上截图）</w:t>
      </w:r>
    </w:p>
    <w:p w14:paraId="174E2D6C">
      <w:pPr>
        <w:pStyle w:val="8"/>
        <w:spacing w:line="600" w:lineRule="exact"/>
        <w:ind w:firstLine="48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②投标人“信用中国”网站失信被执行人、重大税收违法失信主体栏的查询网页截图；</w:t>
      </w:r>
    </w:p>
    <w:p w14:paraId="358D9D24">
      <w:pPr>
        <w:pStyle w:val="8"/>
        <w:spacing w:line="600" w:lineRule="exact"/>
        <w:ind w:firstLine="480" w:firstLineChars="200"/>
        <w:rPr>
          <w:rFonts w:hint="eastAsia" w:ascii="仿宋" w:hAnsi="仿宋" w:eastAsia="仿宋" w:cs="仿宋"/>
          <w:b/>
          <w:bCs/>
          <w:szCs w:val="24"/>
          <w:highlight w:val="none"/>
          <w:lang w:eastAsia="zh-CN"/>
        </w:rPr>
      </w:pPr>
      <w:r>
        <w:rPr>
          <w:rFonts w:hint="eastAsia" w:ascii="仿宋" w:hAnsi="仿宋" w:eastAsia="仿宋" w:cs="仿宋"/>
          <w:szCs w:val="24"/>
          <w:highlight w:val="none"/>
          <w:lang w:eastAsia="zh-CN"/>
        </w:rPr>
        <w:t>③投标人“中国政府采购网”政府采购严重违法失信行为记录名单栏的查询网页截图；</w:t>
      </w:r>
    </w:p>
    <w:p w14:paraId="7876FF07">
      <w:pPr>
        <w:pStyle w:val="8"/>
        <w:spacing w:line="600" w:lineRule="exact"/>
        <w:ind w:firstLine="482" w:firstLineChars="200"/>
        <w:rPr>
          <w:rFonts w:hint="eastAsia" w:ascii="仿宋" w:hAnsi="仿宋" w:eastAsia="仿宋" w:cs="仿宋"/>
          <w:szCs w:val="24"/>
          <w:highlight w:val="none"/>
          <w:lang w:eastAsia="zh-CN"/>
        </w:rPr>
      </w:pPr>
      <w:r>
        <w:rPr>
          <w:rFonts w:hint="eastAsia" w:ascii="仿宋" w:hAnsi="仿宋" w:eastAsia="仿宋" w:cs="仿宋"/>
          <w:b/>
          <w:bCs/>
          <w:szCs w:val="24"/>
          <w:highlight w:val="none"/>
          <w:lang w:eastAsia="zh-CN"/>
        </w:rPr>
        <w:t>上述查询记录中如相关失信记录已失效，投标人需提供相关证明资料</w:t>
      </w:r>
      <w:r>
        <w:rPr>
          <w:rFonts w:hint="eastAsia" w:ascii="仿宋" w:hAnsi="仿宋" w:eastAsia="仿宋" w:cs="仿宋"/>
          <w:szCs w:val="24"/>
          <w:highlight w:val="none"/>
          <w:lang w:eastAsia="zh-CN"/>
        </w:rPr>
        <w:t>。</w:t>
      </w:r>
    </w:p>
    <w:p w14:paraId="3A856F20">
      <w:pPr>
        <w:rPr>
          <w:rFonts w:ascii="宋体" w:hAnsi="宋体" w:cs="宋体"/>
          <w:sz w:val="32"/>
          <w:szCs w:val="32"/>
          <w:highlight w:val="none"/>
          <w:lang w:eastAsia="zh-CN"/>
        </w:rPr>
      </w:pPr>
      <w:r>
        <w:rPr>
          <w:rFonts w:hint="eastAsia" w:ascii="宋体" w:hAnsi="宋体" w:cs="宋体"/>
          <w:sz w:val="32"/>
          <w:szCs w:val="32"/>
          <w:highlight w:val="none"/>
          <w:lang w:eastAsia="zh-CN"/>
        </w:rPr>
        <w:br w:type="page"/>
      </w:r>
    </w:p>
    <w:p w14:paraId="2E5BE6F2">
      <w:pPr>
        <w:pStyle w:val="17"/>
        <w:spacing w:before="0" w:beforeAutospacing="0" w:after="0" w:afterAutospacing="0"/>
        <w:jc w:val="both"/>
        <w:outlineLvl w:val="1"/>
        <w:rPr>
          <w:sz w:val="32"/>
          <w:szCs w:val="32"/>
          <w:highlight w:val="none"/>
          <w:lang w:val="zh-CN" w:eastAsia="zh-CN"/>
        </w:rPr>
      </w:pPr>
      <w:r>
        <w:rPr>
          <w:rFonts w:hint="eastAsia"/>
          <w:sz w:val="32"/>
          <w:szCs w:val="32"/>
          <w:highlight w:val="none"/>
          <w:lang w:eastAsia="zh-CN"/>
        </w:rPr>
        <w:t>8、</w:t>
      </w:r>
      <w:r>
        <w:rPr>
          <w:rFonts w:hint="eastAsia"/>
          <w:sz w:val="32"/>
          <w:szCs w:val="32"/>
          <w:highlight w:val="none"/>
          <w:lang w:val="zh-CN" w:eastAsia="zh-CN"/>
        </w:rPr>
        <w:t>合同条款响应偏差表</w:t>
      </w:r>
      <w:bookmarkEnd w:id="170"/>
    </w:p>
    <w:p w14:paraId="13F39557">
      <w:pPr>
        <w:pStyle w:val="17"/>
        <w:spacing w:before="0" w:beforeAutospacing="0" w:after="0" w:afterAutospacing="0"/>
        <w:jc w:val="both"/>
        <w:rPr>
          <w:sz w:val="32"/>
          <w:szCs w:val="32"/>
          <w:highlight w:val="none"/>
          <w:lang w:eastAsia="zh-CN"/>
        </w:rPr>
      </w:pPr>
    </w:p>
    <w:p w14:paraId="2B750463">
      <w:pPr>
        <w:pStyle w:val="17"/>
        <w:spacing w:before="0" w:beforeAutospacing="0" w:after="0" w:afterAutospacing="0"/>
        <w:jc w:val="center"/>
        <w:rPr>
          <w:rFonts w:hint="eastAsia" w:eastAsia="宋体"/>
          <w:b/>
          <w:bCs/>
          <w:sz w:val="48"/>
          <w:szCs w:val="48"/>
          <w:highlight w:val="none"/>
          <w:lang w:val="zh-CN" w:eastAsia="zh-CN"/>
        </w:rPr>
      </w:pPr>
      <w:r>
        <w:rPr>
          <w:rFonts w:hint="eastAsia" w:eastAsia="宋体"/>
          <w:b/>
          <w:bCs/>
          <w:sz w:val="48"/>
          <w:szCs w:val="48"/>
          <w:highlight w:val="none"/>
          <w:lang w:val="zh-CN" w:eastAsia="zh-CN"/>
        </w:rPr>
        <w:t>合同条款响应偏差表</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767"/>
        <w:gridCol w:w="2850"/>
        <w:gridCol w:w="2708"/>
      </w:tblGrid>
      <w:tr w14:paraId="5B948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261" w:type="dxa"/>
            <w:vAlign w:val="center"/>
          </w:tcPr>
          <w:p w14:paraId="41156EBB">
            <w:pPr>
              <w:kinsoku/>
              <w:spacing w:line="576" w:lineRule="exact"/>
              <w:ind w:right="23"/>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2767" w:type="dxa"/>
            <w:vAlign w:val="center"/>
          </w:tcPr>
          <w:p w14:paraId="5CB8C628">
            <w:pPr>
              <w:kinsoku/>
              <w:spacing w:line="576" w:lineRule="exact"/>
              <w:ind w:right="23"/>
              <w:jc w:val="cente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招标文件合同条款要求</w:t>
            </w:r>
          </w:p>
        </w:tc>
        <w:tc>
          <w:tcPr>
            <w:tcW w:w="2850" w:type="dxa"/>
            <w:vAlign w:val="center"/>
          </w:tcPr>
          <w:p w14:paraId="5F7E7481">
            <w:pPr>
              <w:kinsoku/>
              <w:spacing w:line="576" w:lineRule="exact"/>
              <w:ind w:right="23"/>
              <w:jc w:val="cente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投标文件合同条款响应</w:t>
            </w:r>
          </w:p>
        </w:tc>
        <w:tc>
          <w:tcPr>
            <w:tcW w:w="2708" w:type="dxa"/>
            <w:vAlign w:val="center"/>
          </w:tcPr>
          <w:p w14:paraId="51DF8C25">
            <w:pPr>
              <w:kinsoku/>
              <w:spacing w:line="576" w:lineRule="exact"/>
              <w:ind w:right="23"/>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偏离及其影响</w:t>
            </w:r>
          </w:p>
        </w:tc>
      </w:tr>
      <w:tr w14:paraId="71D690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7452D3B5">
            <w:pPr>
              <w:kinsoku/>
              <w:spacing w:line="576" w:lineRule="exact"/>
              <w:ind w:right="24"/>
              <w:rPr>
                <w:rFonts w:hint="eastAsia" w:ascii="仿宋" w:hAnsi="仿宋" w:eastAsia="仿宋" w:cs="仿宋"/>
                <w:bCs/>
                <w:sz w:val="24"/>
                <w:szCs w:val="24"/>
                <w:highlight w:val="none"/>
              </w:rPr>
            </w:pPr>
          </w:p>
        </w:tc>
        <w:tc>
          <w:tcPr>
            <w:tcW w:w="2767" w:type="dxa"/>
          </w:tcPr>
          <w:p w14:paraId="39C68232">
            <w:pPr>
              <w:kinsoku/>
              <w:spacing w:line="576" w:lineRule="exact"/>
              <w:ind w:right="24"/>
              <w:rPr>
                <w:rFonts w:hint="eastAsia" w:ascii="仿宋" w:hAnsi="仿宋" w:eastAsia="仿宋" w:cs="仿宋"/>
                <w:bCs/>
                <w:sz w:val="24"/>
                <w:szCs w:val="24"/>
                <w:highlight w:val="none"/>
              </w:rPr>
            </w:pPr>
          </w:p>
        </w:tc>
        <w:tc>
          <w:tcPr>
            <w:tcW w:w="2850" w:type="dxa"/>
          </w:tcPr>
          <w:p w14:paraId="02F70217">
            <w:pPr>
              <w:kinsoku/>
              <w:spacing w:line="576" w:lineRule="exact"/>
              <w:ind w:right="24"/>
              <w:rPr>
                <w:rFonts w:hint="eastAsia" w:ascii="仿宋" w:hAnsi="仿宋" w:eastAsia="仿宋" w:cs="仿宋"/>
                <w:bCs/>
                <w:sz w:val="24"/>
                <w:szCs w:val="24"/>
                <w:highlight w:val="none"/>
              </w:rPr>
            </w:pPr>
          </w:p>
        </w:tc>
        <w:tc>
          <w:tcPr>
            <w:tcW w:w="2708" w:type="dxa"/>
          </w:tcPr>
          <w:p w14:paraId="1BCDDEAF">
            <w:pPr>
              <w:kinsoku/>
              <w:spacing w:line="576" w:lineRule="exact"/>
              <w:ind w:right="24"/>
              <w:rPr>
                <w:rFonts w:hint="eastAsia" w:ascii="仿宋" w:hAnsi="仿宋" w:eastAsia="仿宋" w:cs="仿宋"/>
                <w:bCs/>
                <w:sz w:val="24"/>
                <w:szCs w:val="24"/>
                <w:highlight w:val="none"/>
              </w:rPr>
            </w:pPr>
          </w:p>
        </w:tc>
      </w:tr>
      <w:tr w14:paraId="37F8EE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77A57B1B">
            <w:pPr>
              <w:kinsoku/>
              <w:spacing w:line="576" w:lineRule="exact"/>
              <w:ind w:right="24"/>
              <w:rPr>
                <w:rFonts w:hint="eastAsia" w:ascii="仿宋" w:hAnsi="仿宋" w:eastAsia="仿宋" w:cs="仿宋"/>
                <w:bCs/>
                <w:sz w:val="24"/>
                <w:szCs w:val="24"/>
                <w:highlight w:val="none"/>
              </w:rPr>
            </w:pPr>
          </w:p>
        </w:tc>
        <w:tc>
          <w:tcPr>
            <w:tcW w:w="2767" w:type="dxa"/>
          </w:tcPr>
          <w:p w14:paraId="0429120D">
            <w:pPr>
              <w:kinsoku/>
              <w:spacing w:line="576" w:lineRule="exact"/>
              <w:ind w:right="24"/>
              <w:rPr>
                <w:rFonts w:hint="eastAsia" w:ascii="仿宋" w:hAnsi="仿宋" w:eastAsia="仿宋" w:cs="仿宋"/>
                <w:bCs/>
                <w:sz w:val="24"/>
                <w:szCs w:val="24"/>
                <w:highlight w:val="none"/>
              </w:rPr>
            </w:pPr>
          </w:p>
        </w:tc>
        <w:tc>
          <w:tcPr>
            <w:tcW w:w="2850" w:type="dxa"/>
          </w:tcPr>
          <w:p w14:paraId="1CCE8728">
            <w:pPr>
              <w:kinsoku/>
              <w:spacing w:line="576" w:lineRule="exact"/>
              <w:ind w:right="24"/>
              <w:rPr>
                <w:rFonts w:hint="eastAsia" w:ascii="仿宋" w:hAnsi="仿宋" w:eastAsia="仿宋" w:cs="仿宋"/>
                <w:bCs/>
                <w:sz w:val="24"/>
                <w:szCs w:val="24"/>
                <w:highlight w:val="none"/>
              </w:rPr>
            </w:pPr>
          </w:p>
        </w:tc>
        <w:tc>
          <w:tcPr>
            <w:tcW w:w="2708" w:type="dxa"/>
          </w:tcPr>
          <w:p w14:paraId="0A7194B3">
            <w:pPr>
              <w:kinsoku/>
              <w:spacing w:line="576" w:lineRule="exact"/>
              <w:ind w:right="24"/>
              <w:rPr>
                <w:rFonts w:hint="eastAsia" w:ascii="仿宋" w:hAnsi="仿宋" w:eastAsia="仿宋" w:cs="仿宋"/>
                <w:bCs/>
                <w:sz w:val="24"/>
                <w:szCs w:val="24"/>
                <w:highlight w:val="none"/>
              </w:rPr>
            </w:pPr>
          </w:p>
        </w:tc>
      </w:tr>
      <w:tr w14:paraId="713D0A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138BE558">
            <w:pPr>
              <w:kinsoku/>
              <w:spacing w:line="576" w:lineRule="exact"/>
              <w:ind w:right="24"/>
              <w:rPr>
                <w:rFonts w:hint="eastAsia" w:ascii="仿宋" w:hAnsi="仿宋" w:eastAsia="仿宋" w:cs="仿宋"/>
                <w:bCs/>
                <w:sz w:val="24"/>
                <w:szCs w:val="24"/>
                <w:highlight w:val="none"/>
              </w:rPr>
            </w:pPr>
          </w:p>
        </w:tc>
        <w:tc>
          <w:tcPr>
            <w:tcW w:w="2767" w:type="dxa"/>
          </w:tcPr>
          <w:p w14:paraId="3B4D5BA6">
            <w:pPr>
              <w:kinsoku/>
              <w:spacing w:line="576" w:lineRule="exact"/>
              <w:ind w:right="24"/>
              <w:rPr>
                <w:rFonts w:hint="eastAsia" w:ascii="仿宋" w:hAnsi="仿宋" w:eastAsia="仿宋" w:cs="仿宋"/>
                <w:bCs/>
                <w:sz w:val="24"/>
                <w:szCs w:val="24"/>
                <w:highlight w:val="none"/>
              </w:rPr>
            </w:pPr>
          </w:p>
        </w:tc>
        <w:tc>
          <w:tcPr>
            <w:tcW w:w="2850" w:type="dxa"/>
          </w:tcPr>
          <w:p w14:paraId="3BBEDB2A">
            <w:pPr>
              <w:kinsoku/>
              <w:spacing w:line="576" w:lineRule="exact"/>
              <w:ind w:right="24"/>
              <w:rPr>
                <w:rFonts w:hint="eastAsia" w:ascii="仿宋" w:hAnsi="仿宋" w:eastAsia="仿宋" w:cs="仿宋"/>
                <w:bCs/>
                <w:sz w:val="24"/>
                <w:szCs w:val="24"/>
                <w:highlight w:val="none"/>
              </w:rPr>
            </w:pPr>
          </w:p>
        </w:tc>
        <w:tc>
          <w:tcPr>
            <w:tcW w:w="2708" w:type="dxa"/>
          </w:tcPr>
          <w:p w14:paraId="5763C0CC">
            <w:pPr>
              <w:kinsoku/>
              <w:spacing w:line="576" w:lineRule="exact"/>
              <w:ind w:right="24"/>
              <w:rPr>
                <w:rFonts w:hint="eastAsia" w:ascii="仿宋" w:hAnsi="仿宋" w:eastAsia="仿宋" w:cs="仿宋"/>
                <w:bCs/>
                <w:sz w:val="24"/>
                <w:szCs w:val="24"/>
                <w:highlight w:val="none"/>
              </w:rPr>
            </w:pPr>
          </w:p>
        </w:tc>
      </w:tr>
      <w:tr w14:paraId="55866D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1B575CCC">
            <w:pPr>
              <w:kinsoku/>
              <w:spacing w:line="576" w:lineRule="exact"/>
              <w:ind w:right="24"/>
              <w:rPr>
                <w:rFonts w:hint="eastAsia" w:ascii="仿宋" w:hAnsi="仿宋" w:eastAsia="仿宋" w:cs="仿宋"/>
                <w:bCs/>
                <w:sz w:val="24"/>
                <w:szCs w:val="24"/>
                <w:highlight w:val="none"/>
              </w:rPr>
            </w:pPr>
          </w:p>
        </w:tc>
        <w:tc>
          <w:tcPr>
            <w:tcW w:w="2767" w:type="dxa"/>
          </w:tcPr>
          <w:p w14:paraId="043115C0">
            <w:pPr>
              <w:kinsoku/>
              <w:spacing w:line="576" w:lineRule="exact"/>
              <w:ind w:right="24"/>
              <w:rPr>
                <w:rFonts w:hint="eastAsia" w:ascii="仿宋" w:hAnsi="仿宋" w:eastAsia="仿宋" w:cs="仿宋"/>
                <w:bCs/>
                <w:sz w:val="24"/>
                <w:szCs w:val="24"/>
                <w:highlight w:val="none"/>
              </w:rPr>
            </w:pPr>
          </w:p>
        </w:tc>
        <w:tc>
          <w:tcPr>
            <w:tcW w:w="2850" w:type="dxa"/>
          </w:tcPr>
          <w:p w14:paraId="51AA83C2">
            <w:pPr>
              <w:kinsoku/>
              <w:spacing w:line="576" w:lineRule="exact"/>
              <w:ind w:right="24"/>
              <w:rPr>
                <w:rFonts w:hint="eastAsia" w:ascii="仿宋" w:hAnsi="仿宋" w:eastAsia="仿宋" w:cs="仿宋"/>
                <w:bCs/>
                <w:sz w:val="24"/>
                <w:szCs w:val="24"/>
                <w:highlight w:val="none"/>
              </w:rPr>
            </w:pPr>
          </w:p>
        </w:tc>
        <w:tc>
          <w:tcPr>
            <w:tcW w:w="2708" w:type="dxa"/>
          </w:tcPr>
          <w:p w14:paraId="4ADE3D03">
            <w:pPr>
              <w:kinsoku/>
              <w:spacing w:line="576" w:lineRule="exact"/>
              <w:ind w:right="24"/>
              <w:rPr>
                <w:rFonts w:hint="eastAsia" w:ascii="仿宋" w:hAnsi="仿宋" w:eastAsia="仿宋" w:cs="仿宋"/>
                <w:bCs/>
                <w:sz w:val="24"/>
                <w:szCs w:val="24"/>
                <w:highlight w:val="none"/>
              </w:rPr>
            </w:pPr>
          </w:p>
        </w:tc>
      </w:tr>
      <w:tr w14:paraId="7534B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56176314">
            <w:pPr>
              <w:kinsoku/>
              <w:spacing w:line="576" w:lineRule="exact"/>
              <w:ind w:right="24"/>
              <w:rPr>
                <w:rFonts w:hint="eastAsia" w:ascii="仿宋" w:hAnsi="仿宋" w:eastAsia="仿宋" w:cs="仿宋"/>
                <w:bCs/>
                <w:sz w:val="24"/>
                <w:szCs w:val="24"/>
                <w:highlight w:val="none"/>
              </w:rPr>
            </w:pPr>
          </w:p>
        </w:tc>
        <w:tc>
          <w:tcPr>
            <w:tcW w:w="2767" w:type="dxa"/>
          </w:tcPr>
          <w:p w14:paraId="4DF71CEC">
            <w:pPr>
              <w:kinsoku/>
              <w:spacing w:line="576" w:lineRule="exact"/>
              <w:ind w:right="24"/>
              <w:rPr>
                <w:rFonts w:hint="eastAsia" w:ascii="仿宋" w:hAnsi="仿宋" w:eastAsia="仿宋" w:cs="仿宋"/>
                <w:bCs/>
                <w:sz w:val="24"/>
                <w:szCs w:val="24"/>
                <w:highlight w:val="none"/>
              </w:rPr>
            </w:pPr>
          </w:p>
        </w:tc>
        <w:tc>
          <w:tcPr>
            <w:tcW w:w="2850" w:type="dxa"/>
          </w:tcPr>
          <w:p w14:paraId="2ACF4A7D">
            <w:pPr>
              <w:kinsoku/>
              <w:spacing w:line="576" w:lineRule="exact"/>
              <w:ind w:right="24"/>
              <w:rPr>
                <w:rFonts w:hint="eastAsia" w:ascii="仿宋" w:hAnsi="仿宋" w:eastAsia="仿宋" w:cs="仿宋"/>
                <w:bCs/>
                <w:sz w:val="24"/>
                <w:szCs w:val="24"/>
                <w:highlight w:val="none"/>
              </w:rPr>
            </w:pPr>
          </w:p>
        </w:tc>
        <w:tc>
          <w:tcPr>
            <w:tcW w:w="2708" w:type="dxa"/>
          </w:tcPr>
          <w:p w14:paraId="5FAB08E1">
            <w:pPr>
              <w:kinsoku/>
              <w:spacing w:line="576" w:lineRule="exact"/>
              <w:ind w:right="24"/>
              <w:rPr>
                <w:rFonts w:hint="eastAsia" w:ascii="仿宋" w:hAnsi="仿宋" w:eastAsia="仿宋" w:cs="仿宋"/>
                <w:bCs/>
                <w:sz w:val="24"/>
                <w:szCs w:val="24"/>
                <w:highlight w:val="none"/>
              </w:rPr>
            </w:pPr>
          </w:p>
        </w:tc>
      </w:tr>
      <w:tr w14:paraId="69799B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61" w:type="dxa"/>
          </w:tcPr>
          <w:p w14:paraId="72CA194A">
            <w:pPr>
              <w:kinsoku/>
              <w:spacing w:line="576" w:lineRule="exact"/>
              <w:ind w:right="24"/>
              <w:rPr>
                <w:rFonts w:hint="eastAsia" w:ascii="仿宋" w:hAnsi="仿宋" w:eastAsia="仿宋" w:cs="仿宋"/>
                <w:bCs/>
                <w:sz w:val="24"/>
                <w:szCs w:val="24"/>
                <w:highlight w:val="none"/>
              </w:rPr>
            </w:pPr>
          </w:p>
        </w:tc>
        <w:tc>
          <w:tcPr>
            <w:tcW w:w="2767" w:type="dxa"/>
          </w:tcPr>
          <w:p w14:paraId="15E50635">
            <w:pPr>
              <w:kinsoku/>
              <w:spacing w:line="576" w:lineRule="exact"/>
              <w:ind w:right="24"/>
              <w:rPr>
                <w:rFonts w:hint="eastAsia" w:ascii="仿宋" w:hAnsi="仿宋" w:eastAsia="仿宋" w:cs="仿宋"/>
                <w:bCs/>
                <w:sz w:val="24"/>
                <w:szCs w:val="24"/>
                <w:highlight w:val="none"/>
              </w:rPr>
            </w:pPr>
          </w:p>
        </w:tc>
        <w:tc>
          <w:tcPr>
            <w:tcW w:w="2850" w:type="dxa"/>
          </w:tcPr>
          <w:p w14:paraId="54389A2E">
            <w:pPr>
              <w:kinsoku/>
              <w:spacing w:line="576" w:lineRule="exact"/>
              <w:ind w:right="24"/>
              <w:rPr>
                <w:rFonts w:hint="eastAsia" w:ascii="仿宋" w:hAnsi="仿宋" w:eastAsia="仿宋" w:cs="仿宋"/>
                <w:bCs/>
                <w:sz w:val="24"/>
                <w:szCs w:val="24"/>
                <w:highlight w:val="none"/>
              </w:rPr>
            </w:pPr>
          </w:p>
        </w:tc>
        <w:tc>
          <w:tcPr>
            <w:tcW w:w="2708" w:type="dxa"/>
          </w:tcPr>
          <w:p w14:paraId="0691B51B">
            <w:pPr>
              <w:kinsoku/>
              <w:spacing w:line="576" w:lineRule="exact"/>
              <w:ind w:right="24"/>
              <w:rPr>
                <w:rFonts w:hint="eastAsia" w:ascii="仿宋" w:hAnsi="仿宋" w:eastAsia="仿宋" w:cs="仿宋"/>
                <w:bCs/>
                <w:sz w:val="24"/>
                <w:szCs w:val="24"/>
                <w:highlight w:val="none"/>
              </w:rPr>
            </w:pPr>
          </w:p>
        </w:tc>
      </w:tr>
    </w:tbl>
    <w:p w14:paraId="341BF5AD">
      <w:pPr>
        <w:kinsoku/>
        <w:spacing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说明：1.本表只填写投标文件中与招标文件有偏离（包括正偏离和负偏离）的内容，投标文件中合同条款响应与招标文件“第六章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拟签订合同文本”中的要求完全一致的，不用在此表中列出，但必须提供空白表。</w:t>
      </w:r>
    </w:p>
    <w:p w14:paraId="7878C172">
      <w:pPr>
        <w:kinsoku/>
        <w:spacing w:line="576" w:lineRule="exact"/>
        <w:ind w:firstLine="480" w:firstLineChars="200"/>
        <w:rPr>
          <w:rFonts w:hint="eastAsia" w:ascii="仿宋_GB2312" w:hAnsi="仿宋_GB2312" w:eastAsia="仿宋_GB2312" w:cs="仿宋_GB2312"/>
          <w:sz w:val="32"/>
          <w:szCs w:val="32"/>
          <w:highlight w:val="none"/>
          <w:lang w:eastAsia="zh-CN"/>
        </w:rPr>
      </w:pPr>
      <w:r>
        <w:rPr>
          <w:rFonts w:hint="eastAsia" w:ascii="仿宋" w:hAnsi="仿宋" w:eastAsia="仿宋" w:cs="仿宋"/>
          <w:sz w:val="24"/>
          <w:szCs w:val="24"/>
          <w:highlight w:val="none"/>
          <w:lang w:eastAsia="zh-CN"/>
        </w:rPr>
        <w:t>2.投标人必须据实填写，不得虚假响应，否则将取消其评标或中标资格，并按有关规定进处罚。</w:t>
      </w:r>
    </w:p>
    <w:p w14:paraId="4B65EFE9">
      <w:pPr>
        <w:kinsoku/>
        <w:spacing w:line="576" w:lineRule="exact"/>
        <w:ind w:firstLine="1280" w:firstLineChars="400"/>
        <w:rPr>
          <w:rFonts w:hint="eastAsia" w:ascii="仿宋_GB2312" w:hAnsi="仿宋_GB2312" w:eastAsia="仿宋_GB2312" w:cs="仿宋_GB2312"/>
          <w:sz w:val="32"/>
          <w:szCs w:val="32"/>
          <w:highlight w:val="none"/>
          <w:lang w:eastAsia="zh-CN"/>
        </w:rPr>
      </w:pPr>
    </w:p>
    <w:p w14:paraId="5AF8882E">
      <w:pPr>
        <w:spacing w:line="360" w:lineRule="auto"/>
        <w:ind w:firstLine="2640" w:firstLineChars="1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投标人名称（盖章）：</w:t>
      </w:r>
      <w:r>
        <w:rPr>
          <w:rFonts w:hint="eastAsia" w:ascii="仿宋" w:hAnsi="仿宋" w:eastAsia="仿宋" w:cs="仿宋"/>
          <w:color w:val="auto"/>
          <w:sz w:val="24"/>
          <w:szCs w:val="24"/>
          <w:highlight w:val="none"/>
          <w:u w:val="single"/>
          <w:lang w:eastAsia="zh-CN"/>
        </w:rPr>
        <w:t xml:space="preserve">                                </w:t>
      </w:r>
    </w:p>
    <w:p w14:paraId="68850460">
      <w:pPr>
        <w:spacing w:line="360" w:lineRule="auto"/>
        <w:ind w:firstLine="2640" w:firstLineChars="1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法定代表人或授权代表（签字或盖章）：</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50CBA0DF">
      <w:pPr>
        <w:spacing w:line="360" w:lineRule="auto"/>
        <w:ind w:firstLine="2640" w:firstLineChars="1100"/>
        <w:rPr>
          <w:rFonts w:ascii="宋体" w:hAnsi="宋体" w:cs="宋体"/>
          <w:sz w:val="32"/>
          <w:highlight w:val="none"/>
          <w:u w:val="single"/>
          <w:lang w:eastAsia="zh-CN"/>
        </w:rPr>
      </w:pPr>
      <w:r>
        <w:rPr>
          <w:rFonts w:hint="eastAsia" w:ascii="仿宋" w:hAnsi="仿宋" w:eastAsia="仿宋" w:cs="仿宋"/>
          <w:color w:val="auto"/>
          <w:sz w:val="24"/>
          <w:szCs w:val="24"/>
          <w:highlight w:val="none"/>
          <w:lang w:eastAsia="zh-CN"/>
        </w:rPr>
        <w:t xml:space="preserve">日    期： </w:t>
      </w:r>
      <w:r>
        <w:rPr>
          <w:rFonts w:hint="eastAsia" w:ascii="仿宋" w:hAnsi="仿宋" w:eastAsia="仿宋" w:cs="仿宋"/>
          <w:color w:val="auto"/>
          <w:sz w:val="24"/>
          <w:szCs w:val="24"/>
          <w:highlight w:val="none"/>
          <w:u w:val="single"/>
          <w:lang w:eastAsia="zh-CN"/>
        </w:rPr>
        <w:t xml:space="preserve">                                          </w:t>
      </w:r>
    </w:p>
    <w:p w14:paraId="34615A8B">
      <w:pPr>
        <w:rPr>
          <w:sz w:val="32"/>
          <w:szCs w:val="32"/>
          <w:highlight w:val="none"/>
          <w:lang w:val="zh-CN" w:eastAsia="zh-CN"/>
        </w:rPr>
      </w:pPr>
      <w:r>
        <w:rPr>
          <w:rFonts w:hint="eastAsia"/>
          <w:sz w:val="32"/>
          <w:szCs w:val="32"/>
          <w:highlight w:val="none"/>
          <w:lang w:val="zh-CN" w:eastAsia="zh-CN"/>
        </w:rPr>
        <w:br w:type="page"/>
      </w:r>
    </w:p>
    <w:p w14:paraId="7D0ECA05">
      <w:pPr>
        <w:tabs>
          <w:tab w:val="center" w:pos="4535"/>
          <w:tab w:val="left" w:pos="6521"/>
        </w:tabs>
        <w:spacing w:line="360" w:lineRule="auto"/>
        <w:jc w:val="both"/>
        <w:outlineLvl w:val="1"/>
        <w:rPr>
          <w:sz w:val="32"/>
          <w:szCs w:val="32"/>
          <w:highlight w:val="none"/>
          <w:lang w:val="zh-CN" w:eastAsia="zh-CN"/>
        </w:rPr>
      </w:pPr>
      <w:bookmarkStart w:id="171" w:name="_Toc2018"/>
      <w:r>
        <w:rPr>
          <w:rFonts w:hint="eastAsia"/>
          <w:sz w:val="32"/>
          <w:szCs w:val="32"/>
          <w:highlight w:val="none"/>
          <w:lang w:eastAsia="zh-CN"/>
        </w:rPr>
        <w:t>9、</w:t>
      </w:r>
      <w:r>
        <w:rPr>
          <w:rFonts w:hint="eastAsia"/>
          <w:sz w:val="32"/>
          <w:szCs w:val="32"/>
          <w:highlight w:val="none"/>
          <w:lang w:val="zh-CN" w:eastAsia="zh-CN"/>
        </w:rPr>
        <w:t>法定代表人身份证明或法定代表人授权委托书</w:t>
      </w:r>
      <w:bookmarkEnd w:id="171"/>
    </w:p>
    <w:p w14:paraId="420D8FB1">
      <w:pPr>
        <w:kinsoku/>
        <w:spacing w:line="576" w:lineRule="exact"/>
        <w:jc w:val="center"/>
        <w:outlineLvl w:val="2"/>
        <w:rPr>
          <w:rFonts w:hint="eastAsia" w:ascii="仿宋" w:hAnsi="仿宋" w:eastAsia="仿宋" w:cs="仿宋"/>
          <w:b/>
          <w:sz w:val="24"/>
          <w:szCs w:val="24"/>
          <w:highlight w:val="none"/>
          <w:lang w:eastAsia="zh-CN"/>
        </w:rPr>
      </w:pPr>
      <w:bookmarkStart w:id="172" w:name="_Toc23242"/>
      <w:r>
        <w:rPr>
          <w:rFonts w:hint="eastAsia" w:ascii="仿宋" w:hAnsi="仿宋" w:eastAsia="仿宋" w:cs="仿宋"/>
          <w:b/>
          <w:sz w:val="24"/>
          <w:szCs w:val="24"/>
          <w:highlight w:val="none"/>
          <w:lang w:eastAsia="zh-CN"/>
        </w:rPr>
        <w:t>（1）法定代表人身份证明</w:t>
      </w:r>
      <w:bookmarkEnd w:id="172"/>
    </w:p>
    <w:p w14:paraId="62EA719B">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投标人名称：</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77361F6E">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统一社会信用代码：</w:t>
      </w:r>
      <w:r>
        <w:rPr>
          <w:rFonts w:hint="eastAsia" w:ascii="仿宋" w:hAnsi="仿宋" w:eastAsia="仿宋" w:cs="仿宋"/>
          <w:sz w:val="24"/>
          <w:szCs w:val="24"/>
          <w:highlight w:val="none"/>
          <w:u w:val="single"/>
          <w:lang w:eastAsia="zh-CN"/>
        </w:rPr>
        <w:t xml:space="preserve">                                  </w:t>
      </w:r>
    </w:p>
    <w:p w14:paraId="3E38F9E4">
      <w:pPr>
        <w:kinsoku/>
        <w:spacing w:before="120" w:beforeLines="50" w:line="576" w:lineRule="exact"/>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注册地址：</w:t>
      </w:r>
      <w:r>
        <w:rPr>
          <w:rFonts w:hint="eastAsia" w:ascii="仿宋" w:hAnsi="仿宋" w:eastAsia="仿宋" w:cs="仿宋"/>
          <w:sz w:val="24"/>
          <w:szCs w:val="24"/>
          <w:highlight w:val="none"/>
          <w:u w:val="single"/>
          <w:lang w:eastAsia="zh-CN"/>
        </w:rPr>
        <w:t xml:space="preserve">                                          </w:t>
      </w:r>
    </w:p>
    <w:p w14:paraId="4409C2C6">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成立时间：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年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日；经营期限：</w:t>
      </w:r>
      <w:r>
        <w:rPr>
          <w:rFonts w:hint="eastAsia" w:ascii="仿宋" w:hAnsi="仿宋" w:eastAsia="仿宋" w:cs="仿宋"/>
          <w:sz w:val="24"/>
          <w:szCs w:val="24"/>
          <w:highlight w:val="none"/>
          <w:u w:val="single"/>
          <w:lang w:eastAsia="zh-CN"/>
        </w:rPr>
        <w:t xml:space="preserve">                  </w:t>
      </w:r>
    </w:p>
    <w:p w14:paraId="2700D5F0">
      <w:pPr>
        <w:kinsoku/>
        <w:spacing w:before="120" w:beforeLines="50" w:line="576" w:lineRule="exact"/>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经营范围：主营：</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；兼营：</w:t>
      </w:r>
      <w:r>
        <w:rPr>
          <w:rFonts w:hint="eastAsia" w:ascii="仿宋" w:hAnsi="仿宋" w:eastAsia="仿宋" w:cs="仿宋"/>
          <w:sz w:val="24"/>
          <w:szCs w:val="24"/>
          <w:highlight w:val="none"/>
          <w:u w:val="single"/>
          <w:lang w:eastAsia="zh-CN"/>
        </w:rPr>
        <w:t xml:space="preserve">              </w:t>
      </w:r>
    </w:p>
    <w:p w14:paraId="2055DE69">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姓名：</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性别：</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年龄：</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系</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（投标人名称）的法定代表人。</w:t>
      </w:r>
    </w:p>
    <w:p w14:paraId="2F2124EB">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特此证明。</w:t>
      </w:r>
    </w:p>
    <w:p w14:paraId="6433186A">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附：法定代表人身份证复印件</w:t>
      </w:r>
    </w:p>
    <w:tbl>
      <w:tblPr>
        <w:tblStyle w:val="20"/>
        <w:tblW w:w="0" w:type="auto"/>
        <w:jc w:val="center"/>
        <w:tblLayout w:type="fixed"/>
        <w:tblCellMar>
          <w:top w:w="0" w:type="dxa"/>
          <w:left w:w="108" w:type="dxa"/>
          <w:bottom w:w="0" w:type="dxa"/>
          <w:right w:w="108" w:type="dxa"/>
        </w:tblCellMar>
      </w:tblPr>
      <w:tblGrid>
        <w:gridCol w:w="4804"/>
      </w:tblGrid>
      <w:tr w14:paraId="33377B81">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1F8557B8">
            <w:pPr>
              <w:kinsoku/>
              <w:spacing w:line="576" w:lineRule="exact"/>
              <w:jc w:val="center"/>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法定代表人身份证</w:t>
            </w:r>
          </w:p>
          <w:p w14:paraId="12356B3E">
            <w:pPr>
              <w:kinsoku/>
              <w:spacing w:line="576" w:lineRule="exact"/>
              <w:jc w:val="center"/>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val="zh-CN" w:eastAsia="zh-CN"/>
              </w:rPr>
              <w:t>正</w:t>
            </w:r>
            <w:r>
              <w:rPr>
                <w:rFonts w:hint="eastAsia" w:ascii="仿宋" w:hAnsi="仿宋" w:eastAsia="仿宋" w:cs="仿宋"/>
                <w:sz w:val="24"/>
                <w:szCs w:val="24"/>
                <w:highlight w:val="none"/>
                <w:lang w:eastAsia="zh-CN"/>
              </w:rPr>
              <w:t>反</w:t>
            </w:r>
            <w:r>
              <w:rPr>
                <w:rFonts w:hint="eastAsia" w:ascii="仿宋" w:hAnsi="仿宋" w:eastAsia="仿宋" w:cs="仿宋"/>
                <w:sz w:val="24"/>
                <w:szCs w:val="24"/>
                <w:highlight w:val="none"/>
                <w:lang w:val="zh-CN" w:eastAsia="zh-CN"/>
              </w:rPr>
              <w:t>面复印件</w:t>
            </w:r>
          </w:p>
        </w:tc>
      </w:tr>
    </w:tbl>
    <w:p w14:paraId="5EE87FB7">
      <w:pPr>
        <w:kinsoku/>
        <w:spacing w:before="120" w:beforeLines="50"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注：仅限法定代表人参加投标时提供。</w:t>
      </w:r>
    </w:p>
    <w:p w14:paraId="4368976F">
      <w:pPr>
        <w:kinsoku/>
        <w:spacing w:line="576" w:lineRule="exact"/>
        <w:ind w:firstLine="3840" w:firstLineChars="16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投标人名称（盖章）：</w:t>
      </w:r>
      <w:r>
        <w:rPr>
          <w:rFonts w:hint="eastAsia" w:ascii="仿宋" w:hAnsi="仿宋" w:eastAsia="仿宋" w:cs="仿宋"/>
          <w:sz w:val="24"/>
          <w:szCs w:val="24"/>
          <w:highlight w:val="none"/>
          <w:u w:val="single"/>
          <w:lang w:eastAsia="zh-CN"/>
        </w:rPr>
        <w:t xml:space="preserve">                   </w:t>
      </w:r>
    </w:p>
    <w:p w14:paraId="2EC5C1E5">
      <w:pPr>
        <w:kinsoku/>
        <w:spacing w:line="576" w:lineRule="exact"/>
        <w:ind w:firstLine="3840" w:firstLineChars="1600"/>
        <w:rPr>
          <w:rFonts w:hint="eastAsia" w:ascii="仿宋" w:hAnsi="仿宋" w:eastAsia="仿宋" w:cs="仿宋"/>
          <w:b/>
          <w:sz w:val="24"/>
          <w:szCs w:val="24"/>
          <w:highlight w:val="none"/>
          <w:lang w:eastAsia="zh-CN"/>
        </w:rPr>
      </w:pPr>
      <w:r>
        <w:rPr>
          <w:rFonts w:hint="eastAsia" w:ascii="仿宋" w:hAnsi="仿宋" w:eastAsia="仿宋" w:cs="仿宋"/>
          <w:sz w:val="24"/>
          <w:szCs w:val="24"/>
          <w:highlight w:val="none"/>
          <w:lang w:eastAsia="zh-CN"/>
        </w:rPr>
        <w:t>日    期：</w:t>
      </w:r>
      <w:r>
        <w:rPr>
          <w:rFonts w:hint="eastAsia" w:ascii="仿宋" w:hAnsi="仿宋" w:eastAsia="仿宋" w:cs="仿宋"/>
          <w:sz w:val="24"/>
          <w:szCs w:val="24"/>
          <w:highlight w:val="none"/>
          <w:u w:val="single"/>
          <w:lang w:eastAsia="zh-CN"/>
        </w:rPr>
        <w:t xml:space="preserve">                             </w:t>
      </w:r>
    </w:p>
    <w:p w14:paraId="16FE24E3">
      <w:pPr>
        <w:kinsoku/>
        <w:spacing w:line="576" w:lineRule="exact"/>
        <w:jc w:val="center"/>
        <w:outlineLvl w:val="2"/>
        <w:rPr>
          <w:rFonts w:hint="eastAsia" w:ascii="仿宋" w:hAnsi="仿宋" w:eastAsia="仿宋" w:cs="仿宋"/>
          <w:b/>
          <w:color w:val="auto"/>
          <w:sz w:val="24"/>
          <w:szCs w:val="24"/>
          <w:highlight w:val="none"/>
          <w:lang w:eastAsia="zh-CN"/>
        </w:rPr>
      </w:pPr>
      <w:r>
        <w:rPr>
          <w:rFonts w:hint="eastAsia" w:ascii="仿宋" w:hAnsi="仿宋" w:eastAsia="仿宋" w:cs="仿宋"/>
          <w:b/>
          <w:sz w:val="24"/>
          <w:szCs w:val="24"/>
          <w:highlight w:val="none"/>
          <w:lang w:eastAsia="zh-CN"/>
        </w:rPr>
        <w:br w:type="page"/>
      </w:r>
      <w:bookmarkStart w:id="173" w:name="_Toc20440"/>
      <w:r>
        <w:rPr>
          <w:rFonts w:hint="eastAsia" w:ascii="仿宋" w:hAnsi="仿宋" w:eastAsia="仿宋" w:cs="仿宋"/>
          <w:b/>
          <w:sz w:val="24"/>
          <w:szCs w:val="24"/>
          <w:highlight w:val="none"/>
          <w:lang w:eastAsia="zh-CN"/>
        </w:rPr>
        <w:t>（2）法定代表人</w:t>
      </w:r>
      <w:r>
        <w:rPr>
          <w:rFonts w:hint="eastAsia" w:ascii="仿宋" w:hAnsi="仿宋" w:eastAsia="仿宋" w:cs="仿宋"/>
          <w:b/>
          <w:color w:val="auto"/>
          <w:sz w:val="24"/>
          <w:szCs w:val="24"/>
          <w:highlight w:val="none"/>
          <w:lang w:eastAsia="zh-CN"/>
        </w:rPr>
        <w:t>授权委托书</w:t>
      </w:r>
      <w:bookmarkEnd w:id="173"/>
    </w:p>
    <w:p w14:paraId="2D97F77A">
      <w:pPr>
        <w:kinsoku/>
        <w:spacing w:line="576" w:lineRule="exact"/>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u w:val="single"/>
          <w:lang w:eastAsia="zh-CN"/>
        </w:rPr>
        <w:t xml:space="preserve">   （采购人名称）    ：</w:t>
      </w:r>
    </w:p>
    <w:p w14:paraId="71D6F3D3">
      <w:pPr>
        <w:kinsoku/>
        <w:spacing w:line="576"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zh-CN" w:eastAsia="zh-CN"/>
        </w:rPr>
        <w:t>注册于</w:t>
      </w:r>
      <w:r>
        <w:rPr>
          <w:rFonts w:hint="eastAsia" w:ascii="仿宋" w:hAnsi="仿宋" w:eastAsia="仿宋" w:cs="仿宋"/>
          <w:color w:val="auto"/>
          <w:sz w:val="24"/>
          <w:szCs w:val="24"/>
          <w:highlight w:val="none"/>
          <w:u w:val="single"/>
          <w:lang w:val="zh-CN" w:eastAsia="zh-CN"/>
        </w:rPr>
        <w:t xml:space="preserve">      （工商行政管理局名称）</w:t>
      </w:r>
      <w:r>
        <w:rPr>
          <w:rFonts w:hint="eastAsia" w:ascii="仿宋" w:hAnsi="仿宋" w:eastAsia="仿宋" w:cs="仿宋"/>
          <w:color w:val="auto"/>
          <w:sz w:val="24"/>
          <w:szCs w:val="24"/>
          <w:highlight w:val="none"/>
          <w:lang w:val="zh-CN" w:eastAsia="zh-CN"/>
        </w:rPr>
        <w:t>之</w:t>
      </w:r>
      <w:r>
        <w:rPr>
          <w:rFonts w:hint="eastAsia" w:ascii="仿宋" w:hAnsi="仿宋" w:eastAsia="仿宋" w:cs="仿宋"/>
          <w:color w:val="auto"/>
          <w:sz w:val="24"/>
          <w:szCs w:val="24"/>
          <w:highlight w:val="none"/>
          <w:u w:val="single"/>
          <w:lang w:val="zh-CN" w:eastAsia="zh-CN"/>
        </w:rPr>
        <w:t xml:space="preserve">     （投标人全称）</w:t>
      </w:r>
      <w:r>
        <w:rPr>
          <w:rFonts w:hint="eastAsia" w:ascii="仿宋" w:hAnsi="仿宋" w:eastAsia="仿宋" w:cs="仿宋"/>
          <w:color w:val="auto"/>
          <w:sz w:val="24"/>
          <w:szCs w:val="24"/>
          <w:highlight w:val="none"/>
          <w:lang w:val="zh-CN" w:eastAsia="zh-CN"/>
        </w:rPr>
        <w:t>的法定代表人</w:t>
      </w:r>
      <w:r>
        <w:rPr>
          <w:rFonts w:hint="eastAsia" w:ascii="仿宋" w:hAnsi="仿宋" w:eastAsia="仿宋" w:cs="仿宋"/>
          <w:color w:val="auto"/>
          <w:sz w:val="24"/>
          <w:szCs w:val="24"/>
          <w:highlight w:val="none"/>
          <w:u w:val="single"/>
          <w:lang w:val="zh-CN" w:eastAsia="zh-CN"/>
        </w:rPr>
        <w:t xml:space="preserve">      （姓名）</w:t>
      </w:r>
      <w:r>
        <w:rPr>
          <w:rFonts w:hint="eastAsia" w:ascii="仿宋" w:hAnsi="仿宋" w:eastAsia="仿宋" w:cs="仿宋"/>
          <w:color w:val="auto"/>
          <w:sz w:val="24"/>
          <w:szCs w:val="24"/>
          <w:highlight w:val="none"/>
          <w:lang w:val="zh-CN" w:eastAsia="zh-CN"/>
        </w:rPr>
        <w:t>授权</w:t>
      </w:r>
      <w:r>
        <w:rPr>
          <w:rFonts w:hint="eastAsia" w:ascii="仿宋" w:hAnsi="仿宋" w:eastAsia="仿宋" w:cs="仿宋"/>
          <w:color w:val="auto"/>
          <w:sz w:val="24"/>
          <w:szCs w:val="24"/>
          <w:highlight w:val="none"/>
          <w:u w:val="single"/>
          <w:lang w:val="zh-CN" w:eastAsia="zh-CN"/>
        </w:rPr>
        <w:t xml:space="preserve">     （授权代表姓名）</w:t>
      </w:r>
      <w:r>
        <w:rPr>
          <w:rFonts w:hint="eastAsia" w:ascii="仿宋" w:hAnsi="仿宋" w:eastAsia="仿宋" w:cs="仿宋"/>
          <w:color w:val="auto"/>
          <w:sz w:val="24"/>
          <w:szCs w:val="24"/>
          <w:highlight w:val="none"/>
          <w:lang w:eastAsia="zh-CN"/>
        </w:rPr>
        <w:t>为我方合法委托代理人。代理人根据授权，以我方名义签署、澄清、说明、递交、撤回、修改</w:t>
      </w:r>
      <w:r>
        <w:rPr>
          <w:rFonts w:hint="eastAsia" w:ascii="仿宋" w:hAnsi="仿宋" w:eastAsia="仿宋" w:cs="仿宋"/>
          <w:color w:val="auto"/>
          <w:sz w:val="24"/>
          <w:szCs w:val="24"/>
          <w:highlight w:val="none"/>
          <w:u w:val="single"/>
          <w:lang w:eastAsia="zh-CN"/>
        </w:rPr>
        <w:t xml:space="preserve">     （项目名称）           </w:t>
      </w:r>
      <w:r>
        <w:rPr>
          <w:rFonts w:hint="eastAsia" w:ascii="仿宋" w:hAnsi="仿宋" w:eastAsia="仿宋" w:cs="仿宋"/>
          <w:color w:val="auto"/>
          <w:sz w:val="24"/>
          <w:szCs w:val="24"/>
          <w:highlight w:val="none"/>
          <w:lang w:eastAsia="zh-CN"/>
        </w:rPr>
        <w:t>投标文件、签订合同和处理有关事宜，其法律后果由我方承担。</w:t>
      </w:r>
    </w:p>
    <w:p w14:paraId="36E6E5DC">
      <w:pPr>
        <w:kinsoku/>
        <w:spacing w:line="576" w:lineRule="exact"/>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代理人无转委托权。</w:t>
      </w:r>
    </w:p>
    <w:p w14:paraId="2848B7C1">
      <w:pPr>
        <w:kinsoku/>
        <w:spacing w:line="576" w:lineRule="exact"/>
        <w:ind w:firstLine="63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说明：</w:t>
      </w:r>
      <w:r>
        <w:rPr>
          <w:rFonts w:hint="eastAsia" w:ascii="仿宋" w:hAnsi="仿宋" w:eastAsia="仿宋" w:cs="仿宋"/>
          <w:color w:val="auto"/>
          <w:sz w:val="24"/>
          <w:szCs w:val="24"/>
          <w:highlight w:val="none"/>
          <w:lang w:eastAsia="zh-CN"/>
        </w:rPr>
        <w:t>本授权委托书自签发之日起生效，授权委托书有效期自投标有效期届满之日起</w:t>
      </w:r>
      <w:r>
        <w:rPr>
          <w:rFonts w:hint="eastAsia" w:ascii="仿宋" w:hAnsi="仿宋" w:eastAsia="仿宋" w:cs="仿宋"/>
          <w:color w:val="auto"/>
          <w:sz w:val="24"/>
          <w:szCs w:val="24"/>
          <w:highlight w:val="none"/>
          <w:lang w:val="zh-CN" w:eastAsia="zh-CN"/>
        </w:rPr>
        <w:t>失效，仅限授权代表参加投标时提供。</w:t>
      </w:r>
    </w:p>
    <w:p w14:paraId="79546E16">
      <w:pPr>
        <w:kinsoku/>
        <w:spacing w:line="576"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（盖      章） </w:t>
      </w:r>
    </w:p>
    <w:p w14:paraId="483BD9D9">
      <w:pPr>
        <w:kinsoku/>
        <w:spacing w:line="576"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334844D4">
      <w:pPr>
        <w:kinsoku/>
        <w:spacing w:line="576"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身份证号：</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4E6E7B4A">
      <w:pPr>
        <w:kinsoku/>
        <w:spacing w:line="576"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lang w:val="zh-CN" w:eastAsia="zh-CN"/>
        </w:rPr>
        <w:t>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w:t>
      </w:r>
      <w:r>
        <w:rPr>
          <w:rFonts w:hint="eastAsia" w:ascii="仿宋" w:hAnsi="仿宋" w:eastAsia="仿宋" w:cs="仿宋"/>
          <w:sz w:val="24"/>
          <w:szCs w:val="24"/>
          <w:highlight w:val="none"/>
          <w:lang w:eastAsia="zh-CN"/>
        </w:rPr>
        <w:t xml:space="preserve">      字）</w:t>
      </w:r>
    </w:p>
    <w:p w14:paraId="429BD8DD">
      <w:pPr>
        <w:kinsoku/>
        <w:spacing w:line="576"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796F242">
      <w:pPr>
        <w:kinsoku/>
        <w:spacing w:line="576"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08CA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8" w:hRule="atLeast"/>
          <w:jc w:val="center"/>
        </w:trPr>
        <w:tc>
          <w:tcPr>
            <w:tcW w:w="4618" w:type="dxa"/>
            <w:vAlign w:val="center"/>
          </w:tcPr>
          <w:p w14:paraId="2CCC61A4">
            <w:pPr>
              <w:kinsoku/>
              <w:spacing w:line="576" w:lineRule="exact"/>
              <w:jc w:val="center"/>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法定代表人身份证复印件</w:t>
            </w:r>
          </w:p>
          <w:p w14:paraId="40DE44BD">
            <w:pPr>
              <w:kinsoku/>
              <w:spacing w:line="576" w:lineRule="exact"/>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w:t>
            </w:r>
          </w:p>
        </w:tc>
        <w:tc>
          <w:tcPr>
            <w:tcW w:w="4618" w:type="dxa"/>
            <w:vAlign w:val="center"/>
          </w:tcPr>
          <w:p w14:paraId="5679884F">
            <w:pPr>
              <w:kinsoku/>
              <w:spacing w:line="576" w:lineRule="exact"/>
              <w:jc w:val="center"/>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授权代表身份证复印件</w:t>
            </w:r>
          </w:p>
          <w:p w14:paraId="393EECB9">
            <w:pPr>
              <w:kinsoku/>
              <w:spacing w:line="576" w:lineRule="exact"/>
              <w:jc w:val="center"/>
              <w:rPr>
                <w:rFonts w:hint="eastAsia" w:ascii="仿宋" w:hAnsi="仿宋" w:eastAsia="仿宋" w:cs="仿宋"/>
                <w:bCs/>
                <w:sz w:val="24"/>
                <w:szCs w:val="24"/>
                <w:highlight w:val="none"/>
                <w:lang w:eastAsia="zh-CN"/>
              </w:rPr>
            </w:pPr>
            <w:r>
              <w:rPr>
                <w:rFonts w:hint="eastAsia" w:ascii="仿宋" w:hAnsi="仿宋" w:eastAsia="仿宋" w:cs="仿宋"/>
                <w:sz w:val="24"/>
                <w:szCs w:val="24"/>
                <w:highlight w:val="none"/>
                <w:lang w:val="zh-CN" w:eastAsia="zh-CN"/>
              </w:rPr>
              <w:t>（正反两面）</w:t>
            </w:r>
          </w:p>
        </w:tc>
      </w:tr>
    </w:tbl>
    <w:p w14:paraId="14496019">
      <w:pPr>
        <w:rPr>
          <w:highlight w:val="none"/>
          <w:lang w:eastAsia="zh-CN"/>
        </w:rPr>
      </w:pPr>
    </w:p>
    <w:p w14:paraId="1A431DC0">
      <w:pPr>
        <w:kinsoku/>
        <w:spacing w:line="576" w:lineRule="exact"/>
        <w:ind w:firstLine="482" w:firstLineChars="200"/>
        <w:jc w:val="both"/>
        <w:outlineLvl w:val="1"/>
        <w:rPr>
          <w:b/>
          <w:bCs/>
          <w:sz w:val="32"/>
          <w:szCs w:val="32"/>
          <w:highlight w:val="none"/>
          <w:lang w:eastAsia="zh-CN"/>
        </w:rPr>
      </w:pPr>
      <w:bookmarkStart w:id="174" w:name="_Toc12175"/>
      <w:r>
        <w:rPr>
          <w:rFonts w:hint="eastAsia" w:ascii="仿宋" w:hAnsi="仿宋" w:eastAsia="仿宋" w:cs="仿宋"/>
          <w:b/>
          <w:bCs/>
          <w:sz w:val="24"/>
          <w:szCs w:val="24"/>
          <w:highlight w:val="none"/>
          <w:lang w:eastAsia="zh-CN"/>
        </w:rPr>
        <w:t>注：授权代表必须为本单位在职员工，附开标截止时间前6个月内任意时段社会保障资金缴纳证明或劳动合同。</w:t>
      </w:r>
    </w:p>
    <w:p w14:paraId="34838E5F">
      <w:pPr>
        <w:kinsoku/>
        <w:spacing w:line="576" w:lineRule="exact"/>
        <w:jc w:val="both"/>
        <w:outlineLvl w:val="1"/>
        <w:rPr>
          <w:sz w:val="32"/>
          <w:szCs w:val="32"/>
          <w:highlight w:val="none"/>
          <w:lang w:eastAsia="zh-CN"/>
        </w:rPr>
      </w:pPr>
      <w:r>
        <w:rPr>
          <w:rFonts w:hint="eastAsia"/>
          <w:sz w:val="32"/>
          <w:szCs w:val="32"/>
          <w:highlight w:val="none"/>
          <w:lang w:eastAsia="zh-CN"/>
        </w:rPr>
        <w:t>10、投标方案说明</w:t>
      </w:r>
      <w:bookmarkEnd w:id="174"/>
    </w:p>
    <w:p w14:paraId="0E994498">
      <w:pPr>
        <w:pStyle w:val="14"/>
        <w:kinsoku/>
        <w:spacing w:line="576" w:lineRule="exact"/>
        <w:rPr>
          <w:rFonts w:hint="eastAsia" w:ascii="仿宋_GB2312" w:hAnsi="仿宋_GB2312" w:eastAsia="仿宋_GB2312" w:cs="仿宋_GB2312"/>
          <w:sz w:val="32"/>
          <w:szCs w:val="32"/>
          <w:highlight w:val="none"/>
          <w:lang w:eastAsia="zh-CN"/>
        </w:rPr>
      </w:pPr>
    </w:p>
    <w:p w14:paraId="5B4F8CC9">
      <w:pPr>
        <w:pStyle w:val="14"/>
        <w:kinsoku/>
        <w:spacing w:line="576" w:lineRule="exact"/>
        <w:rPr>
          <w:rFonts w:hint="eastAsia" w:ascii="仿宋_GB2312" w:hAnsi="仿宋_GB2312" w:eastAsia="仿宋_GB2312" w:cs="仿宋_GB2312"/>
          <w:sz w:val="32"/>
          <w:szCs w:val="32"/>
          <w:highlight w:val="none"/>
          <w:lang w:eastAsia="zh-CN"/>
        </w:rPr>
      </w:pPr>
    </w:p>
    <w:p w14:paraId="35CA2396">
      <w:pPr>
        <w:pStyle w:val="27"/>
        <w:kinsoku/>
        <w:spacing w:line="576" w:lineRule="exact"/>
        <w:ind w:firstLine="480"/>
        <w:rPr>
          <w:rFonts w:hint="eastAsia" w:ascii="仿宋" w:hAnsi="仿宋" w:eastAsia="仿宋" w:cs="仿宋"/>
          <w:highlight w:val="none"/>
          <w:lang w:eastAsia="zh-CN"/>
        </w:rPr>
      </w:pPr>
      <w:r>
        <w:rPr>
          <w:rFonts w:hint="eastAsia" w:ascii="仿宋" w:hAnsi="仿宋" w:eastAsia="仿宋" w:cs="仿宋"/>
          <w:highlight w:val="none"/>
          <w:lang w:eastAsia="zh-CN"/>
        </w:rPr>
        <w:t>格式自定，参照招</w:t>
      </w:r>
      <w:r>
        <w:rPr>
          <w:rFonts w:hint="eastAsia" w:ascii="仿宋" w:hAnsi="仿宋" w:eastAsia="仿宋" w:cs="仿宋"/>
          <w:color w:val="auto"/>
          <w:highlight w:val="none"/>
          <w:lang w:eastAsia="zh-CN"/>
        </w:rPr>
        <w:t>标文件中规定的评标方法中各条款的要求，结合招标内容及要求编制投标</w:t>
      </w:r>
      <w:r>
        <w:rPr>
          <w:rFonts w:hint="eastAsia" w:ascii="仿宋" w:hAnsi="仿宋" w:eastAsia="仿宋" w:cs="仿宋"/>
          <w:highlight w:val="none"/>
          <w:lang w:eastAsia="zh-CN"/>
        </w:rPr>
        <w:t>方案。</w:t>
      </w:r>
    </w:p>
    <w:p w14:paraId="1FFD4055">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04EBFE95">
      <w:pPr>
        <w:pStyle w:val="27"/>
        <w:kinsoku/>
        <w:spacing w:line="576" w:lineRule="exact"/>
        <w:ind w:firstLine="0" w:firstLineChars="0"/>
        <w:outlineLvl w:val="1"/>
        <w:rPr>
          <w:sz w:val="32"/>
          <w:szCs w:val="32"/>
          <w:highlight w:val="none"/>
          <w:lang w:eastAsia="zh-CN"/>
        </w:rPr>
      </w:pPr>
      <w:bookmarkStart w:id="175" w:name="_Toc31537"/>
      <w:r>
        <w:rPr>
          <w:rFonts w:hint="eastAsia"/>
          <w:sz w:val="32"/>
          <w:szCs w:val="32"/>
          <w:highlight w:val="none"/>
          <w:lang w:eastAsia="zh-CN"/>
        </w:rPr>
        <w:t>11、业绩的有关证明材料</w:t>
      </w:r>
      <w:bookmarkEnd w:id="175"/>
    </w:p>
    <w:p w14:paraId="532C644C">
      <w:pPr>
        <w:kinsoku/>
        <w:spacing w:line="576" w:lineRule="exact"/>
        <w:jc w:val="both"/>
        <w:rPr>
          <w:sz w:val="32"/>
          <w:szCs w:val="32"/>
          <w:highlight w:val="none"/>
          <w:lang w:eastAsia="zh-CN"/>
        </w:rPr>
      </w:pPr>
    </w:p>
    <w:p w14:paraId="3007B830">
      <w:pPr>
        <w:pStyle w:val="17"/>
        <w:spacing w:before="0" w:beforeAutospacing="0" w:after="0" w:afterAutospacing="0"/>
        <w:jc w:val="center"/>
        <w:rPr>
          <w:rFonts w:hint="eastAsia" w:eastAsia="宋体"/>
          <w:b/>
          <w:bCs/>
          <w:sz w:val="48"/>
          <w:szCs w:val="48"/>
          <w:highlight w:val="none"/>
          <w:lang w:val="zh-CN" w:eastAsia="zh-CN"/>
        </w:rPr>
      </w:pPr>
      <w:bookmarkStart w:id="176" w:name="_Toc23840"/>
      <w:r>
        <w:rPr>
          <w:rFonts w:hint="eastAsia" w:eastAsia="宋体"/>
          <w:b/>
          <w:bCs/>
          <w:sz w:val="48"/>
          <w:szCs w:val="48"/>
          <w:highlight w:val="none"/>
          <w:lang w:eastAsia="zh-CN"/>
        </w:rPr>
        <w:t>业绩的有关证明材料</w:t>
      </w:r>
      <w:bookmarkEnd w:id="176"/>
    </w:p>
    <w:tbl>
      <w:tblPr>
        <w:tblStyle w:val="20"/>
        <w:tblW w:w="947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949"/>
        <w:gridCol w:w="1800"/>
        <w:gridCol w:w="3500"/>
        <w:gridCol w:w="1489"/>
      </w:tblGrid>
      <w:tr w14:paraId="024593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39" w:type="dxa"/>
            <w:vAlign w:val="center"/>
          </w:tcPr>
          <w:p w14:paraId="14B7E502">
            <w:pPr>
              <w:kinsoku/>
              <w:spacing w:line="576"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49" w:type="dxa"/>
            <w:vAlign w:val="center"/>
          </w:tcPr>
          <w:p w14:paraId="3046E97A">
            <w:pPr>
              <w:kinsoku/>
              <w:spacing w:line="576"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合同签订时间</w:t>
            </w:r>
          </w:p>
        </w:tc>
        <w:tc>
          <w:tcPr>
            <w:tcW w:w="1800" w:type="dxa"/>
            <w:vAlign w:val="center"/>
          </w:tcPr>
          <w:p w14:paraId="70CAF2F9">
            <w:pPr>
              <w:kinsoku/>
              <w:spacing w:line="576"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用户名称</w:t>
            </w:r>
          </w:p>
        </w:tc>
        <w:tc>
          <w:tcPr>
            <w:tcW w:w="3500" w:type="dxa"/>
            <w:vAlign w:val="center"/>
          </w:tcPr>
          <w:p w14:paraId="769A1500">
            <w:pPr>
              <w:kinsoku/>
              <w:spacing w:line="576"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tc>
        <w:tc>
          <w:tcPr>
            <w:tcW w:w="1489" w:type="dxa"/>
            <w:vAlign w:val="center"/>
          </w:tcPr>
          <w:p w14:paraId="7A9044FD">
            <w:pPr>
              <w:kinsoku/>
              <w:spacing w:line="576"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tc>
      </w:tr>
      <w:tr w14:paraId="210107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39" w:type="dxa"/>
          </w:tcPr>
          <w:p w14:paraId="631E5499">
            <w:pPr>
              <w:kinsoku/>
              <w:spacing w:line="576" w:lineRule="exact"/>
              <w:rPr>
                <w:rFonts w:hint="eastAsia" w:ascii="仿宋" w:hAnsi="仿宋" w:eastAsia="仿宋" w:cs="仿宋"/>
                <w:sz w:val="24"/>
                <w:szCs w:val="24"/>
                <w:highlight w:val="none"/>
              </w:rPr>
            </w:pPr>
          </w:p>
        </w:tc>
        <w:tc>
          <w:tcPr>
            <w:tcW w:w="1949" w:type="dxa"/>
          </w:tcPr>
          <w:p w14:paraId="788FCCCA">
            <w:pPr>
              <w:kinsoku/>
              <w:spacing w:line="576" w:lineRule="exact"/>
              <w:rPr>
                <w:rFonts w:hint="eastAsia" w:ascii="仿宋" w:hAnsi="仿宋" w:eastAsia="仿宋" w:cs="仿宋"/>
                <w:sz w:val="24"/>
                <w:szCs w:val="24"/>
                <w:highlight w:val="none"/>
              </w:rPr>
            </w:pPr>
          </w:p>
        </w:tc>
        <w:tc>
          <w:tcPr>
            <w:tcW w:w="1800" w:type="dxa"/>
          </w:tcPr>
          <w:p w14:paraId="5BB6B6D4">
            <w:pPr>
              <w:kinsoku/>
              <w:spacing w:line="576" w:lineRule="exact"/>
              <w:rPr>
                <w:rFonts w:hint="eastAsia" w:ascii="仿宋" w:hAnsi="仿宋" w:eastAsia="仿宋" w:cs="仿宋"/>
                <w:sz w:val="24"/>
                <w:szCs w:val="24"/>
                <w:highlight w:val="none"/>
              </w:rPr>
            </w:pPr>
          </w:p>
        </w:tc>
        <w:tc>
          <w:tcPr>
            <w:tcW w:w="3500" w:type="dxa"/>
          </w:tcPr>
          <w:p w14:paraId="1A96DC0E">
            <w:pPr>
              <w:kinsoku/>
              <w:spacing w:line="576" w:lineRule="exact"/>
              <w:rPr>
                <w:rFonts w:hint="eastAsia" w:ascii="仿宋" w:hAnsi="仿宋" w:eastAsia="仿宋" w:cs="仿宋"/>
                <w:sz w:val="24"/>
                <w:szCs w:val="24"/>
                <w:highlight w:val="none"/>
              </w:rPr>
            </w:pPr>
          </w:p>
        </w:tc>
        <w:tc>
          <w:tcPr>
            <w:tcW w:w="1489" w:type="dxa"/>
          </w:tcPr>
          <w:p w14:paraId="232C13D6">
            <w:pPr>
              <w:kinsoku/>
              <w:spacing w:line="576" w:lineRule="exact"/>
              <w:rPr>
                <w:rFonts w:hint="eastAsia" w:ascii="仿宋" w:hAnsi="仿宋" w:eastAsia="仿宋" w:cs="仿宋"/>
                <w:sz w:val="24"/>
                <w:szCs w:val="24"/>
                <w:highlight w:val="none"/>
              </w:rPr>
            </w:pPr>
          </w:p>
        </w:tc>
      </w:tr>
      <w:tr w14:paraId="2CD744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39" w:type="dxa"/>
          </w:tcPr>
          <w:p w14:paraId="4C2D17F5">
            <w:pPr>
              <w:kinsoku/>
              <w:spacing w:line="576" w:lineRule="exact"/>
              <w:rPr>
                <w:rFonts w:hint="eastAsia" w:ascii="仿宋" w:hAnsi="仿宋" w:eastAsia="仿宋" w:cs="仿宋"/>
                <w:sz w:val="24"/>
                <w:szCs w:val="24"/>
                <w:highlight w:val="none"/>
              </w:rPr>
            </w:pPr>
          </w:p>
        </w:tc>
        <w:tc>
          <w:tcPr>
            <w:tcW w:w="1949" w:type="dxa"/>
          </w:tcPr>
          <w:p w14:paraId="116E5DF4">
            <w:pPr>
              <w:kinsoku/>
              <w:spacing w:line="576" w:lineRule="exact"/>
              <w:rPr>
                <w:rFonts w:hint="eastAsia" w:ascii="仿宋" w:hAnsi="仿宋" w:eastAsia="仿宋" w:cs="仿宋"/>
                <w:sz w:val="24"/>
                <w:szCs w:val="24"/>
                <w:highlight w:val="none"/>
              </w:rPr>
            </w:pPr>
          </w:p>
        </w:tc>
        <w:tc>
          <w:tcPr>
            <w:tcW w:w="1800" w:type="dxa"/>
          </w:tcPr>
          <w:p w14:paraId="6A8C47BC">
            <w:pPr>
              <w:kinsoku/>
              <w:spacing w:line="576" w:lineRule="exact"/>
              <w:rPr>
                <w:rFonts w:hint="eastAsia" w:ascii="仿宋" w:hAnsi="仿宋" w:eastAsia="仿宋" w:cs="仿宋"/>
                <w:sz w:val="24"/>
                <w:szCs w:val="24"/>
                <w:highlight w:val="none"/>
              </w:rPr>
            </w:pPr>
          </w:p>
        </w:tc>
        <w:tc>
          <w:tcPr>
            <w:tcW w:w="3500" w:type="dxa"/>
          </w:tcPr>
          <w:p w14:paraId="2181FA08">
            <w:pPr>
              <w:kinsoku/>
              <w:spacing w:line="576" w:lineRule="exact"/>
              <w:rPr>
                <w:rFonts w:hint="eastAsia" w:ascii="仿宋" w:hAnsi="仿宋" w:eastAsia="仿宋" w:cs="仿宋"/>
                <w:sz w:val="24"/>
                <w:szCs w:val="24"/>
                <w:highlight w:val="none"/>
              </w:rPr>
            </w:pPr>
          </w:p>
        </w:tc>
        <w:tc>
          <w:tcPr>
            <w:tcW w:w="1489" w:type="dxa"/>
          </w:tcPr>
          <w:p w14:paraId="70D85EA2">
            <w:pPr>
              <w:kinsoku/>
              <w:spacing w:line="576" w:lineRule="exact"/>
              <w:rPr>
                <w:rFonts w:hint="eastAsia" w:ascii="仿宋" w:hAnsi="仿宋" w:eastAsia="仿宋" w:cs="仿宋"/>
                <w:sz w:val="24"/>
                <w:szCs w:val="24"/>
                <w:highlight w:val="none"/>
              </w:rPr>
            </w:pPr>
          </w:p>
        </w:tc>
      </w:tr>
      <w:tr w14:paraId="5F1E42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39" w:type="dxa"/>
          </w:tcPr>
          <w:p w14:paraId="67D0B2E6">
            <w:pPr>
              <w:kinsoku/>
              <w:spacing w:line="576" w:lineRule="exact"/>
              <w:rPr>
                <w:rFonts w:hint="eastAsia" w:ascii="仿宋" w:hAnsi="仿宋" w:eastAsia="仿宋" w:cs="仿宋"/>
                <w:sz w:val="24"/>
                <w:szCs w:val="24"/>
                <w:highlight w:val="none"/>
              </w:rPr>
            </w:pPr>
          </w:p>
        </w:tc>
        <w:tc>
          <w:tcPr>
            <w:tcW w:w="1949" w:type="dxa"/>
          </w:tcPr>
          <w:p w14:paraId="3BC0B51B">
            <w:pPr>
              <w:kinsoku/>
              <w:spacing w:line="576" w:lineRule="exact"/>
              <w:rPr>
                <w:rFonts w:hint="eastAsia" w:ascii="仿宋" w:hAnsi="仿宋" w:eastAsia="仿宋" w:cs="仿宋"/>
                <w:sz w:val="24"/>
                <w:szCs w:val="24"/>
                <w:highlight w:val="none"/>
              </w:rPr>
            </w:pPr>
          </w:p>
        </w:tc>
        <w:tc>
          <w:tcPr>
            <w:tcW w:w="1800" w:type="dxa"/>
          </w:tcPr>
          <w:p w14:paraId="27F4367B">
            <w:pPr>
              <w:kinsoku/>
              <w:spacing w:line="576" w:lineRule="exact"/>
              <w:rPr>
                <w:rFonts w:hint="eastAsia" w:ascii="仿宋" w:hAnsi="仿宋" w:eastAsia="仿宋" w:cs="仿宋"/>
                <w:sz w:val="24"/>
                <w:szCs w:val="24"/>
                <w:highlight w:val="none"/>
              </w:rPr>
            </w:pPr>
          </w:p>
        </w:tc>
        <w:tc>
          <w:tcPr>
            <w:tcW w:w="3500" w:type="dxa"/>
          </w:tcPr>
          <w:p w14:paraId="407B1C13">
            <w:pPr>
              <w:kinsoku/>
              <w:spacing w:line="576" w:lineRule="exact"/>
              <w:rPr>
                <w:rFonts w:hint="eastAsia" w:ascii="仿宋" w:hAnsi="仿宋" w:eastAsia="仿宋" w:cs="仿宋"/>
                <w:sz w:val="24"/>
                <w:szCs w:val="24"/>
                <w:highlight w:val="none"/>
              </w:rPr>
            </w:pPr>
          </w:p>
        </w:tc>
        <w:tc>
          <w:tcPr>
            <w:tcW w:w="1489" w:type="dxa"/>
          </w:tcPr>
          <w:p w14:paraId="36AC2ADF">
            <w:pPr>
              <w:kinsoku/>
              <w:spacing w:line="576" w:lineRule="exact"/>
              <w:rPr>
                <w:rFonts w:hint="eastAsia" w:ascii="仿宋" w:hAnsi="仿宋" w:eastAsia="仿宋" w:cs="仿宋"/>
                <w:sz w:val="24"/>
                <w:szCs w:val="24"/>
                <w:highlight w:val="none"/>
              </w:rPr>
            </w:pPr>
          </w:p>
        </w:tc>
      </w:tr>
      <w:tr w14:paraId="6173F2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39" w:type="dxa"/>
          </w:tcPr>
          <w:p w14:paraId="30C79787">
            <w:pPr>
              <w:kinsoku/>
              <w:spacing w:line="576" w:lineRule="exact"/>
              <w:rPr>
                <w:rFonts w:hint="eastAsia" w:ascii="仿宋" w:hAnsi="仿宋" w:eastAsia="仿宋" w:cs="仿宋"/>
                <w:sz w:val="24"/>
                <w:szCs w:val="24"/>
                <w:highlight w:val="none"/>
              </w:rPr>
            </w:pPr>
          </w:p>
        </w:tc>
        <w:tc>
          <w:tcPr>
            <w:tcW w:w="1949" w:type="dxa"/>
          </w:tcPr>
          <w:p w14:paraId="3EB7D473">
            <w:pPr>
              <w:kinsoku/>
              <w:spacing w:line="576" w:lineRule="exact"/>
              <w:rPr>
                <w:rFonts w:hint="eastAsia" w:ascii="仿宋" w:hAnsi="仿宋" w:eastAsia="仿宋" w:cs="仿宋"/>
                <w:sz w:val="24"/>
                <w:szCs w:val="24"/>
                <w:highlight w:val="none"/>
              </w:rPr>
            </w:pPr>
          </w:p>
        </w:tc>
        <w:tc>
          <w:tcPr>
            <w:tcW w:w="1800" w:type="dxa"/>
          </w:tcPr>
          <w:p w14:paraId="6B056950">
            <w:pPr>
              <w:kinsoku/>
              <w:spacing w:line="576" w:lineRule="exact"/>
              <w:rPr>
                <w:rFonts w:hint="eastAsia" w:ascii="仿宋" w:hAnsi="仿宋" w:eastAsia="仿宋" w:cs="仿宋"/>
                <w:sz w:val="24"/>
                <w:szCs w:val="24"/>
                <w:highlight w:val="none"/>
              </w:rPr>
            </w:pPr>
          </w:p>
        </w:tc>
        <w:tc>
          <w:tcPr>
            <w:tcW w:w="3500" w:type="dxa"/>
          </w:tcPr>
          <w:p w14:paraId="1B341677">
            <w:pPr>
              <w:kinsoku/>
              <w:spacing w:line="576" w:lineRule="exact"/>
              <w:rPr>
                <w:rFonts w:hint="eastAsia" w:ascii="仿宋" w:hAnsi="仿宋" w:eastAsia="仿宋" w:cs="仿宋"/>
                <w:sz w:val="24"/>
                <w:szCs w:val="24"/>
                <w:highlight w:val="none"/>
              </w:rPr>
            </w:pPr>
          </w:p>
        </w:tc>
        <w:tc>
          <w:tcPr>
            <w:tcW w:w="1489" w:type="dxa"/>
          </w:tcPr>
          <w:p w14:paraId="461432F3">
            <w:pPr>
              <w:kinsoku/>
              <w:spacing w:line="576" w:lineRule="exact"/>
              <w:rPr>
                <w:rFonts w:hint="eastAsia" w:ascii="仿宋" w:hAnsi="仿宋" w:eastAsia="仿宋" w:cs="仿宋"/>
                <w:sz w:val="24"/>
                <w:szCs w:val="24"/>
                <w:highlight w:val="none"/>
              </w:rPr>
            </w:pPr>
          </w:p>
        </w:tc>
      </w:tr>
      <w:tr w14:paraId="365E5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39" w:type="dxa"/>
          </w:tcPr>
          <w:p w14:paraId="277F9074">
            <w:pPr>
              <w:kinsoku/>
              <w:spacing w:line="576" w:lineRule="exact"/>
              <w:rPr>
                <w:rFonts w:hint="eastAsia" w:ascii="仿宋" w:hAnsi="仿宋" w:eastAsia="仿宋" w:cs="仿宋"/>
                <w:sz w:val="24"/>
                <w:szCs w:val="24"/>
                <w:highlight w:val="none"/>
              </w:rPr>
            </w:pPr>
          </w:p>
        </w:tc>
        <w:tc>
          <w:tcPr>
            <w:tcW w:w="1949" w:type="dxa"/>
          </w:tcPr>
          <w:p w14:paraId="3907A41A">
            <w:pPr>
              <w:kinsoku/>
              <w:spacing w:line="576" w:lineRule="exact"/>
              <w:rPr>
                <w:rFonts w:hint="eastAsia" w:ascii="仿宋" w:hAnsi="仿宋" w:eastAsia="仿宋" w:cs="仿宋"/>
                <w:sz w:val="24"/>
                <w:szCs w:val="24"/>
                <w:highlight w:val="none"/>
              </w:rPr>
            </w:pPr>
          </w:p>
        </w:tc>
        <w:tc>
          <w:tcPr>
            <w:tcW w:w="1800" w:type="dxa"/>
          </w:tcPr>
          <w:p w14:paraId="0DDD8C3A">
            <w:pPr>
              <w:kinsoku/>
              <w:spacing w:line="576" w:lineRule="exact"/>
              <w:rPr>
                <w:rFonts w:hint="eastAsia" w:ascii="仿宋" w:hAnsi="仿宋" w:eastAsia="仿宋" w:cs="仿宋"/>
                <w:sz w:val="24"/>
                <w:szCs w:val="24"/>
                <w:highlight w:val="none"/>
              </w:rPr>
            </w:pPr>
          </w:p>
        </w:tc>
        <w:tc>
          <w:tcPr>
            <w:tcW w:w="3500" w:type="dxa"/>
          </w:tcPr>
          <w:p w14:paraId="0738B671">
            <w:pPr>
              <w:kinsoku/>
              <w:spacing w:line="576" w:lineRule="exact"/>
              <w:rPr>
                <w:rFonts w:hint="eastAsia" w:ascii="仿宋" w:hAnsi="仿宋" w:eastAsia="仿宋" w:cs="仿宋"/>
                <w:sz w:val="24"/>
                <w:szCs w:val="24"/>
                <w:highlight w:val="none"/>
              </w:rPr>
            </w:pPr>
          </w:p>
        </w:tc>
        <w:tc>
          <w:tcPr>
            <w:tcW w:w="1489" w:type="dxa"/>
          </w:tcPr>
          <w:p w14:paraId="43022AE5">
            <w:pPr>
              <w:kinsoku/>
              <w:spacing w:line="576" w:lineRule="exact"/>
              <w:rPr>
                <w:rFonts w:hint="eastAsia" w:ascii="仿宋" w:hAnsi="仿宋" w:eastAsia="仿宋" w:cs="仿宋"/>
                <w:sz w:val="24"/>
                <w:szCs w:val="24"/>
                <w:highlight w:val="none"/>
              </w:rPr>
            </w:pPr>
          </w:p>
        </w:tc>
      </w:tr>
      <w:tr w14:paraId="70980F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9" w:type="dxa"/>
          </w:tcPr>
          <w:p w14:paraId="5C7068F0">
            <w:pPr>
              <w:kinsoku/>
              <w:spacing w:line="576" w:lineRule="exac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p>
        </w:tc>
        <w:tc>
          <w:tcPr>
            <w:tcW w:w="1949" w:type="dxa"/>
          </w:tcPr>
          <w:p w14:paraId="1517D2F0">
            <w:pPr>
              <w:kinsoku/>
              <w:spacing w:line="576" w:lineRule="exact"/>
              <w:rPr>
                <w:rFonts w:hint="eastAsia" w:ascii="仿宋" w:hAnsi="仿宋" w:eastAsia="仿宋" w:cs="仿宋"/>
                <w:sz w:val="24"/>
                <w:szCs w:val="24"/>
                <w:highlight w:val="none"/>
              </w:rPr>
            </w:pPr>
          </w:p>
        </w:tc>
        <w:tc>
          <w:tcPr>
            <w:tcW w:w="1800" w:type="dxa"/>
          </w:tcPr>
          <w:p w14:paraId="42FC70AC">
            <w:pPr>
              <w:kinsoku/>
              <w:spacing w:line="576" w:lineRule="exact"/>
              <w:rPr>
                <w:rFonts w:hint="eastAsia" w:ascii="仿宋" w:hAnsi="仿宋" w:eastAsia="仿宋" w:cs="仿宋"/>
                <w:sz w:val="24"/>
                <w:szCs w:val="24"/>
                <w:highlight w:val="none"/>
              </w:rPr>
            </w:pPr>
          </w:p>
        </w:tc>
        <w:tc>
          <w:tcPr>
            <w:tcW w:w="3500" w:type="dxa"/>
          </w:tcPr>
          <w:p w14:paraId="45130559">
            <w:pPr>
              <w:kinsoku/>
              <w:spacing w:line="576" w:lineRule="exact"/>
              <w:rPr>
                <w:rFonts w:hint="eastAsia" w:ascii="仿宋" w:hAnsi="仿宋" w:eastAsia="仿宋" w:cs="仿宋"/>
                <w:sz w:val="24"/>
                <w:szCs w:val="24"/>
                <w:highlight w:val="none"/>
              </w:rPr>
            </w:pPr>
          </w:p>
        </w:tc>
        <w:tc>
          <w:tcPr>
            <w:tcW w:w="1489" w:type="dxa"/>
          </w:tcPr>
          <w:p w14:paraId="29398616">
            <w:pPr>
              <w:kinsoku/>
              <w:spacing w:line="576" w:lineRule="exact"/>
              <w:rPr>
                <w:rFonts w:hint="eastAsia" w:ascii="仿宋" w:hAnsi="仿宋" w:eastAsia="仿宋" w:cs="仿宋"/>
                <w:sz w:val="24"/>
                <w:szCs w:val="24"/>
                <w:highlight w:val="none"/>
              </w:rPr>
            </w:pPr>
          </w:p>
        </w:tc>
      </w:tr>
    </w:tbl>
    <w:p w14:paraId="6890B144">
      <w:pPr>
        <w:kinsoku/>
        <w:spacing w:line="576" w:lineRule="exact"/>
        <w:ind w:firstLine="480" w:firstLineChars="200"/>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说明：</w:t>
      </w: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val="zh-CN" w:eastAsia="zh-CN"/>
        </w:rPr>
        <w:t>本表后附合同复印件</w:t>
      </w:r>
      <w:r>
        <w:rPr>
          <w:rFonts w:hint="eastAsia" w:ascii="仿宋" w:hAnsi="仿宋" w:eastAsia="仿宋" w:cs="仿宋"/>
          <w:color w:val="auto"/>
          <w:sz w:val="24"/>
          <w:szCs w:val="24"/>
          <w:highlight w:val="none"/>
          <w:lang w:val="zh-CN" w:eastAsia="zh-CN"/>
        </w:rPr>
        <w:t>加盖公章</w:t>
      </w:r>
      <w:r>
        <w:rPr>
          <w:rFonts w:hint="eastAsia" w:ascii="仿宋" w:hAnsi="仿宋" w:eastAsia="仿宋" w:cs="仿宋"/>
          <w:sz w:val="24"/>
          <w:szCs w:val="24"/>
          <w:highlight w:val="none"/>
          <w:lang w:val="zh-CN" w:eastAsia="zh-CN"/>
        </w:rPr>
        <w:t>，合同签订时间及金额以合同中的内容为准。</w:t>
      </w:r>
    </w:p>
    <w:p w14:paraId="69C33EA9">
      <w:pPr>
        <w:kinsoku/>
        <w:spacing w:line="576" w:lineRule="exact"/>
        <w:ind w:firstLine="480" w:firstLineChars="200"/>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eastAsia="zh-CN"/>
        </w:rPr>
        <w:t>2.</w:t>
      </w:r>
      <w:r>
        <w:rPr>
          <w:rFonts w:hint="eastAsia" w:ascii="仿宋" w:hAnsi="仿宋" w:eastAsia="仿宋" w:cs="仿宋"/>
          <w:sz w:val="24"/>
          <w:szCs w:val="24"/>
          <w:highlight w:val="none"/>
          <w:lang w:val="zh-CN" w:eastAsia="zh-CN"/>
        </w:rPr>
        <w:t>投标人应如实列出以上情况，如有隐瞒，一经查实将导致其投标文件被拒绝。</w:t>
      </w:r>
    </w:p>
    <w:p w14:paraId="555E9EB3">
      <w:pPr>
        <w:kinsoku/>
        <w:spacing w:line="576" w:lineRule="exact"/>
        <w:ind w:firstLine="480" w:firstLineChars="200"/>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eastAsia="zh-CN"/>
        </w:rPr>
        <w:t>3.</w:t>
      </w:r>
      <w:r>
        <w:rPr>
          <w:rFonts w:hint="eastAsia" w:ascii="仿宋" w:hAnsi="仿宋" w:eastAsia="仿宋" w:cs="仿宋"/>
          <w:sz w:val="24"/>
          <w:szCs w:val="24"/>
          <w:highlight w:val="none"/>
          <w:lang w:val="zh-CN" w:eastAsia="zh-CN"/>
        </w:rPr>
        <w:t>未按上述要求提供、填写的，评标时不予以考虑。</w:t>
      </w:r>
    </w:p>
    <w:p w14:paraId="0D6FE7A8">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5DCF169E">
      <w:pPr>
        <w:pStyle w:val="27"/>
        <w:kinsoku/>
        <w:spacing w:line="576" w:lineRule="exact"/>
        <w:ind w:firstLine="0" w:firstLineChars="0"/>
        <w:rPr>
          <w:sz w:val="32"/>
          <w:szCs w:val="32"/>
          <w:highlight w:val="none"/>
          <w:lang w:eastAsia="zh-CN"/>
        </w:rPr>
      </w:pPr>
      <w:r>
        <w:rPr>
          <w:rFonts w:hint="eastAsia"/>
          <w:sz w:val="32"/>
          <w:szCs w:val="32"/>
          <w:highlight w:val="none"/>
          <w:lang w:eastAsia="zh-CN"/>
        </w:rPr>
        <w:t>12、投标人认为有必要补充说明的事项</w:t>
      </w:r>
    </w:p>
    <w:p w14:paraId="6EA2090B">
      <w:pPr>
        <w:tabs>
          <w:tab w:val="center" w:pos="4535"/>
          <w:tab w:val="left" w:pos="6521"/>
        </w:tabs>
        <w:spacing w:line="360" w:lineRule="auto"/>
        <w:jc w:val="both"/>
        <w:rPr>
          <w:sz w:val="32"/>
          <w:szCs w:val="32"/>
          <w:highlight w:val="none"/>
          <w:lang w:eastAsia="zh-CN"/>
        </w:rPr>
      </w:pPr>
    </w:p>
    <w:sectPr>
      <w:footerReference r:id="rId8" w:type="default"/>
      <w:pgSz w:w="11900" w:h="16839"/>
      <w:pgMar w:top="1406" w:right="1242" w:bottom="896" w:left="1406" w:header="0" w:footer="731"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637360D-980E-4630-9EAA-4741230ACDE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23723627-6B25-4052-9736-EB80BF16EBA9}"/>
  </w:font>
  <w:font w:name="仿宋_GB2312">
    <w:panose1 w:val="02010609030101010101"/>
    <w:charset w:val="86"/>
    <w:family w:val="modern"/>
    <w:pitch w:val="default"/>
    <w:sig w:usb0="00000001" w:usb1="080E0000" w:usb2="00000000" w:usb3="00000000" w:csb0="00040000" w:csb1="00000000"/>
    <w:embedRegular r:id="rId3" w:fontKey="{BD02576D-5279-4262-B67A-CC4372073336}"/>
  </w:font>
  <w:font w:name="方正小标宋简体">
    <w:panose1 w:val="02000000000000000000"/>
    <w:charset w:val="86"/>
    <w:family w:val="auto"/>
    <w:pitch w:val="default"/>
    <w:sig w:usb0="00000001" w:usb1="08000000" w:usb2="00000000" w:usb3="00000000" w:csb0="00040000" w:csb1="00000000"/>
    <w:embedRegular r:id="rId4" w:fontKey="{FC9D5A2A-551E-4076-A273-7A472BBCD1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C79A6">
    <w:pPr>
      <w:spacing w:line="168" w:lineRule="auto"/>
      <w:ind w:left="4552"/>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82DC1">
    <w:pPr>
      <w:spacing w:line="168" w:lineRule="auto"/>
      <w:ind w:left="4552"/>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D5C2CA">
                          <w:pPr>
                            <w:pStyle w:val="1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7DD5C2CA">
                    <w:pPr>
                      <w:pStyle w:val="1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2DDF1">
    <w:pPr>
      <w:spacing w:line="168" w:lineRule="auto"/>
      <w:ind w:left="4510"/>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268087">
                          <w:pPr>
                            <w:pStyle w:val="14"/>
                          </w:pPr>
                          <w:r>
                            <w:t xml:space="preserve">第 </w:t>
                          </w:r>
                          <w:r>
                            <w:fldChar w:fldCharType="begin"/>
                          </w:r>
                          <w:r>
                            <w:instrText xml:space="preserve"> PAGE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1E268087">
                    <w:pPr>
                      <w:pStyle w:val="14"/>
                    </w:pPr>
                    <w:r>
                      <w:t xml:space="preserve">第 </w:t>
                    </w:r>
                    <w:r>
                      <w:fldChar w:fldCharType="begin"/>
                    </w:r>
                    <w:r>
                      <w:instrText xml:space="preserve"> PAGE  \* MERGEFORMAT </w:instrText>
                    </w:r>
                    <w:r>
                      <w:fldChar w:fldCharType="separate"/>
                    </w:r>
                    <w:r>
                      <w:t>16</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63F94">
    <w:pPr>
      <w:spacing w:line="169" w:lineRule="auto"/>
      <w:ind w:left="4522"/>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C553CF">
                          <w:pPr>
                            <w:pStyle w:val="14"/>
                          </w:pPr>
                          <w:r>
                            <w:t xml:space="preserve">第 </w:t>
                          </w:r>
                          <w:r>
                            <w:fldChar w:fldCharType="begin"/>
                          </w:r>
                          <w:r>
                            <w:instrText xml:space="preserve"> PAGE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3EC553CF">
                    <w:pPr>
                      <w:pStyle w:val="14"/>
                    </w:pPr>
                    <w:r>
                      <w:t xml:space="preserve">第 </w:t>
                    </w:r>
                    <w:r>
                      <w:fldChar w:fldCharType="begin"/>
                    </w:r>
                    <w:r>
                      <w:instrText xml:space="preserve"> PAGE  \* MERGEFORMAT </w:instrText>
                    </w:r>
                    <w:r>
                      <w:fldChar w:fldCharType="separate"/>
                    </w:r>
                    <w:r>
                      <w:t>22</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FCF79">
    <w:pPr>
      <w:spacing w:line="169" w:lineRule="auto"/>
      <w:ind w:left="4504"/>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F3B67A">
                          <w:pPr>
                            <w:pStyle w:val="14"/>
                          </w:pPr>
                          <w:r>
                            <w:t xml:space="preserve">第 </w:t>
                          </w:r>
                          <w:r>
                            <w:fldChar w:fldCharType="begin"/>
                          </w:r>
                          <w:r>
                            <w:instrText xml:space="preserve"> PAGE  \* MERGEFORMAT </w:instrText>
                          </w:r>
                          <w:r>
                            <w:fldChar w:fldCharType="separate"/>
                          </w:r>
                          <w:r>
                            <w:t>24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25F3B67A">
                    <w:pPr>
                      <w:pStyle w:val="14"/>
                    </w:pPr>
                    <w:r>
                      <w:t xml:space="preserve">第 </w:t>
                    </w:r>
                    <w:r>
                      <w:fldChar w:fldCharType="begin"/>
                    </w:r>
                    <w:r>
                      <w:instrText xml:space="preserve"> PAGE  \* MERGEFORMAT </w:instrText>
                    </w:r>
                    <w:r>
                      <w:fldChar w:fldCharType="separate"/>
                    </w:r>
                    <w:r>
                      <w:t>24</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844A0">
    <w:pPr>
      <w:spacing w:line="168" w:lineRule="auto"/>
      <w:ind w:left="4477"/>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4C4F">
                          <w:pPr>
                            <w:pStyle w:val="14"/>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3964C4F">
                    <w:pPr>
                      <w:pStyle w:val="14"/>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F5FC3"/>
    <w:multiLevelType w:val="singleLevel"/>
    <w:tmpl w:val="8C4F5FC3"/>
    <w:lvl w:ilvl="0" w:tentative="0">
      <w:start w:val="1"/>
      <w:numFmt w:val="decimal"/>
      <w:suff w:val="nothing"/>
      <w:lvlText w:val="（%1）"/>
      <w:lvlJc w:val="left"/>
    </w:lvl>
  </w:abstractNum>
  <w:abstractNum w:abstractNumId="1">
    <w:nsid w:val="0F5FE7FB"/>
    <w:multiLevelType w:val="singleLevel"/>
    <w:tmpl w:val="0F5FE7FB"/>
    <w:lvl w:ilvl="0" w:tentative="0">
      <w:start w:val="1"/>
      <w:numFmt w:val="decimal"/>
      <w:suff w:val="nothing"/>
      <w:lvlText w:val="%1、"/>
      <w:lvlJc w:val="left"/>
    </w:lvl>
  </w:abstractNum>
  <w:abstractNum w:abstractNumId="2">
    <w:nsid w:val="1319F033"/>
    <w:multiLevelType w:val="singleLevel"/>
    <w:tmpl w:val="1319F033"/>
    <w:lvl w:ilvl="0" w:tentative="0">
      <w:start w:val="1"/>
      <w:numFmt w:val="decimal"/>
      <w:suff w:val="nothing"/>
      <w:lvlText w:val="（%1）"/>
      <w:lvlJc w:val="left"/>
    </w:lvl>
  </w:abstractNum>
  <w:abstractNum w:abstractNumId="3">
    <w:nsid w:val="21CACF0B"/>
    <w:multiLevelType w:val="singleLevel"/>
    <w:tmpl w:val="21CACF0B"/>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GM1Zjc2M2FiNTI0ZDcwOTJlMzcwMzkzNjQ5ZDQ4NWQifQ=="/>
  </w:docVars>
  <w:rsids>
    <w:rsidRoot w:val="00812E83"/>
    <w:rsid w:val="00077497"/>
    <w:rsid w:val="00084F5A"/>
    <w:rsid w:val="000B69E0"/>
    <w:rsid w:val="000F270D"/>
    <w:rsid w:val="00122A01"/>
    <w:rsid w:val="001D0DFA"/>
    <w:rsid w:val="00480B8C"/>
    <w:rsid w:val="004A608A"/>
    <w:rsid w:val="004D502D"/>
    <w:rsid w:val="0059623A"/>
    <w:rsid w:val="006002FB"/>
    <w:rsid w:val="0060653F"/>
    <w:rsid w:val="0063415A"/>
    <w:rsid w:val="007049D1"/>
    <w:rsid w:val="00705013"/>
    <w:rsid w:val="00812E83"/>
    <w:rsid w:val="00843F8D"/>
    <w:rsid w:val="0084703B"/>
    <w:rsid w:val="008A2D6B"/>
    <w:rsid w:val="00AF3DAD"/>
    <w:rsid w:val="00AF4FB0"/>
    <w:rsid w:val="00C72AA3"/>
    <w:rsid w:val="00DD1A5B"/>
    <w:rsid w:val="00E35533"/>
    <w:rsid w:val="030927EE"/>
    <w:rsid w:val="0D353537"/>
    <w:rsid w:val="10537788"/>
    <w:rsid w:val="11F75B6D"/>
    <w:rsid w:val="13500869"/>
    <w:rsid w:val="144528FC"/>
    <w:rsid w:val="148876BD"/>
    <w:rsid w:val="14A74031"/>
    <w:rsid w:val="163E5B37"/>
    <w:rsid w:val="186C6685"/>
    <w:rsid w:val="1935494E"/>
    <w:rsid w:val="1F7C138F"/>
    <w:rsid w:val="233D0598"/>
    <w:rsid w:val="28963BA5"/>
    <w:rsid w:val="2B106685"/>
    <w:rsid w:val="2B48310F"/>
    <w:rsid w:val="2E8179EC"/>
    <w:rsid w:val="2E825006"/>
    <w:rsid w:val="2F510526"/>
    <w:rsid w:val="2FE5336B"/>
    <w:rsid w:val="30722EDD"/>
    <w:rsid w:val="3157522F"/>
    <w:rsid w:val="34F67AA2"/>
    <w:rsid w:val="34FA1C49"/>
    <w:rsid w:val="372B377E"/>
    <w:rsid w:val="3A9100E5"/>
    <w:rsid w:val="41221A41"/>
    <w:rsid w:val="4341519B"/>
    <w:rsid w:val="4356612F"/>
    <w:rsid w:val="472A5ECE"/>
    <w:rsid w:val="4DC62461"/>
    <w:rsid w:val="4F1A1ED7"/>
    <w:rsid w:val="5086652B"/>
    <w:rsid w:val="52CF7783"/>
    <w:rsid w:val="531E5130"/>
    <w:rsid w:val="56217215"/>
    <w:rsid w:val="59A37802"/>
    <w:rsid w:val="5AE125BF"/>
    <w:rsid w:val="5C2972FD"/>
    <w:rsid w:val="5E832BB3"/>
    <w:rsid w:val="65AC1672"/>
    <w:rsid w:val="673A79EE"/>
    <w:rsid w:val="6D7B2EE5"/>
    <w:rsid w:val="6DFF7537"/>
    <w:rsid w:val="6E5A5D68"/>
    <w:rsid w:val="706C43E6"/>
    <w:rsid w:val="7A0C01EF"/>
    <w:rsid w:val="7DF97E6A"/>
    <w:rsid w:val="7E24131F"/>
    <w:rsid w:val="7F43404E"/>
    <w:rsid w:val="7FBA2B79"/>
    <w:rsid w:val="7FDF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link w:val="26"/>
    <w:autoRedefine/>
    <w:qFormat/>
    <w:uiPriority w:val="0"/>
    <w:pPr>
      <w:keepNext/>
      <w:widowControl w:val="0"/>
      <w:jc w:val="center"/>
      <w:outlineLvl w:val="0"/>
    </w:pPr>
    <w:rPr>
      <w:rFonts w:ascii="黑体" w:eastAsia="黑体"/>
      <w:sz w:val="28"/>
    </w:rPr>
  </w:style>
  <w:style w:type="paragraph" w:styleId="4">
    <w:name w:val="heading 2"/>
    <w:basedOn w:val="1"/>
    <w:next w:val="1"/>
    <w:autoRedefine/>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autoRedefine/>
    <w:semiHidden/>
    <w:unhideWhenUsed/>
    <w:qFormat/>
    <w:uiPriority w:val="0"/>
    <w:pPr>
      <w:spacing w:beforeAutospacing="1" w:afterAutospacing="1"/>
      <w:outlineLvl w:val="2"/>
    </w:pPr>
    <w:rPr>
      <w:rFonts w:hint="eastAsia" w:ascii="宋体" w:hAnsi="宋体"/>
      <w:b/>
      <w:bCs/>
      <w:sz w:val="27"/>
      <w:szCs w:val="27"/>
    </w:rPr>
  </w:style>
  <w:style w:type="paragraph" w:styleId="6">
    <w:name w:val="heading 4"/>
    <w:basedOn w:val="1"/>
    <w:next w:val="1"/>
    <w:autoRedefine/>
    <w:semiHidden/>
    <w:unhideWhenUsed/>
    <w:qFormat/>
    <w:uiPriority w:val="0"/>
    <w:pPr>
      <w:spacing w:beforeAutospacing="1" w:afterAutospacing="1"/>
      <w:outlineLvl w:val="3"/>
    </w:pPr>
    <w:rPr>
      <w:rFonts w:hint="eastAsia" w:ascii="宋体" w:hAnsi="宋体" w:eastAsia="宋体" w:cs="Times New Roman"/>
      <w:b/>
      <w:bCs/>
      <w:sz w:val="24"/>
      <w:szCs w:val="24"/>
      <w:lang w:eastAsia="zh-CN"/>
    </w:rPr>
  </w:style>
  <w:style w:type="character" w:default="1" w:styleId="21">
    <w:name w:val="Default Paragraph Font"/>
    <w:autoRedefine/>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semiHidden/>
    <w:qFormat/>
    <w:uiPriority w:val="0"/>
    <w:pPr>
      <w:jc w:val="center"/>
    </w:pPr>
    <w:rPr>
      <w:rFonts w:ascii="仿宋" w:hAnsi="仿宋" w:eastAsia="仿宋" w:cs="仿宋"/>
      <w:color w:val="000000" w:themeColor="text1"/>
      <w:spacing w:val="8"/>
      <w:position w:val="15"/>
      <w:sz w:val="24"/>
      <w:szCs w:val="24"/>
      <w:lang w:eastAsia="zh-CN"/>
      <w14:textFill>
        <w14:solidFill>
          <w14:schemeClr w14:val="tx1"/>
        </w14:solidFill>
      </w14:textFill>
    </w:rPr>
  </w:style>
  <w:style w:type="paragraph" w:styleId="7">
    <w:name w:val="Normal Indent"/>
    <w:basedOn w:val="1"/>
    <w:autoRedefine/>
    <w:qFormat/>
    <w:uiPriority w:val="0"/>
    <w:pPr>
      <w:ind w:firstLine="420" w:firstLineChars="200"/>
    </w:pPr>
  </w:style>
  <w:style w:type="paragraph" w:styleId="8">
    <w:name w:val="toa heading"/>
    <w:basedOn w:val="1"/>
    <w:next w:val="1"/>
    <w:autoRedefine/>
    <w:unhideWhenUsed/>
    <w:qFormat/>
    <w:uiPriority w:val="99"/>
    <w:rPr>
      <w:sz w:val="24"/>
    </w:rPr>
  </w:style>
  <w:style w:type="paragraph" w:styleId="9">
    <w:name w:val="annotation text"/>
    <w:basedOn w:val="1"/>
    <w:link w:val="34"/>
    <w:autoRedefine/>
    <w:qFormat/>
    <w:uiPriority w:val="0"/>
    <w:rPr>
      <w:rFonts w:cs="Times New Roman"/>
    </w:rPr>
  </w:style>
  <w:style w:type="paragraph" w:styleId="10">
    <w:name w:val="Body Text Indent"/>
    <w:basedOn w:val="1"/>
    <w:next w:val="11"/>
    <w:autoRedefine/>
    <w:qFormat/>
    <w:uiPriority w:val="0"/>
    <w:pPr>
      <w:ind w:left="420" w:leftChars="200"/>
    </w:pPr>
  </w:style>
  <w:style w:type="paragraph" w:styleId="11">
    <w:name w:val="Body Text First Indent 2"/>
    <w:basedOn w:val="10"/>
    <w:next w:val="1"/>
    <w:autoRedefine/>
    <w:qFormat/>
    <w:uiPriority w:val="0"/>
    <w:pPr>
      <w:ind w:firstLine="420"/>
    </w:pPr>
  </w:style>
  <w:style w:type="paragraph" w:styleId="12">
    <w:name w:val="Block Text"/>
    <w:basedOn w:val="1"/>
    <w:autoRedefine/>
    <w:qFormat/>
    <w:uiPriority w:val="0"/>
    <w:pPr>
      <w:spacing w:after="120"/>
      <w:ind w:left="1440" w:leftChars="700" w:right="1440"/>
    </w:pPr>
    <w:rPr>
      <w:szCs w:val="20"/>
    </w:rPr>
  </w:style>
  <w:style w:type="paragraph" w:styleId="13">
    <w:name w:val="Plain Text"/>
    <w:basedOn w:val="1"/>
    <w:next w:val="1"/>
    <w:autoRedefine/>
    <w:qFormat/>
    <w:uiPriority w:val="0"/>
    <w:rPr>
      <w:rFonts w:ascii="宋体"/>
    </w:rPr>
  </w:style>
  <w:style w:type="paragraph" w:styleId="14">
    <w:name w:val="footer"/>
    <w:basedOn w:val="1"/>
    <w:autoRedefine/>
    <w:qFormat/>
    <w:uiPriority w:val="99"/>
    <w:pPr>
      <w:tabs>
        <w:tab w:val="center" w:pos="4153"/>
        <w:tab w:val="right" w:pos="8306"/>
      </w:tabs>
    </w:pPr>
    <w:rPr>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7">
    <w:name w:val="Normal (Web)"/>
    <w:basedOn w:val="1"/>
    <w:autoRedefine/>
    <w:qFormat/>
    <w:uiPriority w:val="0"/>
    <w:pPr>
      <w:spacing w:before="100" w:beforeAutospacing="1" w:after="100" w:afterAutospacing="1"/>
    </w:pPr>
    <w:rPr>
      <w:rFonts w:ascii="宋体" w:hAnsi="宋体" w:cs="宋体"/>
      <w:sz w:val="24"/>
      <w:szCs w:val="24"/>
    </w:rPr>
  </w:style>
  <w:style w:type="paragraph" w:styleId="18">
    <w:name w:val="annotation subject"/>
    <w:basedOn w:val="9"/>
    <w:next w:val="9"/>
    <w:link w:val="35"/>
    <w:autoRedefine/>
    <w:qFormat/>
    <w:uiPriority w:val="0"/>
    <w:rPr>
      <w:rFonts w:cs="Arial"/>
      <w:b/>
      <w:bCs/>
    </w:rPr>
  </w:style>
  <w:style w:type="paragraph" w:styleId="19">
    <w:name w:val="Body Text First Indent"/>
    <w:basedOn w:val="2"/>
    <w:next w:val="11"/>
    <w:autoRedefine/>
    <w:semiHidden/>
    <w:qFormat/>
    <w:uiPriority w:val="99"/>
    <w:pPr>
      <w:ind w:firstLine="420" w:firstLineChars="100"/>
    </w:pPr>
  </w:style>
  <w:style w:type="character" w:styleId="22">
    <w:name w:val="Strong"/>
    <w:basedOn w:val="21"/>
    <w:autoRedefine/>
    <w:qFormat/>
    <w:uiPriority w:val="0"/>
    <w:rPr>
      <w:b/>
    </w:rPr>
  </w:style>
  <w:style w:type="character" w:styleId="23">
    <w:name w:val="annotation reference"/>
    <w:basedOn w:val="21"/>
    <w:autoRedefine/>
    <w:qFormat/>
    <w:uiPriority w:val="0"/>
    <w:rPr>
      <w:sz w:val="21"/>
      <w:szCs w:val="21"/>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paragraph" w:customStyle="1" w:styleId="25">
    <w:name w:val="Table Text"/>
    <w:basedOn w:val="1"/>
    <w:autoRedefine/>
    <w:semiHidden/>
    <w:qFormat/>
    <w:uiPriority w:val="0"/>
    <w:pPr>
      <w:spacing w:before="109"/>
      <w:jc w:val="center"/>
    </w:pPr>
    <w:rPr>
      <w:rFonts w:ascii="仿宋" w:hAnsi="仿宋" w:eastAsia="仿宋" w:cs="仿宋"/>
      <w:color w:val="00B0F0"/>
      <w:spacing w:val="1"/>
      <w:sz w:val="24"/>
      <w:szCs w:val="24"/>
      <w:lang w:eastAsia="zh-CN"/>
    </w:rPr>
  </w:style>
  <w:style w:type="character" w:customStyle="1" w:styleId="26">
    <w:name w:val="标题 1 字符"/>
    <w:link w:val="3"/>
    <w:autoRedefine/>
    <w:qFormat/>
    <w:uiPriority w:val="0"/>
    <w:rPr>
      <w:rFonts w:ascii="黑体" w:eastAsia="黑体"/>
      <w:sz w:val="28"/>
    </w:rPr>
  </w:style>
  <w:style w:type="paragraph" w:customStyle="1" w:styleId="27">
    <w:name w:val="正文自定"/>
    <w:basedOn w:val="1"/>
    <w:autoRedefine/>
    <w:qFormat/>
    <w:uiPriority w:val="0"/>
    <w:pPr>
      <w:tabs>
        <w:tab w:val="left" w:pos="7665"/>
      </w:tabs>
      <w:spacing w:line="360" w:lineRule="auto"/>
      <w:ind w:firstLine="200" w:firstLineChars="200"/>
    </w:pPr>
    <w:rPr>
      <w:rFonts w:ascii="宋体"/>
      <w:sz w:val="24"/>
      <w:szCs w:val="24"/>
    </w:rPr>
  </w:style>
  <w:style w:type="paragraph" w:customStyle="1" w:styleId="28">
    <w:name w:val="WPSOffice手动目录 1"/>
    <w:autoRedefine/>
    <w:qFormat/>
    <w:uiPriority w:val="0"/>
    <w:rPr>
      <w:rFonts w:ascii="Times New Roman" w:hAnsi="Times New Roman" w:eastAsia="宋体" w:cs="Times New Roman"/>
      <w:lang w:val="en-US" w:eastAsia="zh-CN" w:bidi="ar-SA"/>
    </w:rPr>
  </w:style>
  <w:style w:type="paragraph" w:customStyle="1" w:styleId="29">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0">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3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32">
    <w:name w:val="正文缩进1"/>
    <w:basedOn w:val="1"/>
    <w:autoRedefine/>
    <w:qFormat/>
    <w:uiPriority w:val="0"/>
    <w:pPr>
      <w:ind w:firstLine="420" w:firstLineChars="200"/>
    </w:pPr>
  </w:style>
  <w:style w:type="paragraph" w:customStyle="1" w:styleId="33">
    <w:name w:val="目录"/>
    <w:basedOn w:val="1"/>
    <w:autoRedefine/>
    <w:qFormat/>
    <w:uiPriority w:val="99"/>
    <w:pPr>
      <w:jc w:val="center"/>
    </w:pPr>
    <w:rPr>
      <w:rFonts w:ascii="宋体" w:cs="宋体"/>
      <w:b/>
      <w:bCs/>
      <w:sz w:val="36"/>
      <w:szCs w:val="36"/>
    </w:rPr>
  </w:style>
  <w:style w:type="character" w:customStyle="1" w:styleId="34">
    <w:name w:val="批注文字 字符"/>
    <w:basedOn w:val="21"/>
    <w:link w:val="9"/>
    <w:autoRedefine/>
    <w:qFormat/>
    <w:uiPriority w:val="0"/>
    <w:rPr>
      <w:rFonts w:ascii="Arial" w:hAnsi="Arial" w:eastAsia="Arial"/>
      <w:snapToGrid w:val="0"/>
      <w:color w:val="000000"/>
      <w:sz w:val="21"/>
      <w:szCs w:val="21"/>
      <w:lang w:eastAsia="en-US"/>
    </w:rPr>
  </w:style>
  <w:style w:type="character" w:customStyle="1" w:styleId="35">
    <w:name w:val="批注主题 字符"/>
    <w:basedOn w:val="34"/>
    <w:link w:val="18"/>
    <w:autoRedefine/>
    <w:qFormat/>
    <w:uiPriority w:val="0"/>
    <w:rPr>
      <w:rFonts w:ascii="Arial" w:hAnsi="Arial" w:eastAsia="Arial" w:cs="Arial"/>
      <w:b/>
      <w:bCs/>
      <w:snapToGrid w:val="0"/>
      <w:color w:val="00000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76</Pages>
  <Words>10944</Words>
  <Characters>11623</Characters>
  <Lines>366</Lines>
  <Paragraphs>103</Paragraphs>
  <TotalTime>12</TotalTime>
  <ScaleCrop>false</ScaleCrop>
  <LinksUpToDate>false</LinksUpToDate>
  <CharactersWithSpaces>11821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2023-11-25T14:49:00Z</dcterms:created>
  <dc:creator>Administrator</dc:creator>
  <cp:lastModifiedBy>123</cp:lastModifiedBy>
  <cp:lastPrinted>2024-12-04T08:35:00Z</cp:lastPrinted>
  <dcterms:modified xsi:type="dcterms:W3CDTF">2024-12-04T08:53:14Z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2024-03-21T09:36:28Z</vt:filetime>
  </property>
  <property fmtid="{D5CDD505-2E9C-101B-9397-08002B2CF9AE}" pid="4" name="KSOProductBuildVer">
    <vt:lpwstr>2052-12.1.0.19302</vt:lpwstr>
  </property>
  <property fmtid="{D5CDD505-2E9C-101B-9397-08002B2CF9AE}" pid="5" name="ICV">
    <vt:lpwstr>5A1C34A3FDA0419AAE56C37AD4CF2C20_13</vt:lpwstr>
  </property>
</Properties>
</file>