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版本号：241204001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流式细胞仪采购项目</w:t>
      </w:r>
    </w:p>
    <w:p>
      <w:pPr>
        <w:pStyle w:val="null3"/>
        <w:jc w:val="center"/>
        <w:outlineLvl w:val="2"/>
      </w:pPr>
      <w:r>
        <w:rPr>
          <w:sz w:val="28"/>
          <w:b/>
        </w:rPr>
        <w:t>采购项目编号：</w:t>
      </w:r>
      <w:r>
        <w:rPr>
          <w:sz w:val="28"/>
          <w:b/>
        </w:rPr>
        <w:t>HZGH-2024-078</w:t>
      </w:r>
      <w:r>
        <w:br/>
      </w:r>
      <w:r>
        <w:br/>
      </w:r>
      <w:r>
        <w:br/>
      </w:r>
    </w:p>
    <w:p>
      <w:pPr>
        <w:pStyle w:val="null3"/>
        <w:jc w:val="center"/>
        <w:outlineLvl w:val="2"/>
      </w:pPr>
      <w:r>
        <w:rPr>
          <w:sz w:val="28"/>
          <w:b/>
        </w:rPr>
        <w:t>西北大学</w:t>
      </w:r>
    </w:p>
    <w:p>
      <w:pPr>
        <w:pStyle w:val="null3"/>
        <w:jc w:val="center"/>
        <w:outlineLvl w:val="2"/>
      </w:pPr>
      <w:r>
        <w:rPr>
          <w:sz w:val="28"/>
          <w:b/>
        </w:rPr>
        <w:t>华招广和项目管理有限公司</w:t>
      </w:r>
      <w:r>
        <w:rPr>
          <w:sz w:val="28"/>
          <w:b/>
        </w:rPr>
        <w:t>共同编制</w:t>
      </w:r>
    </w:p>
    <w:p>
      <w:pPr>
        <w:pStyle w:val="null3"/>
        <w:jc w:val="center"/>
        <w:outlineLvl w:val="2"/>
      </w:pPr>
      <w:r>
        <w:rPr>
          <w:sz w:val="28"/>
          <w:b/>
        </w:rPr>
        <w:t>2024年12月04日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华招广和项目管理有限公司</w:t>
      </w:r>
      <w:r>
        <w:rPr/>
        <w:t>（以下简称“代理机构”）受</w:t>
      </w:r>
      <w:r>
        <w:rPr/>
        <w:t>西北大学</w:t>
      </w:r>
      <w:r>
        <w:rPr/>
        <w:t>委托，拟对</w:t>
      </w:r>
      <w:r>
        <w:rPr/>
        <w:t>流式细胞仪采购项目</w:t>
      </w:r>
      <w:r>
        <w:rPr/>
        <w:t>采用竞争性谈判采购方式进行采购，兹邀请供应商参加本项目的竞争性谈判。</w:t>
      </w:r>
    </w:p>
    <w:p>
      <w:pPr>
        <w:pStyle w:val="null3"/>
        <w:outlineLvl w:val="2"/>
      </w:pPr>
      <w:r>
        <w:rPr>
          <w:sz w:val="28"/>
          <w:b/>
        </w:rPr>
        <w:t>一、项目编号：</w:t>
      </w:r>
      <w:r>
        <w:rPr>
          <w:sz w:val="28"/>
          <w:b/>
        </w:rPr>
        <w:t>HZGH-2024-078</w:t>
      </w:r>
    </w:p>
    <w:p>
      <w:pPr>
        <w:pStyle w:val="null3"/>
        <w:outlineLvl w:val="2"/>
      </w:pPr>
      <w:r>
        <w:rPr>
          <w:sz w:val="28"/>
          <w:b/>
        </w:rPr>
        <w:t>二、项目名称：</w:t>
      </w:r>
      <w:r>
        <w:rPr>
          <w:sz w:val="28"/>
          <w:b/>
        </w:rPr>
        <w:t>流式细胞仪采购项目</w:t>
      </w:r>
    </w:p>
    <w:p>
      <w:pPr>
        <w:pStyle w:val="null3"/>
        <w:outlineLvl w:val="2"/>
      </w:pPr>
      <w:r>
        <w:rPr>
          <w:sz w:val="28"/>
          <w:b/>
        </w:rPr>
        <w:t>三、谈判项目简介：</w:t>
      </w:r>
    </w:p>
    <w:p>
      <w:pPr>
        <w:pStyle w:val="null3"/>
        <w:ind w:firstLine="480"/>
      </w:pPr>
      <w:r>
        <w:rPr/>
        <w:t>流式细胞仪，1台，本项目已通过进口产品采购核准，允许采购进口产品。简要技术要求、用途：科研实验，具体详见采购文件。</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1、具有独立承担民事责任的能力：具有独立承担民事责任能力的法人、其他组织或自然人，提 供合法有效的统一社会信用代码营业执照（事业单位提供法人证书，自然人提供身份证）；</w:t>
      </w:r>
    </w:p>
    <w:p>
      <w:pPr>
        <w:pStyle w:val="null3"/>
      </w:pPr>
      <w:r>
        <w:rPr/>
        <w:t>2、具有良好的商业信誉和健全的财务会计制度：提供经审计的2023年度完整的财务报告（成立时间至开标时间不足一年的可提供成立后任意时段的资产负债表）或开标前六个月内其基本账户银行出具的资信证明（附开户许可证或基本账户证明）或政府采购信用担保机构出具的投标担保函，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t>3、税收缴纳证明：提供响应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成立不足一个月的提供依法纳税的承诺书，格式自拟；零报税的提供申报成功的凭证）。</w:t>
      </w:r>
    </w:p>
    <w:p>
      <w:pPr>
        <w:pStyle w:val="null3"/>
      </w:pPr>
      <w:r>
        <w:rPr/>
        <w:t>4、社会保障资金缴纳证明：提供响应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供应商向代缴方用于缴存社保的银行转账单据 ）；依法不需要缴纳社会保障资金的 供应商应提供相关文件证明（成立不足一个月的提供将依法交纳社会保障资金的承诺书，格式自 拟）。</w:t>
      </w:r>
    </w:p>
    <w:p>
      <w:pPr>
        <w:pStyle w:val="null3"/>
      </w:pPr>
      <w:r>
        <w:rPr/>
        <w:t>5、具有履行本合同所必需的设备和专业技术能力的说明及承诺：提供具有履行本合同所必需的设备和专业技术能力的说明及承诺；（格式自拟，加盖供应商公章）</w:t>
      </w:r>
    </w:p>
    <w:p>
      <w:pPr>
        <w:pStyle w:val="null3"/>
      </w:pPr>
      <w:r>
        <w:rPr/>
        <w:t>6、参加政府采购活动前三年内在经营活动中没有重大违法记录的书面声明：提供参加政府采购活动前三年内在经营活动中没有重大违法记录的书面声明。（格式自拟，加盖供应商公章）</w:t>
      </w:r>
    </w:p>
    <w:p>
      <w:pPr>
        <w:pStyle w:val="null3"/>
      </w:pPr>
      <w:r>
        <w:rPr/>
        <w:t>7、法定代表人或负责人资格证明书：法定代表人或负责人参与投标时需提供法定代表人或负责人资格证明书（附法定代表人或负责人身份证复印件）；</w:t>
      </w:r>
    </w:p>
    <w:p>
      <w:pPr>
        <w:pStyle w:val="null3"/>
      </w:pPr>
      <w:r>
        <w:rPr/>
        <w:t>8、法定代表人或负责人授权委托书：被授权人参与投标时需提供法定代表人或负责人授权委托书（附法定代表人或负责人及被授权人身份证复印件）；</w:t>
      </w:r>
    </w:p>
    <w:p>
      <w:pPr>
        <w:pStyle w:val="null3"/>
      </w:pPr>
      <w:r>
        <w:rPr/>
        <w:t>9、谈判保证金交纳凭证或担保函：谈判保证金交纳凭证或担保函；（保证金交纳凭证复印件或担保函复印件加盖公章）</w:t>
      </w:r>
    </w:p>
    <w:p>
      <w:pPr>
        <w:pStyle w:val="null3"/>
      </w:pPr>
      <w:r>
        <w:rPr/>
        <w:t>10、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p>
      <w:pPr>
        <w:pStyle w:val="null3"/>
      </w:pPr>
      <w:r>
        <w:rPr/>
        <w:t>11、单位负责人为同一人或者存在直接控股、管理关系的不同供应商，不得参加同一合同项下的政府采购活动：单位负责人为同一人或者存在直接控股、管理关系的不同供应商，不得参加同一合同项下的政府采购活动；（提供书面承诺函，格式自拟加盖供应商公章）</w:t>
      </w:r>
    </w:p>
    <w:p>
      <w:pPr>
        <w:pStyle w:val="null3"/>
      </w:pPr>
      <w:r>
        <w:rPr/>
        <w:t>12、本项目不接受联合体谈判：本项目不接受联合体谈判。（提供书面承诺函，格式自拟加盖供应商公章）</w:t>
      </w:r>
    </w:p>
    <w:p>
      <w:pPr>
        <w:pStyle w:val="null3"/>
      </w:pPr>
      <w:r>
        <w:rPr/>
        <w:t>13、进口产品授权书：若所响应产品为进口产品的，供应商须提供产品厂家授权书或总代理商授权书或具有授权权限的供应商对所响应进口产品的授权书。（如提供总代理商授权的须同时提供具有有效授权权限的相关证明文件，证明文件需能显示产品制造厂家对所响应产品授权链条的完整性）</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西北大学</w:t>
      </w:r>
    </w:p>
    <w:p>
      <w:pPr>
        <w:pStyle w:val="null3"/>
      </w:pPr>
      <w:r>
        <w:rPr/>
        <w:t xml:space="preserve"> 地址： </w:t>
      </w:r>
      <w:r>
        <w:rPr/>
        <w:t>太白北路229号</w:t>
      </w:r>
    </w:p>
    <w:p>
      <w:pPr>
        <w:pStyle w:val="null3"/>
      </w:pPr>
      <w:r>
        <w:rPr/>
        <w:t xml:space="preserve"> 邮编： </w:t>
      </w:r>
      <w:r>
        <w:rPr/>
        <w:t>710000</w:t>
      </w:r>
    </w:p>
    <w:p>
      <w:pPr>
        <w:pStyle w:val="null3"/>
      </w:pPr>
      <w:r>
        <w:rPr/>
        <w:t xml:space="preserve"> 联系人： </w:t>
      </w:r>
      <w:r>
        <w:rPr/>
        <w:t>赵老师</w:t>
      </w:r>
    </w:p>
    <w:p>
      <w:pPr>
        <w:pStyle w:val="null3"/>
      </w:pPr>
      <w:r>
        <w:rPr/>
        <w:t xml:space="preserve"> 联系电话： </w:t>
      </w:r>
      <w:r>
        <w:rPr/>
        <w:t>029-88302595</w:t>
      </w:r>
    </w:p>
    <w:p>
      <w:pPr>
        <w:pStyle w:val="null3"/>
        <w:outlineLvl w:val="3"/>
      </w:pPr>
      <w:r>
        <w:rPr>
          <w:sz w:val="24"/>
          <w:b/>
        </w:rPr>
        <w:t>代理机构：</w:t>
      </w:r>
      <w:r>
        <w:rPr>
          <w:sz w:val="24"/>
          <w:b/>
        </w:rPr>
        <w:t>华招广和项目管理有限公司</w:t>
      </w:r>
    </w:p>
    <w:p>
      <w:pPr>
        <w:pStyle w:val="null3"/>
      </w:pPr>
      <w:r>
        <w:rPr/>
        <w:t xml:space="preserve"> 地址： </w:t>
      </w:r>
      <w:r>
        <w:rPr/>
        <w:t>西安市朱雀大街南段1号汇成天玺C座18层</w:t>
      </w:r>
    </w:p>
    <w:p>
      <w:pPr>
        <w:pStyle w:val="null3"/>
      </w:pPr>
      <w:r>
        <w:rPr/>
        <w:t xml:space="preserve"> 邮编： </w:t>
      </w:r>
      <w:r>
        <w:rPr/>
        <w:t>710000</w:t>
      </w:r>
    </w:p>
    <w:p>
      <w:pPr>
        <w:pStyle w:val="null3"/>
      </w:pPr>
      <w:r>
        <w:rPr/>
        <w:t xml:space="preserve"> 联系人： </w:t>
      </w:r>
      <w:r>
        <w:rPr/>
        <w:t>秦工</w:t>
      </w:r>
    </w:p>
    <w:p>
      <w:pPr>
        <w:pStyle w:val="null3"/>
      </w:pPr>
      <w:r>
        <w:rPr/>
        <w:t xml:space="preserve"> 联系电话： </w:t>
      </w:r>
      <w:r>
        <w:rPr/>
        <w:t>029-87592321</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采购包1：1,520,000.00元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采购包1保证金金额：30,000.00元</w:t>
            </w:r>
          </w:p>
          <w:p>
            <w:pPr>
              <w:pStyle w:val="null3"/>
            </w:pPr>
            <w:r>
              <w:rPr/>
              <w:t>缴交渠道：电子保函,转账、支票、汇票等（需通过实体账户、户名及开户行信息）</w:t>
            </w:r>
          </w:p>
          <w:p>
            <w:pPr>
              <w:pStyle w:val="null3"/>
            </w:pPr>
            <w:r>
              <w:rPr/>
              <w:t>开户名称：华招广和项目管理有限公司</w:t>
            </w:r>
          </w:p>
          <w:p>
            <w:pPr>
              <w:pStyle w:val="null3"/>
            </w:pPr>
            <w:r>
              <w:rPr/>
              <w:t>开户银行：中信银行西安朱雀南路支行</w:t>
            </w:r>
          </w:p>
          <w:p>
            <w:pPr>
              <w:pStyle w:val="null3"/>
            </w:pPr>
            <w:r>
              <w:rPr/>
              <w:t>银行账号：8111 7010 1190 0609 835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成交后，成交供应商与采购人洽谈合同条款，并签订供货合同，同时送代理机构归档，谈判文件及成交供应商响应文件均作为合同的组成部分；供应商成交后（无论整体或部分成交），须向学校交纳合同履约保证金，履约保证金金额为成交金额的5%。 转账账号：西北大学 611301015018001145006 交通银行太白路支行 转账金额到账后，可持银行回执到西北大学采购与招标办公室换取收据。 待合同执行完毕、货物验收合格后凭验收单和缴款收据，合同履约保证金予以退还。如遇下列情况之一者，合同履约保证金不予退还，作为对采购人的赔偿： （1）合同签订后不能按合同时限要求供货或安装调试的； （2）所供货物与合同不符或验收不合格的； （3）不能按合同履约的。 2、根据需要，代理机构应协助采购人监督、协调和处理履约过程中出现的问题； 3、陕西省财政厅政府采购管理处在合同履行期间以及履行期后，可以随时检查项目的执行情况，对采购标准、采购内容进行调查核实，并对发现的问题进行处理。</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人在领取成交通知书时，参照原《国家计委关于印发&lt;招标代理服务收费管理暂行办法&gt;的通知》(计价格〔2002〕1980号)、《国家发展改革委关于降低部分建设项目收费标准规范收费行为等有关问题的通知》(发改价格〔2011〕534号)以及财政部关于印发&lt;政府采购代理机构管理暂行办法&gt;的通知》（财库〔2018〕2号）规定，下浮20%，向华招广和项目管理有限公司交纳招标服务费。 2、招标代理服务费应采用转账形式交纳。3、收款账户如下：收款单位：华招广和项目管理有限公司 开户银行：中国建设银行股份有限公司西安金泰假日花城支行 银行账号：6105 0186 5800 0000 0059。</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西北大学</w:t>
      </w:r>
      <w:r>
        <w:rPr/>
        <w:t>和</w:t>
      </w:r>
      <w:r>
        <w:rPr/>
        <w:t>华招广和项目管理有限公司</w:t>
      </w:r>
      <w:r>
        <w:rPr/>
        <w:t>享有。竞争性谈判文件中供应商参加本次政府采购活动应当具备的条件、技术清单、参数、商务及其他要求由</w:t>
      </w:r>
      <w:r>
        <w:rPr/>
        <w:t>西北大学</w:t>
      </w:r>
      <w:r>
        <w:rPr/>
        <w:t>负责解释。除上述竞争性谈判文件内容，其他内容由</w:t>
      </w:r>
      <w:r>
        <w:rPr/>
        <w:t>华招广和项目管理有限公司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西北大学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华招广和项目管理有限公司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按采购文件、响应文件及合同约定执行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华招广和项目管理有限公司</w:t>
      </w:r>
      <w:r>
        <w:rPr/>
        <w:t xml:space="preserve"> 负责答复；供应商对除采购需求外的采购文件的询问、质疑由</w:t>
      </w:r>
      <w:r>
        <w:rPr/>
        <w:t>华招广和项目管理有限公司</w:t>
      </w:r>
      <w:r>
        <w:rPr/>
        <w:t xml:space="preserve"> 负责答复；供应商对采购过程、采购结果的询问、质疑由 </w:t>
      </w:r>
      <w:r>
        <w:rPr/>
        <w:t>华招广和项目管理有限公司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联系人：秦工</w:t>
      </w:r>
    </w:p>
    <w:p>
      <w:pPr>
        <w:pStyle w:val="null3"/>
      </w:pPr>
      <w:r>
        <w:rPr/>
        <w:t>联系电话：029-87592321</w:t>
      </w:r>
    </w:p>
    <w:p>
      <w:pPr>
        <w:pStyle w:val="null3"/>
      </w:pPr>
      <w:r>
        <w:rPr/>
        <w:t>地址：西安市朱雀大街南段1号汇成天玺C座18层</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流式细胞仪,1台，本项目已通过进口产品采购核准，允许采购进口产品。简要技术要求、用途：科研实验，具体详见采购文件。</w:t>
      </w:r>
    </w:p>
    <w:p>
      <w:pPr>
        <w:pStyle w:val="null3"/>
        <w:outlineLvl w:val="2"/>
      </w:pPr>
      <w:r>
        <w:rPr>
          <w:sz w:val="28"/>
          <w:b/>
        </w:rPr>
        <w:t>3.2采购内容</w:t>
      </w:r>
    </w:p>
    <w:p>
      <w:pPr>
        <w:pStyle w:val="null3"/>
      </w:pPr>
      <w:r>
        <w:rPr/>
        <w:t>采购包1：</w:t>
      </w:r>
    </w:p>
    <w:p>
      <w:pPr>
        <w:pStyle w:val="null3"/>
      </w:pPr>
      <w:r>
        <w:rPr/>
        <w:t>采购包预算金额（元）: 1,520,000.00</w:t>
      </w:r>
    </w:p>
    <w:p>
      <w:pPr>
        <w:pStyle w:val="null3"/>
      </w:pPr>
      <w:r>
        <w:rPr/>
        <w:t>采购包最高限价（元）: 1,520,000.00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流式细胞仪</w:t>
            </w:r>
          </w:p>
        </w:tc>
        <w:tc>
          <w:tcPr>
            <w:tcW w:type="dxa" w:w="831"/>
          </w:tcPr>
          <w:p>
            <w:pPr>
              <w:pStyle w:val="null3"/>
              <w:jc w:val="right"/>
            </w:pPr>
            <w:r>
              <w:rPr/>
              <w:t>1.00</w:t>
            </w:r>
          </w:p>
        </w:tc>
        <w:tc>
          <w:tcPr>
            <w:tcW w:type="dxa" w:w="831"/>
          </w:tcPr>
          <w:p>
            <w:pPr>
              <w:pStyle w:val="null3"/>
              <w:jc w:val="right"/>
            </w:pPr>
            <w:r>
              <w:rPr/>
              <w:t>1,520,000.00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标的名称：流式细胞仪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流式细胞仪</w:t>
            </w:r>
            <w:r>
              <w:rPr>
                <w:rFonts w:ascii="宋体" w:hAnsi="宋体" w:cs="宋体" w:eastAsia="宋体"/>
                <w:sz w:val="24"/>
              </w:rPr>
              <w:t>，数量：</w:t>
            </w:r>
            <w:r>
              <w:rPr>
                <w:rFonts w:ascii="宋体" w:hAnsi="宋体" w:cs="宋体" w:eastAsia="宋体"/>
                <w:sz w:val="24"/>
              </w:rPr>
              <w:t>1台</w:t>
            </w:r>
          </w:p>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技术参数与性能指标</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both"/>
                  </w:pPr>
                  <w:r>
                    <w:rPr>
                      <w:rFonts w:ascii="宋体" w:hAnsi="宋体" w:cs="宋体" w:eastAsia="宋体"/>
                      <w:sz w:val="24"/>
                    </w:rPr>
                    <w:t>1</w:t>
                  </w:r>
                  <w:r>
                    <w:rPr>
                      <w:rFonts w:ascii="宋体" w:hAnsi="宋体" w:cs="宋体" w:eastAsia="宋体"/>
                      <w:sz w:val="24"/>
                    </w:rPr>
                    <w:t>、光学系统：</w:t>
                  </w:r>
                </w:p>
                <w:p>
                  <w:pPr>
                    <w:pStyle w:val="null3"/>
                    <w:jc w:val="both"/>
                  </w:pPr>
                  <w:r>
                    <w:rPr>
                      <w:rFonts w:ascii="宋体" w:hAnsi="宋体" w:cs="宋体" w:eastAsia="宋体"/>
                      <w:sz w:val="24"/>
                    </w:rPr>
                    <w:t>（</w:t>
                  </w:r>
                  <w:r>
                    <w:rPr>
                      <w:rFonts w:ascii="宋体" w:hAnsi="宋体" w:cs="宋体" w:eastAsia="宋体"/>
                      <w:sz w:val="24"/>
                    </w:rPr>
                    <w:t>1）标准配置四根固态平顶光斑激光器，激发波长分别为488nm、637nm、405nm、561</w:t>
                  </w:r>
                  <w:r>
                    <w:rPr>
                      <w:rFonts w:ascii="宋体" w:hAnsi="宋体" w:cs="宋体" w:eastAsia="宋体"/>
                      <w:sz w:val="24"/>
                    </w:rPr>
                    <w:t>nm，激光功率全部≥50mW</w:t>
                  </w:r>
                  <w:r>
                    <w:rPr>
                      <w:rFonts w:ascii="宋体" w:hAnsi="宋体" w:cs="宋体" w:eastAsia="宋体"/>
                      <w:sz w:val="24"/>
                    </w:rPr>
                    <w:t>；</w:t>
                  </w:r>
                  <w:r>
                    <w:rPr>
                      <w:rFonts w:ascii="宋体" w:hAnsi="宋体" w:cs="宋体" w:eastAsia="宋体"/>
                      <w:sz w:val="24"/>
                    </w:rPr>
                    <w:t>不接受定制机型</w:t>
                  </w:r>
                  <w:r>
                    <w:rPr>
                      <w:rFonts w:ascii="宋体" w:hAnsi="宋体" w:cs="宋体" w:eastAsia="宋体"/>
                      <w:sz w:val="24"/>
                    </w:rPr>
                    <w:t>，</w:t>
                  </w:r>
                  <w:r>
                    <w:rPr>
                      <w:rFonts w:ascii="宋体" w:hAnsi="宋体" w:cs="宋体" w:eastAsia="宋体"/>
                      <w:sz w:val="24"/>
                    </w:rPr>
                    <w:t>要求所有激光器平行排列。</w:t>
                  </w:r>
                </w:p>
                <w:p>
                  <w:pPr>
                    <w:pStyle w:val="null3"/>
                    <w:jc w:val="both"/>
                  </w:pPr>
                  <w:r>
                    <w:rPr>
                      <w:rFonts w:ascii="宋体" w:hAnsi="宋体" w:cs="宋体" w:eastAsia="宋体"/>
                      <w:sz w:val="24"/>
                    </w:rPr>
                    <w:t>（</w:t>
                  </w:r>
                  <w:r>
                    <w:rPr>
                      <w:rFonts w:ascii="宋体" w:hAnsi="宋体" w:cs="宋体" w:eastAsia="宋体"/>
                      <w:sz w:val="24"/>
                    </w:rPr>
                    <w:t>2）配备≥16个独立光学检测器：其中散射光检测器2个，荧光检测器≥14个；</w:t>
                  </w:r>
                </w:p>
                <w:p>
                  <w:pPr>
                    <w:pStyle w:val="null3"/>
                    <w:jc w:val="both"/>
                  </w:pPr>
                  <w:r>
                    <w:rPr>
                      <w:rFonts w:ascii="宋体" w:hAnsi="宋体" w:cs="宋体" w:eastAsia="宋体"/>
                      <w:sz w:val="24"/>
                    </w:rPr>
                    <w:t>（</w:t>
                  </w:r>
                  <w:r>
                    <w:rPr>
                      <w:rFonts w:ascii="宋体" w:hAnsi="宋体" w:cs="宋体" w:eastAsia="宋体"/>
                      <w:sz w:val="24"/>
                    </w:rPr>
                    <w:t>3）采用插拔式滤光片设计，使用者可根据实验需求定制、更换滤光片；</w:t>
                  </w:r>
                </w:p>
                <w:p>
                  <w:pPr>
                    <w:pStyle w:val="null3"/>
                    <w:jc w:val="both"/>
                  </w:pPr>
                  <w:r>
                    <w:rPr>
                      <w:rFonts w:ascii="宋体" w:hAnsi="宋体" w:cs="宋体" w:eastAsia="宋体"/>
                      <w:sz w:val="24"/>
                    </w:rPr>
                    <w:t>（</w:t>
                  </w:r>
                  <w:r>
                    <w:rPr>
                      <w:rFonts w:ascii="宋体" w:hAnsi="宋体" w:cs="宋体" w:eastAsia="宋体"/>
                      <w:sz w:val="24"/>
                    </w:rPr>
                    <w:t>4）荧光信号收集必须只能采用行业通用、性能稳定可靠的光电倍增管检测器（PMT），同时使用者可调节PMT电压；</w:t>
                  </w:r>
                </w:p>
                <w:p>
                  <w:pPr>
                    <w:pStyle w:val="null3"/>
                    <w:jc w:val="both"/>
                  </w:pPr>
                  <w:r>
                    <w:rPr>
                      <w:rFonts w:ascii="宋体" w:hAnsi="宋体" w:cs="宋体" w:eastAsia="宋体"/>
                      <w:sz w:val="24"/>
                    </w:rPr>
                    <w:t>（</w:t>
                  </w:r>
                  <w:r>
                    <w:rPr>
                      <w:rFonts w:ascii="宋体" w:hAnsi="宋体" w:cs="宋体" w:eastAsia="宋体"/>
                      <w:sz w:val="24"/>
                    </w:rPr>
                    <w:t>5）激光器无预热延迟，具有自动关闭功能从而延长使用寿命；</w:t>
                  </w:r>
                </w:p>
                <w:p>
                  <w:pPr>
                    <w:pStyle w:val="null3"/>
                    <w:jc w:val="both"/>
                  </w:pPr>
                  <w:r>
                    <w:rPr>
                      <w:rFonts w:ascii="宋体" w:hAnsi="宋体" w:cs="宋体" w:eastAsia="宋体"/>
                      <w:sz w:val="24"/>
                    </w:rPr>
                    <w:t>（</w:t>
                  </w:r>
                  <w:r>
                    <w:rPr>
                      <w:rFonts w:ascii="宋体" w:hAnsi="宋体" w:cs="宋体" w:eastAsia="宋体"/>
                      <w:sz w:val="24"/>
                    </w:rPr>
                    <w:t>6）每个激光器都有聚焦透镜，通过光纤连接到激光器接口。</w:t>
                  </w:r>
                </w:p>
                <w:p>
                  <w:pPr>
                    <w:pStyle w:val="null3"/>
                    <w:jc w:val="both"/>
                  </w:pPr>
                  <w:r>
                    <w:rPr>
                      <w:rFonts w:ascii="宋体" w:hAnsi="宋体" w:cs="宋体" w:eastAsia="宋体"/>
                      <w:sz w:val="24"/>
                    </w:rPr>
                    <w:t>2</w:t>
                  </w:r>
                  <w:r>
                    <w:rPr>
                      <w:rFonts w:ascii="宋体" w:hAnsi="宋体" w:cs="宋体" w:eastAsia="宋体"/>
                      <w:sz w:val="24"/>
                    </w:rPr>
                    <w:t>、液流系统：</w:t>
                  </w:r>
                </w:p>
                <w:p>
                  <w:pPr>
                    <w:pStyle w:val="null3"/>
                    <w:jc w:val="both"/>
                  </w:pPr>
                  <w:r>
                    <w:rPr>
                      <w:rFonts w:ascii="宋体" w:hAnsi="宋体" w:cs="宋体" w:eastAsia="宋体"/>
                      <w:sz w:val="24"/>
                    </w:rPr>
                    <w:t>（</w:t>
                  </w:r>
                  <w:r>
                    <w:rPr>
                      <w:rFonts w:ascii="宋体" w:hAnsi="宋体" w:cs="宋体" w:eastAsia="宋体"/>
                      <w:sz w:val="24"/>
                    </w:rPr>
                    <w:t>1）采用最新的注射泵定量进样，无需辅助微球直接进行绝对计数；</w:t>
                  </w:r>
                </w:p>
                <w:p>
                  <w:pPr>
                    <w:pStyle w:val="null3"/>
                    <w:jc w:val="both"/>
                  </w:pPr>
                  <w:r>
                    <w:rPr>
                      <w:rFonts w:ascii="宋体" w:hAnsi="宋体" w:cs="宋体" w:eastAsia="宋体"/>
                      <w:sz w:val="24"/>
                    </w:rPr>
                    <w:t>（</w:t>
                  </w:r>
                  <w:r>
                    <w:rPr>
                      <w:rFonts w:ascii="宋体" w:hAnsi="宋体" w:cs="宋体" w:eastAsia="宋体"/>
                      <w:sz w:val="24"/>
                    </w:rPr>
                    <w:t>2）进样体积：40 μL-4 mL，单次上样体积可达4mL；</w:t>
                  </w:r>
                </w:p>
                <w:p>
                  <w:pPr>
                    <w:pStyle w:val="null3"/>
                    <w:jc w:val="both"/>
                  </w:pPr>
                  <w:r>
                    <w:rPr>
                      <w:rFonts w:ascii="宋体" w:hAnsi="宋体" w:cs="宋体" w:eastAsia="宋体"/>
                      <w:sz w:val="24"/>
                    </w:rPr>
                    <w:t>（</w:t>
                  </w:r>
                  <w:r>
                    <w:rPr>
                      <w:rFonts w:ascii="宋体" w:hAnsi="宋体" w:cs="宋体" w:eastAsia="宋体"/>
                      <w:sz w:val="24"/>
                    </w:rPr>
                    <w:t>3）进样速度：最高流速 ≥</w:t>
                  </w:r>
                  <w:r>
                    <w:rPr>
                      <w:rFonts w:ascii="宋体" w:hAnsi="宋体" w:cs="宋体" w:eastAsia="宋体"/>
                      <w:sz w:val="24"/>
                    </w:rPr>
                    <w:t>200</w:t>
                  </w:r>
                  <w:r>
                    <w:rPr>
                      <w:rFonts w:ascii="宋体" w:hAnsi="宋体" w:cs="宋体" w:eastAsia="宋体"/>
                      <w:sz w:val="24"/>
                    </w:rPr>
                    <w:t>μL/min ；</w:t>
                  </w:r>
                </w:p>
                <w:p>
                  <w:pPr>
                    <w:pStyle w:val="null3"/>
                    <w:jc w:val="both"/>
                  </w:pPr>
                  <w:r>
                    <w:rPr>
                      <w:rFonts w:ascii="宋体" w:hAnsi="宋体" w:cs="宋体" w:eastAsia="宋体"/>
                      <w:sz w:val="24"/>
                    </w:rPr>
                    <w:t>（</w:t>
                  </w:r>
                  <w:r>
                    <w:rPr>
                      <w:rFonts w:ascii="宋体" w:hAnsi="宋体" w:cs="宋体" w:eastAsia="宋体"/>
                      <w:sz w:val="24"/>
                    </w:rPr>
                    <w:t>4）进样方式：支持流式管以及各种规格的EP管进样；</w:t>
                  </w:r>
                </w:p>
                <w:p>
                  <w:pPr>
                    <w:pStyle w:val="null3"/>
                    <w:jc w:val="both"/>
                  </w:pPr>
                  <w:r>
                    <w:rPr>
                      <w:rFonts w:ascii="宋体" w:hAnsi="宋体" w:cs="宋体" w:eastAsia="宋体"/>
                      <w:sz w:val="24"/>
                    </w:rPr>
                    <w:t>（</w:t>
                  </w:r>
                  <w:r>
                    <w:rPr>
                      <w:rFonts w:ascii="宋体" w:hAnsi="宋体" w:cs="宋体" w:eastAsia="宋体"/>
                      <w:sz w:val="24"/>
                    </w:rPr>
                    <w:t>5）要求仪器紧凑小巧，鞘液桶和废液桶内置，摒弃大型的外挂式或液流车系统设计，每天鞘液消耗量≤1.8L，低成本运行；</w:t>
                  </w:r>
                </w:p>
                <w:p>
                  <w:pPr>
                    <w:pStyle w:val="null3"/>
                    <w:jc w:val="both"/>
                  </w:pPr>
                  <w:r>
                    <w:rPr>
                      <w:rFonts w:ascii="宋体" w:hAnsi="宋体" w:cs="宋体" w:eastAsia="宋体"/>
                      <w:sz w:val="24"/>
                    </w:rPr>
                    <w:t>（</w:t>
                  </w:r>
                  <w:r>
                    <w:rPr>
                      <w:rFonts w:ascii="宋体" w:hAnsi="宋体" w:cs="宋体" w:eastAsia="宋体"/>
                      <w:sz w:val="24"/>
                    </w:rPr>
                    <w:t>6）内置清洗液和关机液，一键式开关机，清洗消毒程序自动进行；</w:t>
                  </w:r>
                </w:p>
                <w:p>
                  <w:pPr>
                    <w:pStyle w:val="null3"/>
                    <w:jc w:val="both"/>
                  </w:pPr>
                  <w:r>
                    <w:rPr>
                      <w:rFonts w:ascii="宋体" w:hAnsi="宋体" w:cs="宋体" w:eastAsia="宋体"/>
                      <w:sz w:val="24"/>
                    </w:rPr>
                    <w:t>（</w:t>
                  </w:r>
                  <w:r>
                    <w:rPr>
                      <w:rFonts w:ascii="宋体" w:hAnsi="宋体" w:cs="宋体" w:eastAsia="宋体"/>
                      <w:sz w:val="24"/>
                    </w:rPr>
                    <w:t>7）仪器内储存溶液全部配置液位传感器，以监测液面位置。</w:t>
                  </w:r>
                </w:p>
                <w:p>
                  <w:pPr>
                    <w:pStyle w:val="null3"/>
                    <w:jc w:val="both"/>
                  </w:pPr>
                  <w:r>
                    <w:rPr>
                      <w:rFonts w:ascii="宋体" w:hAnsi="宋体" w:cs="宋体" w:eastAsia="宋体"/>
                      <w:sz w:val="24"/>
                    </w:rPr>
                    <w:t>3</w:t>
                  </w:r>
                  <w:r>
                    <w:rPr>
                      <w:rFonts w:ascii="宋体" w:hAnsi="宋体" w:cs="宋体" w:eastAsia="宋体"/>
                      <w:sz w:val="24"/>
                    </w:rPr>
                    <w:t>、性能检测指标：</w:t>
                  </w:r>
                </w:p>
                <w:p>
                  <w:pPr>
                    <w:pStyle w:val="null3"/>
                    <w:jc w:val="both"/>
                  </w:pPr>
                  <w:r>
                    <w:rPr>
                      <w:rFonts w:ascii="宋体" w:hAnsi="宋体" w:cs="宋体" w:eastAsia="宋体"/>
                      <w:sz w:val="24"/>
                    </w:rPr>
                    <w:t>（</w:t>
                  </w:r>
                  <w:r>
                    <w:rPr>
                      <w:rFonts w:ascii="宋体" w:hAnsi="宋体" w:cs="宋体" w:eastAsia="宋体"/>
                      <w:sz w:val="24"/>
                    </w:rPr>
                    <w:t>1）荧光检测灵敏度：FITC ≤ 80 MESF, PE ≤ 30 MESF, APC ≤ 70 MESF；</w:t>
                  </w:r>
                </w:p>
                <w:p>
                  <w:pPr>
                    <w:pStyle w:val="null3"/>
                    <w:jc w:val="left"/>
                  </w:pPr>
                  <w:r>
                    <w:rPr>
                      <w:rFonts w:ascii="宋体" w:hAnsi="宋体" w:cs="宋体" w:eastAsia="宋体"/>
                      <w:sz w:val="24"/>
                    </w:rPr>
                    <w:t>（</w:t>
                  </w:r>
                  <w:r>
                    <w:rPr>
                      <w:rFonts w:ascii="宋体" w:hAnsi="宋体" w:cs="宋体" w:eastAsia="宋体"/>
                      <w:sz w:val="24"/>
                    </w:rPr>
                    <w:t>2）数据获取速率：≥65,000 events/秒；确保在500 μL /min上样流速检测时，检测PI染色小鸡红细胞CV</w:t>
                  </w:r>
                  <w:r>
                    <w:rPr>
                      <w:rFonts w:ascii="宋体" w:hAnsi="宋体" w:cs="宋体" w:eastAsia="宋体"/>
                      <w:sz w:val="24"/>
                    </w:rPr>
                    <w:t>≤</w:t>
                  </w:r>
                  <w:r>
                    <w:rPr>
                      <w:rFonts w:ascii="宋体" w:hAnsi="宋体" w:cs="宋体" w:eastAsia="宋体"/>
                      <w:sz w:val="24"/>
                    </w:rPr>
                    <w:t xml:space="preserve"> </w:t>
                  </w:r>
                  <w:r>
                    <w:rPr>
                      <w:rFonts w:ascii="宋体" w:hAnsi="宋体" w:cs="宋体" w:eastAsia="宋体"/>
                      <w:sz w:val="24"/>
                    </w:rPr>
                    <w:t>3.0%。</w:t>
                  </w:r>
                </w:p>
                <w:p>
                  <w:pPr>
                    <w:pStyle w:val="null3"/>
                    <w:jc w:val="both"/>
                  </w:pPr>
                  <w:r>
                    <w:rPr>
                      <w:rFonts w:ascii="宋体" w:hAnsi="宋体" w:cs="宋体" w:eastAsia="宋体"/>
                      <w:sz w:val="24"/>
                    </w:rPr>
                    <w:t>4、</w:t>
                  </w:r>
                  <w:r>
                    <w:rPr>
                      <w:rFonts w:ascii="宋体" w:hAnsi="宋体" w:cs="宋体" w:eastAsia="宋体"/>
                      <w:sz w:val="24"/>
                    </w:rPr>
                    <w:t>电子软件系统：</w:t>
                  </w:r>
                </w:p>
                <w:p>
                  <w:pPr>
                    <w:pStyle w:val="null3"/>
                    <w:jc w:val="both"/>
                  </w:pPr>
                  <w:r>
                    <w:rPr>
                      <w:rFonts w:ascii="宋体" w:hAnsi="宋体" w:cs="宋体" w:eastAsia="宋体"/>
                      <w:sz w:val="24"/>
                    </w:rPr>
                    <w:t>（</w:t>
                  </w:r>
                  <w:r>
                    <w:rPr>
                      <w:rFonts w:ascii="宋体" w:hAnsi="宋体" w:cs="宋体" w:eastAsia="宋体"/>
                      <w:sz w:val="24"/>
                    </w:rPr>
                    <w:t>1）最多收集事件：单个样本</w:t>
                  </w:r>
                  <w:r>
                    <w:rPr>
                      <w:rFonts w:ascii="宋体" w:hAnsi="宋体" w:cs="宋体" w:eastAsia="宋体"/>
                      <w:sz w:val="24"/>
                    </w:rPr>
                    <w:t>≥</w:t>
                  </w:r>
                  <w:r>
                    <w:rPr>
                      <w:rFonts w:ascii="宋体" w:hAnsi="宋体" w:cs="宋体" w:eastAsia="宋体"/>
                      <w:sz w:val="24"/>
                    </w:rPr>
                    <w:t>（</w:t>
                  </w:r>
                  <w:r>
                    <w:rPr>
                      <w:rFonts w:ascii="宋体" w:hAnsi="宋体" w:cs="宋体" w:eastAsia="宋体"/>
                      <w:sz w:val="24"/>
                    </w:rPr>
                    <w:t>2×10</w:t>
                  </w:r>
                  <w:r>
                    <w:rPr>
                      <w:rFonts w:ascii="宋体" w:hAnsi="宋体" w:cs="宋体" w:eastAsia="宋体"/>
                      <w:sz w:val="24"/>
                      <w:vertAlign w:val="superscript"/>
                    </w:rPr>
                    <w:t>7</w:t>
                  </w:r>
                  <w:r>
                    <w:rPr>
                      <w:rFonts w:ascii="宋体" w:hAnsi="宋体" w:cs="宋体" w:eastAsia="宋体"/>
                      <w:sz w:val="24"/>
                    </w:rPr>
                    <w:t>）个细胞或颗粒数据；</w:t>
                  </w:r>
                </w:p>
                <w:p>
                  <w:pPr>
                    <w:pStyle w:val="null3"/>
                    <w:jc w:val="both"/>
                  </w:pPr>
                  <w:r>
                    <w:rPr>
                      <w:rFonts w:ascii="宋体" w:hAnsi="宋体" w:cs="宋体" w:eastAsia="宋体"/>
                      <w:sz w:val="24"/>
                    </w:rPr>
                    <w:t>（</w:t>
                  </w:r>
                  <w:r>
                    <w:rPr>
                      <w:rFonts w:ascii="宋体" w:hAnsi="宋体" w:cs="宋体" w:eastAsia="宋体"/>
                      <w:sz w:val="24"/>
                    </w:rPr>
                    <w:t>2）每个参数可同时采集Area、Height和Width脉冲信号，可消除粘连细胞的干扰；</w:t>
                  </w:r>
                </w:p>
                <w:p>
                  <w:pPr>
                    <w:pStyle w:val="null3"/>
                    <w:jc w:val="both"/>
                  </w:pPr>
                  <w:r>
                    <w:rPr>
                      <w:rFonts w:ascii="宋体" w:hAnsi="宋体" w:cs="宋体" w:eastAsia="宋体"/>
                      <w:sz w:val="24"/>
                    </w:rPr>
                    <w:t>（</w:t>
                  </w:r>
                  <w:r>
                    <w:rPr>
                      <w:rFonts w:ascii="宋体" w:hAnsi="宋体" w:cs="宋体" w:eastAsia="宋体"/>
                      <w:sz w:val="24"/>
                    </w:rPr>
                    <w:t>3）可同时设定≥4个阈值，阈值能设置在任意参数上，可去除非目标信号的干扰；</w:t>
                  </w:r>
                </w:p>
                <w:p>
                  <w:pPr>
                    <w:pStyle w:val="null3"/>
                    <w:jc w:val="both"/>
                  </w:pPr>
                  <w:r>
                    <w:rPr>
                      <w:rFonts w:ascii="宋体" w:hAnsi="宋体" w:cs="宋体" w:eastAsia="宋体"/>
                      <w:sz w:val="24"/>
                    </w:rPr>
                    <w:t>（</w:t>
                  </w:r>
                  <w:r>
                    <w:rPr>
                      <w:rFonts w:ascii="宋体" w:hAnsi="宋体" w:cs="宋体" w:eastAsia="宋体"/>
                      <w:sz w:val="24"/>
                    </w:rPr>
                    <w:t>4）数据输出FSC 3.0和FSC 3.1格式，兼容FlowJo等第三方分析软件。</w:t>
                  </w:r>
                </w:p>
                <w:p>
                  <w:pPr>
                    <w:pStyle w:val="null3"/>
                    <w:spacing w:before="150" w:after="150"/>
                    <w:jc w:val="both"/>
                  </w:pPr>
                  <w:r>
                    <w:rPr>
                      <w:rFonts w:ascii="宋体" w:hAnsi="宋体" w:cs="宋体" w:eastAsia="宋体"/>
                      <w:sz w:val="24"/>
                    </w:rPr>
                    <w:t>5、</w:t>
                  </w:r>
                  <w:r>
                    <w:rPr>
                      <w:rFonts w:ascii="宋体" w:hAnsi="宋体" w:cs="宋体" w:eastAsia="宋体"/>
                      <w:sz w:val="24"/>
                    </w:rPr>
                    <w:t>配置清单：</w:t>
                  </w:r>
                </w:p>
                <w:p>
                  <w:pPr>
                    <w:pStyle w:val="null3"/>
                    <w:jc w:val="both"/>
                  </w:pPr>
                  <w:r>
                    <w:rPr>
                      <w:rFonts w:ascii="宋体" w:hAnsi="宋体" w:cs="宋体" w:eastAsia="宋体"/>
                      <w:sz w:val="24"/>
                    </w:rPr>
                    <w:t>1.主机</w:t>
                  </w:r>
                  <w:r>
                    <w:rPr>
                      <w:rFonts w:ascii="宋体" w:hAnsi="宋体" w:cs="宋体" w:eastAsia="宋体"/>
                      <w:sz w:val="24"/>
                    </w:rPr>
                    <w:t>：</w:t>
                  </w:r>
                  <w:r>
                    <w:rPr>
                      <w:rFonts w:ascii="宋体" w:hAnsi="宋体" w:cs="宋体" w:eastAsia="宋体"/>
                      <w:sz w:val="24"/>
                    </w:rPr>
                    <w:t>1</w:t>
                  </w:r>
                  <w:r>
                    <w:rPr>
                      <w:rFonts w:ascii="宋体" w:hAnsi="宋体" w:cs="宋体" w:eastAsia="宋体"/>
                      <w:sz w:val="24"/>
                    </w:rPr>
                    <w:t>台</w:t>
                  </w:r>
                </w:p>
                <w:p>
                  <w:pPr>
                    <w:pStyle w:val="null3"/>
                    <w:jc w:val="both"/>
                  </w:pPr>
                  <w:r>
                    <w:rPr>
                      <w:rFonts w:ascii="宋体" w:hAnsi="宋体" w:cs="宋体" w:eastAsia="宋体"/>
                      <w:sz w:val="24"/>
                    </w:rPr>
                    <w:t>2.电脑工作站</w:t>
                  </w:r>
                  <w:r>
                    <w:rPr>
                      <w:rFonts w:ascii="宋体" w:hAnsi="宋体" w:cs="宋体" w:eastAsia="宋体"/>
                      <w:sz w:val="24"/>
                    </w:rPr>
                    <w:t>：</w:t>
                  </w:r>
                  <w:r>
                    <w:rPr>
                      <w:rFonts w:ascii="宋体" w:hAnsi="宋体" w:cs="宋体" w:eastAsia="宋体"/>
                      <w:sz w:val="24"/>
                    </w:rPr>
                    <w:t>1</w:t>
                  </w:r>
                  <w:r>
                    <w:rPr>
                      <w:rFonts w:ascii="宋体" w:hAnsi="宋体" w:cs="宋体" w:eastAsia="宋体"/>
                      <w:sz w:val="24"/>
                    </w:rPr>
                    <w:t>套</w:t>
                  </w:r>
                  <w:r>
                    <w:rPr>
                      <w:rFonts w:ascii="宋体" w:hAnsi="宋体" w:cs="宋体" w:eastAsia="宋体"/>
                      <w:sz w:val="21"/>
                    </w:rPr>
                    <w:t>（</w:t>
                  </w:r>
                  <w:r>
                    <w:rPr>
                      <w:rFonts w:ascii="calibri" w:hAnsi="calibri" w:cs="calibri" w:eastAsia="calibri"/>
                      <w:sz w:val="21"/>
                    </w:rPr>
                    <w:t>Windows®</w:t>
                  </w:r>
                  <w:r>
                    <w:rPr>
                      <w:rFonts w:ascii="calibri" w:hAnsi="calibri" w:cs="calibri" w:eastAsia="calibri"/>
                      <w:sz w:val="21"/>
                    </w:rPr>
                    <w:t xml:space="preserve"> 10 64</w:t>
                  </w:r>
                  <w:r>
                    <w:rPr>
                      <w:rFonts w:ascii="宋体" w:hAnsi="宋体" w:cs="宋体" w:eastAsia="宋体"/>
                      <w:sz w:val="21"/>
                    </w:rPr>
                    <w:t>位操作系统，</w:t>
                  </w:r>
                  <w:r>
                    <w:rPr>
                      <w:rFonts w:ascii="calibri" w:hAnsi="calibri" w:cs="calibri" w:eastAsia="calibri"/>
                      <w:sz w:val="21"/>
                    </w:rPr>
                    <w:t>Intel® CoreTM i7</w:t>
                  </w:r>
                  <w:r>
                    <w:rPr>
                      <w:rFonts w:ascii="calibri" w:hAnsi="calibri" w:cs="calibri" w:eastAsia="calibri"/>
                      <w:sz w:val="21"/>
                    </w:rPr>
                    <w:t xml:space="preserve"> </w:t>
                  </w:r>
                  <w:r>
                    <w:rPr>
                      <w:rFonts w:ascii="宋体" w:hAnsi="宋体" w:cs="宋体" w:eastAsia="宋体"/>
                      <w:sz w:val="21"/>
                    </w:rPr>
                    <w:t>处理器</w:t>
                  </w:r>
                  <w:r>
                    <w:rPr>
                      <w:rFonts w:ascii="宋体" w:hAnsi="宋体" w:cs="宋体" w:eastAsia="宋体"/>
                      <w:sz w:val="24"/>
                    </w:rPr>
                    <w:t>，</w:t>
                  </w:r>
                  <w:r>
                    <w:rPr>
                      <w:rFonts w:ascii="宋体" w:hAnsi="宋体" w:cs="宋体" w:eastAsia="宋体"/>
                      <w:sz w:val="24"/>
                    </w:rPr>
                    <w:t>≥</w:t>
                  </w:r>
                  <w:r>
                    <w:rPr>
                      <w:rFonts w:ascii="calibri" w:hAnsi="calibri" w:cs="calibri" w:eastAsia="calibri"/>
                      <w:sz w:val="21"/>
                    </w:rPr>
                    <w:t>32</w:t>
                  </w:r>
                  <w:r>
                    <w:rPr>
                      <w:rFonts w:ascii="宋体" w:hAnsi="宋体" w:cs="宋体" w:eastAsia="宋体"/>
                      <w:sz w:val="21"/>
                    </w:rPr>
                    <w:t xml:space="preserve"> </w:t>
                  </w:r>
                  <w:r>
                    <w:rPr>
                      <w:rFonts w:ascii="calibri" w:hAnsi="calibri" w:cs="calibri" w:eastAsia="calibri"/>
                      <w:sz w:val="21"/>
                    </w:rPr>
                    <w:t>GB</w:t>
                  </w:r>
                  <w:r>
                    <w:rPr>
                      <w:rFonts w:ascii="宋体" w:hAnsi="宋体" w:cs="宋体" w:eastAsia="宋体"/>
                      <w:sz w:val="21"/>
                    </w:rPr>
                    <w:t>内存，</w:t>
                  </w:r>
                  <w:r>
                    <w:rPr>
                      <w:rFonts w:ascii="宋体" w:hAnsi="宋体" w:cs="宋体" w:eastAsia="宋体"/>
                      <w:sz w:val="24"/>
                    </w:rPr>
                    <w:t>≥</w:t>
                  </w:r>
                  <w:r>
                    <w:rPr>
                      <w:rFonts w:ascii="宋体" w:hAnsi="宋体" w:cs="宋体" w:eastAsia="宋体"/>
                      <w:sz w:val="24"/>
                    </w:rPr>
                    <w:t>2TB SATA</w:t>
                  </w:r>
                  <w:r>
                    <w:rPr>
                      <w:rFonts w:ascii="宋体" w:hAnsi="宋体" w:cs="宋体" w:eastAsia="宋体"/>
                      <w:sz w:val="24"/>
                    </w:rPr>
                    <w:t>固态硬盘，</w:t>
                  </w:r>
                  <w:r>
                    <w:rPr>
                      <w:rFonts w:ascii="宋体" w:hAnsi="宋体" w:cs="宋体" w:eastAsia="宋体"/>
                      <w:sz w:val="21"/>
                    </w:rPr>
                    <w:t>显示屏</w:t>
                  </w:r>
                  <w:r>
                    <w:rPr>
                      <w:rFonts w:ascii="宋体" w:hAnsi="宋体" w:cs="宋体" w:eastAsia="宋体"/>
                      <w:sz w:val="24"/>
                    </w:rPr>
                    <w:t>≥</w:t>
                  </w:r>
                  <w:r>
                    <w:rPr>
                      <w:rFonts w:ascii="calibri" w:hAnsi="calibri" w:cs="calibri" w:eastAsia="calibri"/>
                      <w:sz w:val="21"/>
                    </w:rPr>
                    <w:t>23</w:t>
                  </w:r>
                  <w:r>
                    <w:rPr>
                      <w:rFonts w:ascii="宋体" w:hAnsi="宋体" w:cs="宋体" w:eastAsia="宋体"/>
                      <w:sz w:val="21"/>
                    </w:rPr>
                    <w:t>英寸</w:t>
                  </w:r>
                  <w:r>
                    <w:rPr>
                      <w:rFonts w:ascii="宋体" w:hAnsi="宋体" w:cs="宋体" w:eastAsia="宋体"/>
                      <w:sz w:val="21"/>
                    </w:rPr>
                    <w:t>）</w:t>
                  </w:r>
                </w:p>
                <w:p>
                  <w:pPr>
                    <w:pStyle w:val="null3"/>
                    <w:jc w:val="both"/>
                  </w:pPr>
                  <w:r>
                    <w:rPr>
                      <w:rFonts w:ascii="宋体" w:hAnsi="宋体" w:cs="宋体" w:eastAsia="宋体"/>
                      <w:sz w:val="24"/>
                    </w:rPr>
                    <w:t xml:space="preserve">3.校准微球 </w:t>
                  </w:r>
                  <w:r>
                    <w:rPr>
                      <w:rFonts w:ascii="宋体" w:hAnsi="宋体" w:cs="宋体" w:eastAsia="宋体"/>
                      <w:sz w:val="24"/>
                    </w:rPr>
                    <w:t>：</w:t>
                  </w:r>
                  <w:r>
                    <w:rPr>
                      <w:rFonts w:ascii="宋体" w:hAnsi="宋体" w:cs="宋体" w:eastAsia="宋体"/>
                      <w:sz w:val="24"/>
                    </w:rPr>
                    <w:t>1</w:t>
                  </w:r>
                  <w:r>
                    <w:rPr>
                      <w:rFonts w:ascii="宋体" w:hAnsi="宋体" w:cs="宋体" w:eastAsia="宋体"/>
                      <w:sz w:val="24"/>
                    </w:rPr>
                    <w:t>瓶</w:t>
                  </w:r>
                </w:p>
                <w:p>
                  <w:pPr>
                    <w:pStyle w:val="null3"/>
                    <w:jc w:val="both"/>
                  </w:pPr>
                  <w:r>
                    <w:rPr>
                      <w:rFonts w:ascii="宋体" w:hAnsi="宋体" w:cs="宋体" w:eastAsia="宋体"/>
                      <w:sz w:val="24"/>
                    </w:rPr>
                    <w:t xml:space="preserve">4.鞘液 </w:t>
                  </w:r>
                  <w:r>
                    <w:rPr>
                      <w:rFonts w:ascii="宋体" w:hAnsi="宋体" w:cs="宋体" w:eastAsia="宋体"/>
                      <w:sz w:val="24"/>
                    </w:rPr>
                    <w:t>≥</w:t>
                  </w:r>
                  <w:r>
                    <w:rPr>
                      <w:rFonts w:ascii="宋体" w:hAnsi="宋体" w:cs="宋体" w:eastAsia="宋体"/>
                      <w:sz w:val="24"/>
                    </w:rPr>
                    <w:t>10L</w:t>
                  </w:r>
                  <w:r>
                    <w:rPr>
                      <w:rFonts w:ascii="宋体" w:hAnsi="宋体" w:cs="宋体" w:eastAsia="宋体"/>
                      <w:sz w:val="24"/>
                    </w:rPr>
                    <w:t>：</w:t>
                  </w:r>
                  <w:r>
                    <w:rPr>
                      <w:rFonts w:ascii="宋体" w:hAnsi="宋体" w:cs="宋体" w:eastAsia="宋体"/>
                      <w:sz w:val="24"/>
                    </w:rPr>
                    <w:t>2桶</w:t>
                  </w:r>
                </w:p>
                <w:p>
                  <w:pPr>
                    <w:pStyle w:val="null3"/>
                    <w:jc w:val="both"/>
                  </w:pPr>
                  <w:r>
                    <w:rPr>
                      <w:rFonts w:ascii="宋体" w:hAnsi="宋体" w:cs="宋体" w:eastAsia="宋体"/>
                      <w:sz w:val="24"/>
                    </w:rPr>
                    <w:t>5.</w:t>
                  </w:r>
                  <w:r>
                    <w:rPr>
                      <w:rFonts w:ascii="宋体" w:hAnsi="宋体" w:cs="宋体" w:eastAsia="宋体"/>
                      <w:sz w:val="24"/>
                    </w:rPr>
                    <w:t>≥</w:t>
                  </w:r>
                  <w:r>
                    <w:rPr>
                      <w:rFonts w:ascii="宋体" w:hAnsi="宋体" w:cs="宋体" w:eastAsia="宋体"/>
                      <w:sz w:val="24"/>
                    </w:rPr>
                    <w:t>250ml 清洗液</w:t>
                  </w:r>
                  <w:r>
                    <w:rPr>
                      <w:rFonts w:ascii="宋体" w:hAnsi="宋体" w:cs="宋体" w:eastAsia="宋体"/>
                      <w:sz w:val="24"/>
                    </w:rPr>
                    <w:t>：</w:t>
                  </w:r>
                  <w:r>
                    <w:rPr>
                      <w:rFonts w:ascii="宋体" w:hAnsi="宋体" w:cs="宋体" w:eastAsia="宋体"/>
                      <w:sz w:val="24"/>
                    </w:rPr>
                    <w:t xml:space="preserve"> </w:t>
                  </w:r>
                  <w:r>
                    <w:rPr>
                      <w:rFonts w:ascii="宋体" w:hAnsi="宋体" w:cs="宋体" w:eastAsia="宋体"/>
                      <w:sz w:val="24"/>
                    </w:rPr>
                    <w:t>1瓶</w:t>
                  </w:r>
                </w:p>
                <w:p>
                  <w:pPr>
                    <w:pStyle w:val="null3"/>
                    <w:jc w:val="both"/>
                  </w:pPr>
                  <w:r>
                    <w:rPr>
                      <w:rFonts w:ascii="宋体" w:hAnsi="宋体" w:cs="宋体" w:eastAsia="宋体"/>
                      <w:sz w:val="24"/>
                    </w:rPr>
                    <w:t>6.</w:t>
                  </w:r>
                  <w:r>
                    <w:rPr>
                      <w:rFonts w:ascii="宋体" w:hAnsi="宋体" w:cs="宋体" w:eastAsia="宋体"/>
                      <w:sz w:val="24"/>
                    </w:rPr>
                    <w:t>≥</w:t>
                  </w:r>
                  <w:r>
                    <w:rPr>
                      <w:rFonts w:ascii="宋体" w:hAnsi="宋体" w:cs="宋体" w:eastAsia="宋体"/>
                      <w:sz w:val="24"/>
                    </w:rPr>
                    <w:t>250ml关机液</w:t>
                  </w:r>
                  <w:r>
                    <w:rPr>
                      <w:rFonts w:ascii="宋体" w:hAnsi="宋体" w:cs="宋体" w:eastAsia="宋体"/>
                      <w:sz w:val="24"/>
                    </w:rPr>
                    <w:t>：</w:t>
                  </w:r>
                  <w:r>
                    <w:rPr>
                      <w:rFonts w:ascii="宋体" w:hAnsi="宋体" w:cs="宋体" w:eastAsia="宋体"/>
                      <w:sz w:val="24"/>
                    </w:rPr>
                    <w:t xml:space="preserve"> </w:t>
                  </w:r>
                  <w:r>
                    <w:rPr>
                      <w:rFonts w:ascii="宋体" w:hAnsi="宋体" w:cs="宋体" w:eastAsia="宋体"/>
                      <w:sz w:val="24"/>
                    </w:rPr>
                    <w:t>1瓶</w:t>
                  </w:r>
                </w:p>
                <w:p>
                  <w:pPr>
                    <w:pStyle w:val="null3"/>
                    <w:jc w:val="both"/>
                  </w:pPr>
                  <w:r>
                    <w:rPr>
                      <w:rFonts w:ascii="宋体" w:hAnsi="宋体" w:cs="宋体" w:eastAsia="宋体"/>
                      <w:sz w:val="24"/>
                    </w:rPr>
                    <w:t>7.软件</w:t>
                  </w:r>
                  <w:r>
                    <w:rPr>
                      <w:rFonts w:ascii="宋体" w:hAnsi="宋体" w:cs="宋体" w:eastAsia="宋体"/>
                      <w:sz w:val="24"/>
                    </w:rPr>
                    <w:t>：</w:t>
                  </w:r>
                  <w:r>
                    <w:rPr>
                      <w:rFonts w:ascii="宋体" w:hAnsi="宋体" w:cs="宋体" w:eastAsia="宋体"/>
                      <w:sz w:val="24"/>
                    </w:rPr>
                    <w:t>1</w:t>
                  </w:r>
                  <w:r>
                    <w:rPr>
                      <w:rFonts w:ascii="宋体" w:hAnsi="宋体" w:cs="宋体" w:eastAsia="宋体"/>
                      <w:sz w:val="24"/>
                    </w:rPr>
                    <w:t>套</w:t>
                  </w:r>
                </w:p>
                <w:p>
                  <w:pPr>
                    <w:pStyle w:val="null3"/>
                    <w:jc w:val="both"/>
                  </w:pPr>
                  <w:r>
                    <w:rPr>
                      <w:rFonts w:ascii="宋体" w:hAnsi="宋体" w:cs="宋体" w:eastAsia="宋体"/>
                      <w:sz w:val="24"/>
                      <w:color w:val="000000"/>
                    </w:rPr>
                    <w:t>（注：所有技术参数均须满足采购要求，不得负偏离；所有技术参数提供佐证资料（不限于官网截图或产品彩页或技术白皮书等任意一种，不提供视为负偏离。）</w:t>
                  </w:r>
                </w:p>
              </w:tc>
            </w:tr>
          </w:tbl>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合同签订后120日内</w:t>
      </w:r>
    </w:p>
    <w:p>
      <w:pPr>
        <w:pStyle w:val="null3"/>
        <w:outlineLvl w:val="3"/>
      </w:pPr>
      <w:r>
        <w:rPr>
          <w:sz w:val="24"/>
          <w:b/>
        </w:rPr>
        <w:t>3.4.2交货地点和方式</w:t>
      </w:r>
    </w:p>
    <w:p>
      <w:pPr>
        <w:pStyle w:val="null3"/>
      </w:pPr>
      <w:r>
        <w:rPr/>
        <w:t>采购包1：</w:t>
      </w:r>
    </w:p>
    <w:p>
      <w:pPr>
        <w:pStyle w:val="null3"/>
      </w:pPr>
      <w:r>
        <w:rPr/>
        <w:t>西北大学指定地点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【进口设备】：合同生效后，由甲方通过进出口业务代理公司向乙方开出100%信用证，待货物到货、安装调试、并经学校组织验收合格后，由甲方通知进出口业务代理公司向乙方解付； 【国产设备】：合同生效后，中标供应商开具合同金额等额银行保函，采购人收到银行保函正本后预付合同货款，待货物到达指定地点、安装调试验收合格后，采购人退还银行保函正本</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outlineLvl w:val="3"/>
      </w:pPr>
      <w:r>
        <w:rPr>
          <w:sz w:val="24"/>
          <w:b/>
        </w:rPr>
        <w:t>3.4.7质量保修范围和保修期</w:t>
      </w:r>
    </w:p>
    <w:p>
      <w:pPr>
        <w:pStyle w:val="null3"/>
      </w:pPr>
      <w:r>
        <w:rPr/>
        <w:t>采购包1：</w:t>
      </w:r>
    </w:p>
    <w:p>
      <w:pPr>
        <w:pStyle w:val="null3"/>
      </w:pPr>
      <w:r>
        <w:rPr/>
        <w:t>1、设备的质保期为设备验收合格后2年； 2、质保期内，若发生产品质量问题，乙方应解决；否则，甲方将乙方列入“政府采购联合惩戒黑名单”，并追究法律责任； 3、为甲方在货物使用地提供1—3人的操作、保养及维修培训； 4、即时响应（包括电话响应）；电话响应无法解决时， 4 小时内到达现场。修复时间 48 小时内；如 48 小时内无法修复，应提供相应解决方案。</w:t>
      </w:r>
    </w:p>
    <w:p>
      <w:pPr>
        <w:pStyle w:val="null3"/>
        <w:outlineLvl w:val="3"/>
      </w:pPr>
      <w:r>
        <w:rPr>
          <w:sz w:val="24"/>
          <w:b/>
        </w:rPr>
        <w:t>3.4.8违约责任及解决争议的方法</w:t>
      </w:r>
    </w:p>
    <w:p>
      <w:pPr>
        <w:pStyle w:val="null3"/>
      </w:pPr>
      <w:r>
        <w:rPr/>
        <w:t>采购包1：</w:t>
      </w:r>
    </w:p>
    <w:p>
      <w:pPr>
        <w:pStyle w:val="null3"/>
      </w:pPr>
      <w:r>
        <w:rPr/>
        <w:t>中标/成交供应商所交付服务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sz w:val="24"/>
          <w:b/>
        </w:rPr>
        <w:t>3.5其他要求</w:t>
      </w:r>
    </w:p>
    <w:p>
      <w:pPr>
        <w:pStyle w:val="null3"/>
      </w:pPr>
      <w:r>
        <w:rPr/>
        <w:t>采购包1：</w:t>
      </w:r>
    </w:p>
    <w:p>
      <w:pPr>
        <w:pStyle w:val="null3"/>
      </w:pPr>
      <w:r>
        <w:rPr/>
        <w:t>响应报价包括但不限于以下费用：货物价值、安装调试费、国内外运杂费（含保险）、仓储保管费、技术培训费、检测费、施工费、人工费、进口业务相关费用（按合同金额的0.77%收取。包括外贸代理公司进口业务代理费、国内外银行手续费、报关费、商检费等）及进口货物按国家政策征收的一切税费（按国家政策规定甲方可以享受的免税部分除外）等。</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单位负责人为同一人或者存在直接控股、管理关系的不同供应商不得参加同一合同项下的政府采购活动；供应商需在项目电子化交易系统中按要求填写《响应函》完成承诺并进行电子签章。</w:t>
            </w:r>
          </w:p>
        </w:tc>
        <w:tc>
          <w:tcPr>
            <w:tcW w:type="dxa" w:w="1661"/>
          </w:tcPr>
          <w:p>
            <w:pPr>
              <w:pStyle w:val="null3"/>
            </w:pPr>
            <w:r>
              <w:rPr/>
              <w:t>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落实政府采购政策资格审查</w:t>
            </w:r>
          </w:p>
        </w:tc>
        <w:tc>
          <w:tcPr>
            <w:tcW w:type="dxa" w:w="3322"/>
          </w:tcPr>
          <w:p>
            <w:pPr>
              <w:pStyle w:val="null3"/>
            </w:pPr>
            <w:r>
              <w:rPr/>
              <w:t>（1）、《政府采购促进中小企业发展管理办法》的通知--财库[2020]46号、《关于进一步加大政府采购支持中小企业力度的通知》（财库【2022】19号）、《财政部司法部关于政府采购支持监狱企业发展有关问题的通知》（财库〔2014〕68号）、《财政部民政部中国残疾人联合会关于促进残疾人就业政府采购政策的通知》（财库〔2017〕141号）； （2）、《陕西省财政厅关于加快推进我省中小企业政府采购信用融资工作的通知》（陕财办采〔2020〕15号）、陕西省财政厅关于印发《陕西省中小企业政府采购信用融资办法》(陕财办采[2018]23号)； （3）、《国务院办公厅关于建立政府强制采购节能产品制度的通知》（国办发〔2007〕51号）、《财政部发展改革委生态环境部市场监督总局关于调整优化节能产品、环境标志产品政府采购执行机制的通知》（财库[2019]9号）、《关于印发环境标志产品政府采购品目清单的通知》（财库〔2019〕18号）、《关于印发节能产品政府采购品目清单的通知》（财库〔2019〕19号）、《市场监督总局关于发布参与实施政府采购节能产品、环境标志产品认证机构名录的公告》（2019年第16号）； （4）、《陕西省财政厅关于进一步加大政府采购支持中小企业力度的通知》（陕财办采〔2022〕5号）、《陕西省财政厅关于落实政府采购支持中小企业政策有关事项的通知》（陕财办采函〔2022〕10号） （5）、《财政部 农业农村部 国家乡村振兴局关于运用政府采购政策支持乡村产业振兴的通知》（财库〔2021〕19 号）、《财政部农业农村部国家乡村振兴局 中华全国供销合作总社关于印发&lt;关于深入开展政府采购脱贫地区农副产品工作推进乡村产业振兴的实施意见&gt;的通知》（财库〔2021〕20 号）、《财政部国务院扶贫办关于运用政府采购政策支持脱贫攻坚的通知》（财库〔2019〕27号）； （6）《关于进一步加强政府绿色采购有关问题的通知》（陕财办采〔2021〕29号）； （7）如有最新颁布的政府采购政策，按最新的文件执行。</w:t>
            </w:r>
          </w:p>
        </w:tc>
        <w:tc>
          <w:tcPr>
            <w:tcW w:type="dxa" w:w="1661"/>
          </w:tcPr>
          <w:p>
            <w:pPr>
              <w:pStyle w:val="null3"/>
            </w:pPr>
            <w:r>
              <w:rPr/>
              <w:t>中小企业声明函 残疾人福利性单位声明函 监狱、戒毒企业声明函</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具有独立承担民事责任能力的法人、其他组织或自然人，提 供合法有效的统一社会信用代码营业执照（事业单位提供法人证书，自然人提供身份证）；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具有良好的商业信誉和健全的财务会计制度</w:t>
            </w:r>
          </w:p>
        </w:tc>
        <w:tc>
          <w:tcPr>
            <w:tcW w:type="dxa" w:w="3322"/>
          </w:tcPr>
          <w:p>
            <w:pPr>
              <w:pStyle w:val="null3"/>
            </w:pPr>
            <w:r>
              <w:rPr/>
              <w:t>提供经审计的2023年度完整的财务报告（成立时间至开标时间不足一年的可提供成立后任意时段的资产负债表）或开标前六个月内其基本账户银行出具的资信证明（附开户许可证或基本账户证明）或政府采购信用担保机构出具的投标担保函，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响应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成立不足一个月的提供依法纳税的承诺书，格式自拟；零报税的提供申报成功的凭证）。</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响应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供应商向代缴方用于缴存社保的银行转账单据 ）；依法不需要缴纳社会保障资金的 供应商应提供相关文件证明（成立不足一个月的提供将依法交纳社会保障资金的承诺书，格式自 拟）。</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具有履行本合同所必需的设备和专业技术能力的说明及承诺</w:t>
            </w:r>
          </w:p>
        </w:tc>
        <w:tc>
          <w:tcPr>
            <w:tcW w:type="dxa" w:w="3322"/>
          </w:tcPr>
          <w:p>
            <w:pPr>
              <w:pStyle w:val="null3"/>
            </w:pPr>
            <w:r>
              <w:rPr/>
              <w:t>提供具有履行本合同所必需的设备和专业技术能力的说明及承诺；（格式自拟，加盖供应商公章）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提供参加政府采购活动前三年内在经营活动中没有重大违法记录的书面声明。（格式自拟，加盖供应商公章）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法定代表人或负责人资格证明书</w:t>
            </w:r>
          </w:p>
        </w:tc>
        <w:tc>
          <w:tcPr>
            <w:tcW w:type="dxa" w:w="3322"/>
          </w:tcPr>
          <w:p>
            <w:pPr>
              <w:pStyle w:val="null3"/>
            </w:pPr>
            <w:r>
              <w:rPr/>
              <w:t>法定代表人或负责人参与投标时需提供法定代表人或负责人资格证明书（附法定代表人或负责人身份证复印件）；</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法定代表人或负责人授权委托书</w:t>
            </w:r>
          </w:p>
        </w:tc>
        <w:tc>
          <w:tcPr>
            <w:tcW w:type="dxa" w:w="3322"/>
          </w:tcPr>
          <w:p>
            <w:pPr>
              <w:pStyle w:val="null3"/>
            </w:pPr>
            <w:r>
              <w:rPr/>
              <w:t>被授权人参与投标时需提供法定代表人或负责人授权委托书（附法定代表人或负责人及被授权人身份证复印件）；</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谈判保证金交纳凭证或担保函</w:t>
            </w:r>
          </w:p>
        </w:tc>
        <w:tc>
          <w:tcPr>
            <w:tcW w:type="dxa" w:w="3322"/>
          </w:tcPr>
          <w:p>
            <w:pPr>
              <w:pStyle w:val="null3"/>
            </w:pPr>
            <w:r>
              <w:rPr/>
              <w:t>谈判保证金交纳凭证或担保函；（保证金交纳凭证复印件或担保函复印件加盖公章）</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信用查询</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tc>
        <w:tc>
          <w:tcPr>
            <w:tcW w:type="dxa" w:w="1661"/>
          </w:tcPr>
          <w:p>
            <w:pPr>
              <w:pStyle w:val="null3"/>
            </w:pPr>
            <w:r>
              <w:rPr/>
              <w:t>资格证明文件</w:t>
            </w:r>
          </w:p>
        </w:tc>
      </w:tr>
      <w:tr>
        <w:tc>
          <w:tcPr>
            <w:tcW w:type="dxa" w:w="831"/>
          </w:tcPr>
          <w:p>
            <w:pPr>
              <w:pStyle w:val="null3"/>
            </w:pPr>
            <w:r>
              <w:rPr/>
              <w:t>11</w:t>
            </w:r>
          </w:p>
        </w:tc>
        <w:tc>
          <w:tcPr>
            <w:tcW w:type="dxa" w:w="2492"/>
          </w:tcPr>
          <w:p>
            <w:pPr>
              <w:pStyle w:val="null3"/>
            </w:pPr>
            <w:r>
              <w:rPr/>
              <w:t>单位负责人为同一人或者存在直接控股、管理关系的不同供应商，不得参加同一合同项下的政府采购活动</w:t>
            </w:r>
          </w:p>
        </w:tc>
        <w:tc>
          <w:tcPr>
            <w:tcW w:type="dxa" w:w="3322"/>
          </w:tcPr>
          <w:p>
            <w:pPr>
              <w:pStyle w:val="null3"/>
            </w:pPr>
            <w:r>
              <w:rPr/>
              <w:t>单位负责人为同一人或者存在直接控股、管理关系的不同供应商，不得参加同一合同项下的政府采购活动；（提供书面承诺函，格式自拟加盖供应商公章）</w:t>
            </w:r>
          </w:p>
        </w:tc>
        <w:tc>
          <w:tcPr>
            <w:tcW w:type="dxa" w:w="1661"/>
          </w:tcPr>
          <w:p>
            <w:pPr>
              <w:pStyle w:val="null3"/>
            </w:pPr>
            <w:r>
              <w:rPr/>
              <w:t>资格证明文件</w:t>
            </w:r>
          </w:p>
        </w:tc>
      </w:tr>
      <w:tr>
        <w:tc>
          <w:tcPr>
            <w:tcW w:type="dxa" w:w="831"/>
          </w:tcPr>
          <w:p>
            <w:pPr>
              <w:pStyle w:val="null3"/>
            </w:pPr>
            <w:r>
              <w:rPr/>
              <w:t>12</w:t>
            </w:r>
          </w:p>
        </w:tc>
        <w:tc>
          <w:tcPr>
            <w:tcW w:type="dxa" w:w="2492"/>
          </w:tcPr>
          <w:p>
            <w:pPr>
              <w:pStyle w:val="null3"/>
            </w:pPr>
            <w:r>
              <w:rPr/>
              <w:t>本项目不接受联合体谈判</w:t>
            </w:r>
          </w:p>
        </w:tc>
        <w:tc>
          <w:tcPr>
            <w:tcW w:type="dxa" w:w="3322"/>
          </w:tcPr>
          <w:p>
            <w:pPr>
              <w:pStyle w:val="null3"/>
            </w:pPr>
            <w:r>
              <w:rPr/>
              <w:t>本项目不接受联合体谈判。（提供书面承诺函，格式自拟加盖供应商公章）</w:t>
            </w:r>
          </w:p>
        </w:tc>
        <w:tc>
          <w:tcPr>
            <w:tcW w:type="dxa" w:w="1661"/>
          </w:tcPr>
          <w:p>
            <w:pPr>
              <w:pStyle w:val="null3"/>
            </w:pPr>
            <w:r>
              <w:rPr/>
              <w:t>资格证明文件</w:t>
            </w:r>
          </w:p>
        </w:tc>
      </w:tr>
      <w:tr>
        <w:tc>
          <w:tcPr>
            <w:tcW w:type="dxa" w:w="831"/>
          </w:tcPr>
          <w:p>
            <w:pPr>
              <w:pStyle w:val="null3"/>
            </w:pPr>
            <w:r>
              <w:rPr/>
              <w:t>13</w:t>
            </w:r>
          </w:p>
        </w:tc>
        <w:tc>
          <w:tcPr>
            <w:tcW w:type="dxa" w:w="2492"/>
          </w:tcPr>
          <w:p>
            <w:pPr>
              <w:pStyle w:val="null3"/>
            </w:pPr>
            <w:r>
              <w:rPr/>
              <w:t>进口产品授权书</w:t>
            </w:r>
          </w:p>
        </w:tc>
        <w:tc>
          <w:tcPr>
            <w:tcW w:type="dxa" w:w="3322"/>
          </w:tcPr>
          <w:p>
            <w:pPr>
              <w:pStyle w:val="null3"/>
            </w:pPr>
            <w:r>
              <w:rPr/>
              <w:t>若所响应产品为进口产品的，供应商须提供产品厂家授权书或总代理商授权书或具有授权权限的供应商对所响应进口产品的授权书。（如提供总代理商授权的须同时提供具有有效授权权限的相关证明文件，证明文件需能显示产品制造厂家对所响应产品授权链条的完整性）</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谈判响应文件按谈判文件要求的数量、计量单位、报价货币及签字盖章</w:t>
            </w:r>
          </w:p>
        </w:tc>
        <w:tc>
          <w:tcPr>
            <w:tcW w:type="dxa" w:w="3322"/>
          </w:tcPr>
          <w:p>
            <w:pPr>
              <w:pStyle w:val="null3"/>
            </w:pPr>
            <w:r>
              <w:rPr/>
              <w:t>谈判响应文件按谈判文件要求的数量、计量单位、报价货币及签字盖章</w:t>
            </w:r>
          </w:p>
        </w:tc>
        <w:tc>
          <w:tcPr>
            <w:tcW w:type="dxa" w:w="1661"/>
          </w:tcPr>
          <w:p>
            <w:pPr>
              <w:pStyle w:val="null3"/>
            </w:pPr>
            <w:r>
              <w:rPr/>
              <w:t>分项报价表 标的清单 报价表 封面 供应商承诺书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分项报价表 业绩 标的清单 报价表 项目实施方案 响应函</w:t>
            </w:r>
          </w:p>
        </w:tc>
      </w:tr>
      <w:tr>
        <w:tc>
          <w:tcPr>
            <w:tcW w:type="dxa" w:w="831"/>
          </w:tcPr>
          <w:p>
            <w:pPr>
              <w:pStyle w:val="null3"/>
            </w:pPr>
            <w:r>
              <w:rPr/>
              <w:t>3</w:t>
            </w:r>
          </w:p>
        </w:tc>
        <w:tc>
          <w:tcPr>
            <w:tcW w:type="dxa" w:w="2492"/>
          </w:tcPr>
          <w:p>
            <w:pPr>
              <w:pStyle w:val="null3"/>
            </w:pPr>
            <w:r>
              <w:rPr/>
              <w:t>有效期</w:t>
            </w:r>
          </w:p>
        </w:tc>
        <w:tc>
          <w:tcPr>
            <w:tcW w:type="dxa" w:w="3322"/>
          </w:tcPr>
          <w:p>
            <w:pPr>
              <w:pStyle w:val="null3"/>
            </w:pPr>
            <w:r>
              <w:rPr/>
              <w:t>谈判响应文件的有效期达到谈判文件要求</w:t>
            </w:r>
          </w:p>
        </w:tc>
        <w:tc>
          <w:tcPr>
            <w:tcW w:type="dxa" w:w="1661"/>
          </w:tcPr>
          <w:p>
            <w:pPr>
              <w:pStyle w:val="null3"/>
            </w:pPr>
            <w:r>
              <w:rPr/>
              <w:t>分项报价表 响应函</w:t>
            </w:r>
          </w:p>
        </w:tc>
      </w:tr>
      <w:tr>
        <w:tc>
          <w:tcPr>
            <w:tcW w:type="dxa" w:w="831"/>
          </w:tcPr>
          <w:p>
            <w:pPr>
              <w:pStyle w:val="null3"/>
            </w:pPr>
            <w:r>
              <w:rPr/>
              <w:t>4</w:t>
            </w:r>
          </w:p>
        </w:tc>
        <w:tc>
          <w:tcPr>
            <w:tcW w:type="dxa" w:w="2492"/>
          </w:tcPr>
          <w:p>
            <w:pPr>
              <w:pStyle w:val="null3"/>
            </w:pPr>
            <w:r>
              <w:rPr/>
              <w:t>其他实质性要求</w:t>
            </w:r>
          </w:p>
        </w:tc>
        <w:tc>
          <w:tcPr>
            <w:tcW w:type="dxa" w:w="3322"/>
          </w:tcPr>
          <w:p>
            <w:pPr>
              <w:pStyle w:val="null3"/>
            </w:pPr>
            <w:r>
              <w:rPr/>
              <w:t>符合法律、法规和谈判文件中规定的其他实质性要求</w:t>
            </w:r>
          </w:p>
        </w:tc>
        <w:tc>
          <w:tcPr>
            <w:tcW w:type="dxa" w:w="1661"/>
          </w:tcPr>
          <w:p>
            <w:pPr>
              <w:pStyle w:val="null3"/>
            </w:pPr>
            <w:r>
              <w:rPr/>
              <w:t>产品的技术文件 售后服务 供应商认为需要提供的其他资料 质量保证承诺 技术规格响应偏离表 商务条款响应偏离表</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监狱、戒毒企业声明函</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详见附件：技术规格响应偏离表</w:t>
      </w:r>
    </w:p>
    <w:p>
      <w:pPr>
        <w:pStyle w:val="null3"/>
        <w:ind w:firstLine="960"/>
      </w:pPr>
      <w:r>
        <w:rPr/>
        <w:t>详见附件：商务条款响应偏离表</w:t>
      </w:r>
    </w:p>
    <w:p>
      <w:pPr>
        <w:pStyle w:val="null3"/>
        <w:ind w:firstLine="960"/>
      </w:pPr>
      <w:r>
        <w:rPr/>
        <w:t>详见附件：资格证明文件</w:t>
      </w:r>
    </w:p>
    <w:p>
      <w:pPr>
        <w:pStyle w:val="null3"/>
        <w:ind w:firstLine="960"/>
      </w:pPr>
      <w:r>
        <w:rPr/>
        <w:t>详见附件：业绩</w:t>
      </w:r>
    </w:p>
    <w:p>
      <w:pPr>
        <w:pStyle w:val="null3"/>
        <w:ind w:firstLine="960"/>
      </w:pPr>
      <w:r>
        <w:rPr/>
        <w:t>详见附件：项目实施方案</w:t>
      </w:r>
    </w:p>
    <w:p>
      <w:pPr>
        <w:pStyle w:val="null3"/>
        <w:ind w:firstLine="960"/>
      </w:pPr>
      <w:r>
        <w:rPr/>
        <w:t>详见附件：产品的技术文件</w:t>
      </w:r>
    </w:p>
    <w:p>
      <w:pPr>
        <w:pStyle w:val="null3"/>
        <w:ind w:firstLine="960"/>
      </w:pPr>
      <w:r>
        <w:rPr/>
        <w:t>详见附件：质量保证承诺</w:t>
      </w:r>
    </w:p>
    <w:p>
      <w:pPr>
        <w:pStyle w:val="null3"/>
        <w:ind w:firstLine="960"/>
      </w:pPr>
      <w:r>
        <w:rPr/>
        <w:t>详见附件：售后服务</w:t>
      </w:r>
    </w:p>
    <w:p>
      <w:pPr>
        <w:pStyle w:val="null3"/>
        <w:ind w:firstLine="960"/>
      </w:pPr>
      <w:r>
        <w:rPr/>
        <w:t>详见附件：供应商认为需要提供的其他资料</w:t>
      </w:r>
    </w:p>
    <w:p>
      <w:pPr>
        <w:pStyle w:val="null3"/>
        <w:ind w:firstLine="960"/>
      </w:pPr>
      <w:r>
        <w:rPr/>
        <w:t>详见附件：供应商承诺书</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详见附件：监狱、戒毒企业声明函</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详见附件：合同范本.docx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