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蛋白液相分析系统采购项目</w:t>
      </w:r>
    </w:p>
    <w:p>
      <w:pPr>
        <w:pStyle w:val="null3"/>
        <w:jc w:val="center"/>
        <w:outlineLvl w:val="2"/>
      </w:pPr>
      <w:r>
        <w:rPr>
          <w:sz w:val="28"/>
          <w:b/>
        </w:rPr>
        <w:t>采购项目编号：</w:t>
      </w:r>
      <w:r>
        <w:rPr>
          <w:sz w:val="28"/>
          <w:b/>
        </w:rPr>
        <w:t>KY2024-3-286</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蛋白液相分析系统采购项目</w:t>
      </w:r>
      <w:r>
        <w:rPr/>
        <w:t>采用竞争性谈判采购方式进行采购，兹邀请供应商参加本项目的竞争性谈判。</w:t>
      </w:r>
    </w:p>
    <w:p>
      <w:pPr>
        <w:pStyle w:val="null3"/>
        <w:outlineLvl w:val="2"/>
      </w:pPr>
      <w:r>
        <w:rPr>
          <w:sz w:val="28"/>
          <w:b/>
        </w:rPr>
        <w:t>一、项目编号：</w:t>
      </w:r>
      <w:r>
        <w:rPr>
          <w:sz w:val="28"/>
          <w:b/>
        </w:rPr>
        <w:t>KY2024-3-286</w:t>
      </w:r>
    </w:p>
    <w:p>
      <w:pPr>
        <w:pStyle w:val="null3"/>
        <w:outlineLvl w:val="2"/>
      </w:pPr>
      <w:r>
        <w:rPr>
          <w:sz w:val="28"/>
          <w:b/>
        </w:rPr>
        <w:t>二、项目名称：</w:t>
      </w:r>
      <w:r>
        <w:rPr>
          <w:sz w:val="28"/>
          <w:b/>
        </w:rPr>
        <w:t>蛋白液相分析系统采购项目</w:t>
      </w:r>
    </w:p>
    <w:p>
      <w:pPr>
        <w:pStyle w:val="null3"/>
        <w:outlineLvl w:val="2"/>
      </w:pPr>
      <w:r>
        <w:rPr>
          <w:sz w:val="28"/>
          <w:b/>
        </w:rPr>
        <w:t>三、谈判项目简介：</w:t>
      </w:r>
    </w:p>
    <w:p>
      <w:pPr>
        <w:pStyle w:val="null3"/>
        <w:ind w:firstLine="480"/>
      </w:pPr>
      <w:r>
        <w:rPr/>
        <w:t>蛋白液相分析系统：1台，已通过进口产品采购核准，允许采购进口产品，具体内容详见谈判文件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徐闫靖双、李瑞洁、戈迪</w:t>
      </w:r>
    </w:p>
    <w:p>
      <w:pPr>
        <w:pStyle w:val="null3"/>
      </w:pPr>
      <w:r>
        <w:rPr/>
        <w:t xml:space="preserve"> 联系电话： </w:t>
      </w:r>
      <w:r>
        <w:rPr/>
        <w:t>029-81206622/81206633-841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采购包1：787,200.00元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采购包1保证金金额：14,000.00元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2、成交供应商应依据成交金额向采购代理机构交纳成交服务费，交费金额参照国家计委颁布的《招标代理服务收费管理暂行办法》（计价格[2002]1980号）及发改办价格[2003]857号文件的规定标准下浮20%收取。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联系人：徐闫靖双、李瑞洁、戈迪</w:t>
      </w:r>
    </w:p>
    <w:p>
      <w:pPr>
        <w:pStyle w:val="null3"/>
      </w:pPr>
      <w:r>
        <w:rPr/>
        <w:t>联系电话：029-81206622/81206633-841</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蛋白液相分析系统：1台，已通过进口产品采购核准，允许采购进口产品，具体内容详见谈判文件。</w:t>
      </w:r>
    </w:p>
    <w:p>
      <w:pPr>
        <w:pStyle w:val="null3"/>
        <w:outlineLvl w:val="2"/>
      </w:pPr>
      <w:r>
        <w:rPr>
          <w:sz w:val="28"/>
          <w:b/>
        </w:rPr>
        <w:t>3.2采购内容</w:t>
      </w:r>
    </w:p>
    <w:p>
      <w:pPr>
        <w:pStyle w:val="null3"/>
      </w:pPr>
      <w:r>
        <w:rPr/>
        <w:t>采购包1：</w:t>
      </w:r>
    </w:p>
    <w:p>
      <w:pPr>
        <w:pStyle w:val="null3"/>
      </w:pPr>
      <w:r>
        <w:rPr/>
        <w:t>采购包预算金额（元）: 787,200.00</w:t>
      </w:r>
    </w:p>
    <w:p>
      <w:pPr>
        <w:pStyle w:val="null3"/>
      </w:pPr>
      <w:r>
        <w:rPr/>
        <w:t>采购包最高限价（元）: 787,200.00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蛋白液相分析系统</w:t>
            </w:r>
          </w:p>
        </w:tc>
        <w:tc>
          <w:tcPr>
            <w:tcW w:type="dxa" w:w="831"/>
          </w:tcPr>
          <w:p>
            <w:pPr>
              <w:pStyle w:val="null3"/>
              <w:jc w:val="right"/>
            </w:pPr>
            <w:r>
              <w:rPr/>
              <w:t>1.00</w:t>
            </w:r>
          </w:p>
        </w:tc>
        <w:tc>
          <w:tcPr>
            <w:tcW w:type="dxa" w:w="831"/>
          </w:tcPr>
          <w:p>
            <w:pPr>
              <w:pStyle w:val="null3"/>
              <w:jc w:val="right"/>
            </w:pPr>
            <w:r>
              <w:rPr/>
              <w:t>787,200.00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标的名称：蛋白液相分析系统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jc w:val="both"/>
            </w:pPr>
            <w:r>
              <w:rPr>
                <w:rFonts w:ascii="&quot;times new roman&quot;" w:hAnsi="&quot;times new roman&quot;" w:cs="&quot;times new roman&quot;" w:eastAsia="&quot;times new roman&quot;"/>
                <w:sz w:val="21"/>
              </w:rPr>
              <w:t>1.工作条件参数</w:t>
            </w:r>
          </w:p>
          <w:p>
            <w:pPr>
              <w:pStyle w:val="null3"/>
            </w:pPr>
            <w:r>
              <w:rPr>
                <w:rFonts w:ascii="&quot;times new roman&quot;" w:hAnsi="&quot;times new roman&quot;" w:cs="&quot;times new roman&quot;" w:eastAsia="&quot;times new roman&quot;"/>
                <w:sz w:val="21"/>
              </w:rPr>
              <w:t>1.1 工作温度：4℃－35℃。</w:t>
            </w:r>
          </w:p>
          <w:p>
            <w:pPr>
              <w:pStyle w:val="null3"/>
            </w:pPr>
            <w:r>
              <w:rPr>
                <w:rFonts w:ascii="&quot;times new roman&quot;" w:hAnsi="&quot;times new roman&quot;" w:cs="&quot;times new roman&quot;" w:eastAsia="&quot;times new roman&quot;"/>
                <w:sz w:val="21"/>
              </w:rPr>
              <w:t>1.2 相对湿度：20%-95%,无冷凝水。</w:t>
            </w:r>
          </w:p>
        </w:tc>
      </w:tr>
      <w:tr>
        <w:tc>
          <w:tcPr>
            <w:tcW w:type="dxa" w:w="2769"/>
          </w:tcPr>
          <w:p/>
        </w:tc>
        <w:tc>
          <w:tcPr>
            <w:tcW w:type="dxa" w:w="2769"/>
          </w:tcPr>
          <w:p>
            <w:pPr>
              <w:pStyle w:val="null3"/>
            </w:pPr>
            <w:r>
              <w:rPr/>
              <w:t>2</w:t>
            </w:r>
          </w:p>
        </w:tc>
        <w:tc>
          <w:tcPr>
            <w:tcW w:type="dxa" w:w="2769"/>
          </w:tcPr>
          <w:p>
            <w:pPr>
              <w:pStyle w:val="null3"/>
              <w:jc w:val="both"/>
            </w:pPr>
            <w:r>
              <w:rPr>
                <w:rFonts w:ascii="&quot;times new roman&quot;" w:hAnsi="&quot;times new roman&quot;" w:cs="&quot;times new roman&quot;" w:eastAsia="&quot;times new roman&quot;"/>
                <w:sz w:val="21"/>
              </w:rPr>
              <w:t>2.系统泵</w:t>
            </w:r>
          </w:p>
          <w:p>
            <w:pPr>
              <w:pStyle w:val="null3"/>
            </w:pPr>
            <w:r>
              <w:rPr>
                <w:rFonts w:ascii="&quot;times new roman&quot;" w:hAnsi="&quot;times new roman&quot;" w:cs="&quot;times new roman&quot;" w:eastAsia="&quot;times new roman&quot;"/>
                <w:sz w:val="21"/>
              </w:rPr>
              <w:t>2.1全自动微量柱塞泵，双泵四泵头，泵头材料为金属材料。</w:t>
            </w:r>
          </w:p>
          <w:p>
            <w:pPr>
              <w:pStyle w:val="null3"/>
            </w:pPr>
            <w:r>
              <w:rPr>
                <w:rFonts w:ascii="&quot;times new roman&quot;" w:hAnsi="&quot;times new roman&quot;" w:cs="&quot;times new roman&quot;" w:eastAsia="&quot;times new roman&quot;"/>
                <w:sz w:val="21"/>
              </w:rPr>
              <w:t>2.2 流速：0.001-25ml/min(单泵)：兼容到直径26mm的柱子。</w:t>
            </w:r>
          </w:p>
          <w:p>
            <w:pPr>
              <w:pStyle w:val="null3"/>
            </w:pPr>
            <w:r>
              <w:rPr>
                <w:rFonts w:ascii="&quot;times new roman&quot;" w:hAnsi="&quot;times new roman&quot;" w:cs="&quot;times new roman&quot;" w:eastAsia="&quot;times new roman&quot;"/>
                <w:sz w:val="21"/>
              </w:rPr>
              <w:t>2.3 压力范围：0–20 MPa (200bar，2900 psi)。</w:t>
            </w:r>
          </w:p>
          <w:p>
            <w:pPr>
              <w:pStyle w:val="null3"/>
            </w:pPr>
            <w:r>
              <w:rPr>
                <w:rFonts w:ascii="&quot;times new roman&quot;" w:hAnsi="&quot;times new roman&quot;" w:cs="&quot;times new roman&quot;" w:eastAsia="&quot;times new roman&quot;"/>
                <w:sz w:val="21"/>
              </w:rPr>
              <w:t>2.4 粘度：0.35-10cp (流速大于12.5ml/min时，5cp)。</w:t>
            </w:r>
          </w:p>
          <w:p>
            <w:pPr>
              <w:pStyle w:val="null3"/>
            </w:pPr>
            <w:r>
              <w:rPr>
                <w:rFonts w:ascii="&quot;times new roman&quot;" w:hAnsi="&quot;times new roman&quot;" w:cs="&quot;times new roman&quot;" w:eastAsia="&quot;times new roman&quot;"/>
                <w:sz w:val="21"/>
              </w:rPr>
              <w:t>2.5 流速重复性：流速准确度：≤±1.2%，流速精度：RSD≤0.5%，0.25–25 ml/min, &lt;3MPa, 0.8–2cP。</w:t>
            </w:r>
          </w:p>
          <w:p>
            <w:pPr>
              <w:pStyle w:val="null3"/>
            </w:pPr>
            <w:r>
              <w:rPr>
                <w:rFonts w:ascii="&quot;times new roman&quot;" w:hAnsi="&quot;times new roman&quot;" w:cs="&quot;times new roman&quot;" w:eastAsia="&quot;times new roman&quot;"/>
                <w:sz w:val="21"/>
              </w:rPr>
              <w:t>2.6 梯度准确度: ≤±0.6%,（条件：5~95%B，梯度流速范围：0.5-25ml/min，压力0.2~2MPa，黏度0.8~2cP）。</w:t>
            </w:r>
          </w:p>
          <w:p>
            <w:pPr>
              <w:pStyle w:val="null3"/>
            </w:pPr>
            <w:r>
              <w:rPr>
                <w:rFonts w:ascii="&quot;times new roman&quot;" w:hAnsi="&quot;times new roman&quot;" w:cs="&quot;times new roman&quot;" w:eastAsia="&quot;times new roman&quot;"/>
                <w:sz w:val="21"/>
              </w:rPr>
              <w:t>2.7 具备恒压调速功能。</w:t>
            </w:r>
          </w:p>
        </w:tc>
      </w:tr>
      <w:tr>
        <w:tc>
          <w:tcPr>
            <w:tcW w:type="dxa" w:w="2769"/>
          </w:tcPr>
          <w:p/>
        </w:tc>
        <w:tc>
          <w:tcPr>
            <w:tcW w:type="dxa" w:w="2769"/>
          </w:tcPr>
          <w:p>
            <w:pPr>
              <w:pStyle w:val="null3"/>
            </w:pPr>
            <w:r>
              <w:rPr/>
              <w:t>3</w:t>
            </w:r>
          </w:p>
        </w:tc>
        <w:tc>
          <w:tcPr>
            <w:tcW w:type="dxa" w:w="2769"/>
          </w:tcPr>
          <w:p>
            <w:pPr>
              <w:pStyle w:val="null3"/>
              <w:jc w:val="both"/>
            </w:pPr>
            <w:r>
              <w:rPr>
                <w:rFonts w:ascii="&quot;times new roman&quot;" w:hAnsi="&quot;times new roman&quot;" w:cs="&quot;times new roman&quot;" w:eastAsia="&quot;times new roman&quot;"/>
                <w:sz w:val="21"/>
              </w:rPr>
              <w:t>3.检测器</w:t>
            </w:r>
          </w:p>
          <w:p>
            <w:pPr>
              <w:pStyle w:val="null3"/>
            </w:pPr>
            <w:r>
              <w:rPr>
                <w:rFonts w:ascii="&quot;times new roman&quot;" w:hAnsi="&quot;times new roman&quot;" w:cs="&quot;times new roman&quot;" w:eastAsia="&quot;times new roman&quot;"/>
                <w:sz w:val="21"/>
              </w:rPr>
              <w:t>3.1紫外可见检测器。</w:t>
            </w:r>
          </w:p>
          <w:p>
            <w:pPr>
              <w:pStyle w:val="null3"/>
            </w:pPr>
            <w:r>
              <w:rPr>
                <w:rFonts w:ascii="&quot;times new roman&quot;" w:hAnsi="&quot;times new roman&quot;" w:cs="&quot;times new roman&quot;" w:eastAsia="&quot;times new roman&quot;"/>
                <w:sz w:val="21"/>
              </w:rPr>
              <w:t>3.1.1 使用单一氙灯光源，紫外/可见光切换；紫外/可见光切换时无需换灯，无需预热，不会加热生物样品。</w:t>
            </w:r>
          </w:p>
          <w:p>
            <w:pPr>
              <w:pStyle w:val="null3"/>
            </w:pPr>
            <w:r>
              <w:rPr>
                <w:rFonts w:ascii="&quot;times new roman&quot;" w:hAnsi="&quot;times new roman&quot;" w:cs="&quot;times new roman&quot;" w:eastAsia="&quot;times new roman&quot;"/>
                <w:sz w:val="21"/>
              </w:rPr>
              <w:t>3.1.1.1 波长范围：190 -700 nm；</w:t>
            </w:r>
          </w:p>
          <w:p>
            <w:pPr>
              <w:pStyle w:val="null3"/>
            </w:pPr>
            <w:r>
              <w:rPr>
                <w:rFonts w:ascii="&quot;times new roman&quot;" w:hAnsi="&quot;times new roman&quot;" w:cs="&quot;times new roman&quot;" w:eastAsia="&quot;times new roman&quot;"/>
                <w:sz w:val="21"/>
              </w:rPr>
              <w:t>3.1.1.2 检测波长：通过单色器可以连续选择、同时检测波长范围内任意3个波长，波长调节范围1nm。</w:t>
            </w:r>
          </w:p>
          <w:p>
            <w:pPr>
              <w:pStyle w:val="null3"/>
            </w:pPr>
            <w:r>
              <w:rPr>
                <w:rFonts w:ascii="&quot;times new roman&quot;" w:hAnsi="&quot;times new roman&quot;" w:cs="&quot;times new roman&quot;" w:eastAsia="&quot;times new roman&quot;"/>
                <w:sz w:val="21"/>
              </w:rPr>
              <w:t>3.1.2 检测范围：≥±6AU，线性：≤2%，在0–2 AU之间，噪音:≤0.08mAu。</w:t>
            </w:r>
          </w:p>
          <w:p>
            <w:pPr>
              <w:pStyle w:val="null3"/>
            </w:pPr>
            <w:r>
              <w:rPr>
                <w:rFonts w:ascii="&quot;times new roman&quot;" w:hAnsi="&quot;times new roman&quot;" w:cs="&quot;times new roman&quot;" w:eastAsia="&quot;times new roman&quot;"/>
                <w:sz w:val="21"/>
              </w:rPr>
              <w:t>3.1.3  压力：0-2Mpa。</w:t>
            </w:r>
          </w:p>
          <w:p>
            <w:pPr>
              <w:pStyle w:val="null3"/>
            </w:pPr>
            <w:r>
              <w:rPr>
                <w:rFonts w:ascii="&quot;times new roman&quot;" w:hAnsi="&quot;times new roman&quot;" w:cs="&quot;times new roman&quot;" w:eastAsia="&quot;times new roman&quot;"/>
                <w:sz w:val="21"/>
              </w:rPr>
              <w:t>3.2 电导检测器</w:t>
            </w:r>
          </w:p>
          <w:p>
            <w:pPr>
              <w:pStyle w:val="null3"/>
            </w:pPr>
            <w:r>
              <w:rPr>
                <w:rFonts w:ascii="&quot;times new roman&quot;" w:hAnsi="&quot;times new roman&quot;" w:cs="&quot;times new roman&quot;" w:eastAsia="&quot;times new roman&quot;"/>
                <w:sz w:val="21"/>
              </w:rPr>
              <w:t>3.2.1 检测范围：0.01－999.99 ms/cm。</w:t>
            </w:r>
          </w:p>
          <w:p>
            <w:pPr>
              <w:pStyle w:val="null3"/>
            </w:pPr>
            <w:r>
              <w:rPr>
                <w:rFonts w:ascii="&quot;times new roman&quot;" w:hAnsi="&quot;times new roman&quot;" w:cs="&quot;times new roman&quot;" w:eastAsia="&quot;times new roman&quot;"/>
                <w:sz w:val="21"/>
              </w:rPr>
              <w:t>3.2.3 压力：0-5Mpa。</w:t>
            </w:r>
          </w:p>
          <w:p>
            <w:pPr>
              <w:pStyle w:val="null3"/>
            </w:pPr>
            <w:r>
              <w:rPr>
                <w:rFonts w:ascii="&quot;times new roman&quot;" w:hAnsi="&quot;times new roman&quot;" w:cs="&quot;times new roman&quot;" w:eastAsia="&quot;times new roman&quot;"/>
                <w:sz w:val="21"/>
              </w:rPr>
              <w:t>3.2.4 电导精确度：≤±0.01mS/cm。</w:t>
            </w:r>
          </w:p>
          <w:p>
            <w:pPr>
              <w:pStyle w:val="null3"/>
            </w:pPr>
            <w:r>
              <w:rPr>
                <w:rFonts w:ascii="&quot;times new roman&quot;" w:hAnsi="&quot;times new roman&quot;" w:cs="&quot;times new roman&quot;" w:eastAsia="&quot;times new roman&quot;"/>
                <w:sz w:val="21"/>
              </w:rPr>
              <w:t>3.3 温度检测器</w:t>
            </w:r>
          </w:p>
          <w:p>
            <w:pPr>
              <w:pStyle w:val="null3"/>
            </w:pPr>
            <w:r>
              <w:rPr>
                <w:rFonts w:ascii="&quot;times new roman&quot;" w:hAnsi="&quot;times new roman&quot;" w:cs="&quot;times new roman&quot;" w:eastAsia="&quot;times new roman&quot;"/>
                <w:sz w:val="21"/>
              </w:rPr>
              <w:t>3.3.1 温度范围：0 - 99℃。</w:t>
            </w:r>
          </w:p>
          <w:p>
            <w:pPr>
              <w:pStyle w:val="null3"/>
            </w:pPr>
            <w:r>
              <w:rPr>
                <w:rFonts w:ascii="&quot;times new roman&quot;" w:hAnsi="&quot;times new roman&quot;" w:cs="&quot;times new roman&quot;" w:eastAsia="&quot;times new roman&quot;"/>
                <w:sz w:val="21"/>
              </w:rPr>
              <w:t>3.3.2 温度准确度：≤± 1.5℃ 在 4℃–45℃ 之间。</w:t>
            </w:r>
          </w:p>
          <w:p>
            <w:pPr>
              <w:pStyle w:val="null3"/>
            </w:pPr>
            <w:r>
              <w:rPr>
                <w:rFonts w:ascii="&quot;times new roman&quot;" w:hAnsi="&quot;times new roman&quot;" w:cs="&quot;times new roman&quot;" w:eastAsia="&quot;times new roman&quot;"/>
                <w:sz w:val="21"/>
              </w:rPr>
              <w:t>3.4 压力传感器</w:t>
            </w:r>
          </w:p>
          <w:p>
            <w:pPr>
              <w:pStyle w:val="null3"/>
            </w:pPr>
            <w:r>
              <w:rPr>
                <w:rFonts w:ascii="&quot;times new roman&quot;" w:hAnsi="&quot;times new roman&quot;" w:cs="&quot;times new roman&quot;" w:eastAsia="&quot;times new roman&quot;"/>
                <w:sz w:val="21"/>
              </w:rPr>
              <w:t>3.4.1 检测范围：0-20MPa。</w:t>
            </w:r>
          </w:p>
          <w:p>
            <w:pPr>
              <w:pStyle w:val="null3"/>
            </w:pPr>
            <w:r>
              <w:rPr>
                <w:rFonts w:ascii="&quot;times new roman&quot;" w:hAnsi="&quot;times new roman&quot;" w:cs="&quot;times new roman&quot;" w:eastAsia="&quot;times new roman&quot;"/>
                <w:sz w:val="21"/>
              </w:rPr>
              <w:t>3.4.2 精确度：≤±0.02MPa或者≤±2%。</w:t>
            </w:r>
          </w:p>
        </w:tc>
      </w:tr>
      <w:tr>
        <w:tc>
          <w:tcPr>
            <w:tcW w:type="dxa" w:w="2769"/>
          </w:tcPr>
          <w:p/>
        </w:tc>
        <w:tc>
          <w:tcPr>
            <w:tcW w:type="dxa" w:w="2769"/>
          </w:tcPr>
          <w:p>
            <w:pPr>
              <w:pStyle w:val="null3"/>
            </w:pPr>
            <w:r>
              <w:rPr/>
              <w:t>4</w:t>
            </w:r>
          </w:p>
        </w:tc>
        <w:tc>
          <w:tcPr>
            <w:tcW w:type="dxa" w:w="2769"/>
          </w:tcPr>
          <w:p>
            <w:pPr>
              <w:pStyle w:val="null3"/>
              <w:jc w:val="both"/>
            </w:pPr>
            <w:r>
              <w:rPr>
                <w:rFonts w:ascii="&quot;times new roman&quot;" w:hAnsi="&quot;times new roman&quot;" w:cs="&quot;times new roman&quot;" w:eastAsia="&quot;times new roman&quot;"/>
                <w:sz w:val="21"/>
              </w:rPr>
              <w:t>4.组分收集器</w:t>
            </w:r>
          </w:p>
          <w:p>
            <w:pPr>
              <w:pStyle w:val="null3"/>
            </w:pPr>
            <w:r>
              <w:rPr>
                <w:rFonts w:ascii="&quot;times new roman&quot;" w:hAnsi="&quot;times new roman&quot;" w:cs="&quot;times new roman&quot;" w:eastAsia="&quot;times new roman&quot;"/>
                <w:sz w:val="21"/>
              </w:rPr>
              <w:t>4.1 可根据体积或峰自动收集：收集范围从0.1ml-50ml。</w:t>
            </w:r>
          </w:p>
          <w:p>
            <w:pPr>
              <w:pStyle w:val="null3"/>
            </w:pPr>
            <w:r>
              <w:rPr>
                <w:rFonts w:ascii="&quot;times new roman&quot;" w:hAnsi="&quot;times new roman&quot;" w:cs="&quot;times new roman&quot;" w:eastAsia="&quot;times new roman&quot;"/>
                <w:sz w:val="21"/>
              </w:rPr>
              <w:t>4.2 具有滴感应器，能防滴漏功能。</w:t>
            </w:r>
          </w:p>
          <w:p>
            <w:pPr>
              <w:pStyle w:val="null3"/>
            </w:pPr>
            <w:r>
              <w:rPr>
                <w:rFonts w:ascii="&quot;times new roman&quot;" w:hAnsi="&quot;times new roman&quot;" w:cs="&quot;times new roman&quot;" w:eastAsia="&quot;times new roman&quot;"/>
                <w:sz w:val="21"/>
              </w:rPr>
              <w:t>4.3 流路：PEEK惰性材料。</w:t>
            </w:r>
          </w:p>
          <w:p>
            <w:pPr>
              <w:pStyle w:val="null3"/>
            </w:pPr>
            <w:r>
              <w:rPr>
                <w:rFonts w:ascii="&quot;times new roman&quot;" w:hAnsi="&quot;times new roman&quot;" w:cs="&quot;times new roman&quot;" w:eastAsia="&quot;times new roman&quot;"/>
                <w:sz w:val="21"/>
              </w:rPr>
              <w:t>4.4 耐受有机溶剂。</w:t>
            </w:r>
          </w:p>
        </w:tc>
      </w:tr>
      <w:tr>
        <w:tc>
          <w:tcPr>
            <w:tcW w:type="dxa" w:w="2769"/>
          </w:tcPr>
          <w:p/>
        </w:tc>
        <w:tc>
          <w:tcPr>
            <w:tcW w:type="dxa" w:w="2769"/>
          </w:tcPr>
          <w:p>
            <w:pPr>
              <w:pStyle w:val="null3"/>
            </w:pPr>
            <w:r>
              <w:rPr/>
              <w:t>5</w:t>
            </w:r>
          </w:p>
        </w:tc>
        <w:tc>
          <w:tcPr>
            <w:tcW w:type="dxa" w:w="2769"/>
          </w:tcPr>
          <w:p>
            <w:pPr>
              <w:pStyle w:val="null3"/>
              <w:jc w:val="both"/>
            </w:pPr>
            <w:r>
              <w:rPr>
                <w:rFonts w:ascii="&quot;times new roman&quot;" w:hAnsi="&quot;times new roman&quot;" w:cs="&quot;times new roman&quot;" w:eastAsia="&quot;times new roman&quot;"/>
                <w:sz w:val="21"/>
              </w:rPr>
              <w:t>5.控制软件</w:t>
            </w:r>
          </w:p>
          <w:p>
            <w:pPr>
              <w:pStyle w:val="null3"/>
            </w:pPr>
            <w:r>
              <w:rPr>
                <w:rFonts w:ascii="&quot;times new roman&quot;" w:hAnsi="&quot;times new roman&quot;" w:cs="&quot;times new roman&quot;" w:eastAsia="&quot;times new roman&quot;"/>
                <w:sz w:val="21"/>
              </w:rPr>
              <w:t>5.1 系统软件控制平台可随时加减控制元件。</w:t>
            </w:r>
          </w:p>
          <w:p>
            <w:pPr>
              <w:pStyle w:val="null3"/>
            </w:pPr>
            <w:r>
              <w:rPr>
                <w:rFonts w:ascii="&quot;times new roman&quot;" w:hAnsi="&quot;times new roman&quot;" w:cs="&quot;times new roman&quot;" w:eastAsia="&quot;times new roman&quot;"/>
                <w:sz w:val="21"/>
              </w:rPr>
              <w:t>5.2完整OPC 协议支持。</w:t>
            </w:r>
          </w:p>
          <w:p>
            <w:pPr>
              <w:pStyle w:val="null3"/>
            </w:pPr>
            <w:r>
              <w:rPr>
                <w:rFonts w:ascii="&quot;times new roman&quot;" w:hAnsi="&quot;times new roman&quot;" w:cs="&quot;times new roman&quot;" w:eastAsia="&quot;times new roman&quot;"/>
                <w:sz w:val="21"/>
              </w:rPr>
              <w:t>5.3 可智能编程也可自行编写程序。</w:t>
            </w:r>
          </w:p>
          <w:p>
            <w:pPr>
              <w:pStyle w:val="null3"/>
            </w:pPr>
            <w:r>
              <w:rPr>
                <w:rFonts w:ascii="&quot;times new roman&quot;" w:hAnsi="&quot;times new roman&quot;" w:cs="&quot;times new roman&quot;" w:eastAsia="&quot;times new roman&quot;"/>
                <w:sz w:val="21"/>
              </w:rPr>
              <w:t>5.4符合GMP/GLP要求。</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2"/>
              </w:rPr>
              <w:t>售后服务标准要求</w:t>
            </w:r>
            <w:r>
              <w:rPr>
                <w:rFonts w:ascii="宋体" w:hAnsi="宋体" w:cs="宋体" w:eastAsia="宋体"/>
                <w:sz w:val="22"/>
              </w:rPr>
              <w:t>：</w:t>
            </w:r>
          </w:p>
          <w:p>
            <w:pPr>
              <w:pStyle w:val="null3"/>
              <w:jc w:val="both"/>
            </w:pPr>
            <w:r>
              <w:rPr>
                <w:rFonts w:ascii="&quot;times new roman&quot;" w:hAnsi="&quot;times new roman&quot;" w:cs="&quot;times new roman&quot;" w:eastAsia="&quot;times new roman&quot;"/>
                <w:sz w:val="21"/>
              </w:rPr>
              <w:t>1、包装运输：按合同要求包装，运输费用由投标方承担。</w:t>
            </w:r>
          </w:p>
          <w:p>
            <w:pPr>
              <w:pStyle w:val="null3"/>
            </w:pPr>
            <w:r>
              <w:rPr>
                <w:rFonts w:ascii="&quot;times new roman&quot;" w:hAnsi="&quot;times new roman&quot;" w:cs="&quot;times new roman&quot;" w:eastAsia="&quot;times new roman&quot;"/>
                <w:sz w:val="21"/>
              </w:rPr>
              <w:t>2、质保期：自学校验收合格后1年</w:t>
            </w:r>
          </w:p>
          <w:p>
            <w:pPr>
              <w:pStyle w:val="null3"/>
            </w:pPr>
            <w:r>
              <w:rPr>
                <w:rFonts w:ascii="&quot;times new roman&quot;" w:hAnsi="&quot;times new roman&quot;" w:cs="&quot;times new roman&quot;" w:eastAsia="&quot;times new roman&quot;"/>
                <w:sz w:val="21"/>
              </w:rPr>
              <w:t>3、收费标准：质保期外只收取维修配件费，免人工费</w:t>
            </w:r>
          </w:p>
          <w:p>
            <w:pPr>
              <w:pStyle w:val="null3"/>
            </w:pPr>
            <w:r>
              <w:rPr>
                <w:rFonts w:ascii="&quot;times new roman&quot;" w:hAnsi="&quot;times new roman&quot;" w:cs="&quot;times new roman&quot;" w:eastAsia="&quot;times new roman&quot;"/>
                <w:sz w:val="21"/>
              </w:rPr>
              <w:t>4、培训支持：现场培训</w:t>
            </w:r>
          </w:p>
          <w:p>
            <w:pPr>
              <w:pStyle w:val="null3"/>
            </w:pPr>
            <w:r>
              <w:rPr>
                <w:rFonts w:ascii="&quot;times new roman&quot;" w:hAnsi="&quot;times new roman&quot;" w:cs="&quot;times new roman&quot;" w:eastAsia="&quot;times new roman&quot;"/>
                <w:sz w:val="21"/>
              </w:rPr>
              <w:t>5、维修响应：1小时内响应，2小时内到达现场</w:t>
            </w:r>
          </w:p>
          <w:p>
            <w:pPr>
              <w:pStyle w:val="null3"/>
            </w:pPr>
            <w:r>
              <w:rPr>
                <w:rFonts w:ascii="&quot;times new roman&quot;" w:hAnsi="&quot;times new roman&quot;" w:cs="&quot;times new roman&quot;" w:eastAsia="&quot;times new roman&quot;"/>
                <w:sz w:val="21"/>
              </w:rPr>
              <w:t>6、到货时间：合同签订后90日内供货，90日内安装调试到位并交付使用。</w:t>
            </w:r>
          </w:p>
        </w:tc>
      </w:tr>
      <w:tr>
        <w:tc>
          <w:tcPr>
            <w:tcW w:type="dxa" w:w="2769"/>
          </w:tcPr>
          <w:p/>
        </w:tc>
        <w:tc>
          <w:tcPr>
            <w:tcW w:type="dxa" w:w="2769"/>
          </w:tcPr>
          <w:p>
            <w:pPr>
              <w:pStyle w:val="null3"/>
            </w:pPr>
            <w:r>
              <w:rPr/>
              <w:t>7</w:t>
            </w:r>
          </w:p>
        </w:tc>
        <w:tc>
          <w:tcPr>
            <w:tcW w:type="dxa" w:w="2769"/>
          </w:tcPr>
          <w:p>
            <w:pPr>
              <w:pStyle w:val="null3"/>
              <w:jc w:val="both"/>
            </w:pPr>
            <w:r>
              <w:rPr>
                <w:rFonts w:ascii="&quot;times new roman&quot;" w:hAnsi="&quot;times new roman&quot;" w:cs="&quot;times new roman&quot;" w:eastAsia="&quot;times new roman&quot;"/>
                <w:sz w:val="21"/>
              </w:rPr>
              <w:t>本项目为竞争性谈判，所有参数必须全部满足（不允许负偏离），负偏离视为无效响应。</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交货期：合同签订后90日内供货，90日内安装调试到位并交付使用。质保期：自学校验收合格后1年。</w:t>
      </w:r>
    </w:p>
    <w:p>
      <w:pPr>
        <w:pStyle w:val="null3"/>
        <w:outlineLvl w:val="3"/>
      </w:pPr>
      <w:r>
        <w:rPr>
          <w:sz w:val="24"/>
          <w:b/>
        </w:rPr>
        <w:t>3.4.2交货地点和方式</w:t>
      </w:r>
    </w:p>
    <w:p>
      <w:pPr>
        <w:pStyle w:val="null3"/>
      </w:pPr>
      <w:r>
        <w:rPr/>
        <w:t>采购包1：</w:t>
      </w:r>
    </w:p>
    <w:p>
      <w:pPr>
        <w:pStyle w:val="null3"/>
      </w:pPr>
      <w:r>
        <w:rPr/>
        <w:t>西北大学太白校区</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进口设备：合同生效后，由甲方通过进出口业务代理公司向乙方开出100%信用证，待设备到货、安装调试、并经学校组织验收合格后，由甲方通知进出口业务代理公司向乙方解汇。 国产设备：合同生效后，乙方开具合同金额等额银行保函，甲方收到银行保函正本后，一次性付清合同货款，待货物到达指定地点、安装调试验收合格后，甲方退还银行保函正本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按照谈判文件和合同约定执行</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徐闫靖双，联系电话：029-81206622/81206633-841）。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中小企业声明函 残疾人福利性单位声明函 响应函 投标人资格条件证明文件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标的清单 报价表 响应函</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产品技术参数表 商务应答表 标的清单 报价表 响应函</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产品技术参数表 投标人认为有必要说明的问题 商务应答表 标的清单 报价表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详见附件：投标人资格条件证明文件</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