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EAD69">
      <w:pPr>
        <w:spacing w:line="360" w:lineRule="auto"/>
        <w:ind w:left="1080" w:leftChars="257" w:hanging="540"/>
        <w:jc w:val="center"/>
        <w:outlineLvl w:val="0"/>
        <w:rPr>
          <w:rFonts w:eastAsia="仿宋_GB2312"/>
          <w:color w:val="000000"/>
          <w:sz w:val="32"/>
          <w:szCs w:val="32"/>
          <w:highlight w:val="none"/>
        </w:rPr>
      </w:pPr>
      <w:bookmarkStart w:id="0" w:name="_Toc515647833"/>
      <w:bookmarkStart w:id="1" w:name="_Toc4796"/>
      <w:bookmarkStart w:id="2" w:name="_Toc532473757"/>
      <w:bookmarkStart w:id="3" w:name="_Toc532044541"/>
      <w:bookmarkStart w:id="4" w:name="_Toc6865"/>
      <w:bookmarkStart w:id="5" w:name="_Toc62194342"/>
      <w:r>
        <w:rPr>
          <w:rStyle w:val="6"/>
          <w:rFonts w:ascii="Times New Roman" w:eastAsia="仿宋_GB2312"/>
          <w:color w:val="000000"/>
          <w:szCs w:val="32"/>
          <w:highlight w:val="none"/>
        </w:rPr>
        <w:t>拟签订的合同</w:t>
      </w:r>
      <w:bookmarkEnd w:id="0"/>
      <w:bookmarkEnd w:id="1"/>
      <w:bookmarkEnd w:id="2"/>
      <w:bookmarkEnd w:id="3"/>
      <w:bookmarkEnd w:id="4"/>
      <w:bookmarkStart w:id="6" w:name="_Hlt487972895"/>
      <w:bookmarkEnd w:id="6"/>
      <w:bookmarkStart w:id="7" w:name="_Toc216513788"/>
      <w:bookmarkStart w:id="8" w:name="_Toc487900382"/>
      <w:r>
        <w:rPr>
          <w:rStyle w:val="6"/>
          <w:rFonts w:ascii="Times New Roman" w:eastAsia="仿宋_GB2312"/>
          <w:color w:val="000000"/>
          <w:szCs w:val="32"/>
          <w:highlight w:val="none"/>
        </w:rPr>
        <w:t>文本</w:t>
      </w:r>
      <w:bookmarkEnd w:id="5"/>
    </w:p>
    <w:bookmarkEnd w:id="7"/>
    <w:bookmarkEnd w:id="8"/>
    <w:p w14:paraId="788C0A2D">
      <w:pPr>
        <w:spacing w:line="360" w:lineRule="auto"/>
        <w:rPr>
          <w:rFonts w:eastAsia="仿宋_GB2312"/>
          <w:b/>
          <w:color w:val="000000"/>
          <w:kern w:val="44"/>
          <w:sz w:val="32"/>
          <w:szCs w:val="20"/>
          <w:highlight w:val="none"/>
        </w:rPr>
      </w:pPr>
    </w:p>
    <w:p w14:paraId="74265F1F">
      <w:pPr>
        <w:tabs>
          <w:tab w:val="left" w:pos="735"/>
        </w:tabs>
        <w:autoSpaceDE w:val="0"/>
        <w:autoSpaceDN w:val="0"/>
        <w:adjustRightInd w:val="0"/>
        <w:snapToGrid w:val="0"/>
        <w:spacing w:before="312" w:beforeLines="100" w:line="360" w:lineRule="auto"/>
        <w:rPr>
          <w:rFonts w:eastAsia="仿宋_GB2312"/>
          <w:b/>
          <w:bCs/>
          <w:color w:val="000000"/>
          <w:sz w:val="24"/>
          <w:highlight w:val="none"/>
          <w:lang w:val="zh-CN"/>
        </w:rPr>
      </w:pPr>
      <w:r>
        <w:rPr>
          <w:rFonts w:eastAsia="仿宋_GB2312"/>
          <w:b/>
          <w:bCs/>
          <w:color w:val="000000"/>
          <w:sz w:val="24"/>
          <w:highlight w:val="none"/>
          <w:lang w:val="zh-CN"/>
        </w:rPr>
        <w:t>甲方：</w:t>
      </w:r>
      <w:r>
        <w:rPr>
          <w:rFonts w:eastAsia="仿宋_GB2312"/>
          <w:bCs/>
          <w:color w:val="000000"/>
          <w:sz w:val="24"/>
          <w:highlight w:val="none"/>
          <w:lang w:val="zh-CN"/>
        </w:rPr>
        <w:t>（前款所称采购人）     住所：</w:t>
      </w:r>
    </w:p>
    <w:p w14:paraId="5682C0C1">
      <w:pPr>
        <w:tabs>
          <w:tab w:val="left" w:pos="735"/>
        </w:tabs>
        <w:autoSpaceDE w:val="0"/>
        <w:autoSpaceDN w:val="0"/>
        <w:adjustRightInd w:val="0"/>
        <w:snapToGrid w:val="0"/>
        <w:spacing w:line="360" w:lineRule="auto"/>
        <w:rPr>
          <w:rFonts w:eastAsia="仿宋_GB2312"/>
          <w:bCs/>
          <w:color w:val="000000"/>
          <w:sz w:val="24"/>
          <w:highlight w:val="none"/>
          <w:lang w:val="zh-CN"/>
        </w:rPr>
      </w:pPr>
      <w:r>
        <w:rPr>
          <w:rFonts w:eastAsia="仿宋_GB2312"/>
          <w:b/>
          <w:bCs/>
          <w:color w:val="000000"/>
          <w:sz w:val="24"/>
          <w:highlight w:val="none"/>
          <w:lang w:val="zh-CN"/>
        </w:rPr>
        <w:t>乙方：</w:t>
      </w:r>
      <w:r>
        <w:rPr>
          <w:rFonts w:eastAsia="仿宋_GB2312"/>
          <w:bCs/>
          <w:color w:val="000000"/>
          <w:sz w:val="24"/>
          <w:highlight w:val="none"/>
          <w:lang w:val="zh-CN"/>
        </w:rPr>
        <w:t>（前款所称中标人）     住所：</w:t>
      </w:r>
    </w:p>
    <w:p w14:paraId="38FDFE06">
      <w:pPr>
        <w:pStyle w:val="3"/>
        <w:rPr>
          <w:color w:val="000000"/>
          <w:highlight w:val="none"/>
          <w:lang w:val="zh-CN"/>
        </w:rPr>
      </w:pPr>
    </w:p>
    <w:p w14:paraId="7D6E1231">
      <w:pPr>
        <w:adjustRightInd w:val="0"/>
        <w:snapToGrid w:val="0"/>
        <w:spacing w:line="360" w:lineRule="auto"/>
        <w:ind w:firstLine="480" w:firstLineChars="200"/>
        <w:rPr>
          <w:rFonts w:eastAsia="仿宋_GB2312"/>
          <w:color w:val="000000"/>
          <w:sz w:val="24"/>
          <w:highlight w:val="none"/>
        </w:rPr>
      </w:pPr>
      <w:bookmarkStart w:id="9" w:name="_Toc19515384"/>
      <w:r>
        <w:rPr>
          <w:rFonts w:eastAsia="仿宋_GB2312"/>
          <w:color w:val="000000"/>
          <w:sz w:val="24"/>
          <w:highlight w:val="none"/>
        </w:rPr>
        <w:t>一、合同内容（标的、数量、质量等）:</w:t>
      </w:r>
      <w:bookmarkEnd w:id="9"/>
    </w:p>
    <w:p w14:paraId="2165EDC1">
      <w:pPr>
        <w:adjustRightInd w:val="0"/>
        <w:snapToGrid w:val="0"/>
        <w:spacing w:line="360" w:lineRule="auto"/>
        <w:ind w:firstLine="480" w:firstLineChars="200"/>
        <w:rPr>
          <w:rFonts w:eastAsia="仿宋_GB2312"/>
          <w:color w:val="000000"/>
          <w:sz w:val="24"/>
          <w:highlight w:val="none"/>
        </w:rPr>
      </w:pPr>
      <w:bookmarkStart w:id="10" w:name="_Toc19515385"/>
      <w:r>
        <w:rPr>
          <w:rFonts w:eastAsia="仿宋_GB2312"/>
          <w:color w:val="000000"/>
          <w:sz w:val="24"/>
          <w:highlight w:val="none"/>
        </w:rPr>
        <w:t>二、合同价款</w:t>
      </w:r>
      <w:bookmarkEnd w:id="10"/>
    </w:p>
    <w:p w14:paraId="7840BE78">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1、合同总价：</w:t>
      </w:r>
    </w:p>
    <w:p w14:paraId="05877CEF">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2、合同总价包括：</w:t>
      </w:r>
    </w:p>
    <w:p w14:paraId="51B94634">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3、合同为固定总价合同，不受市场价变化的影响。</w:t>
      </w:r>
    </w:p>
    <w:p w14:paraId="44799175">
      <w:pPr>
        <w:adjustRightInd w:val="0"/>
        <w:snapToGrid w:val="0"/>
        <w:spacing w:line="360" w:lineRule="auto"/>
        <w:ind w:firstLine="480" w:firstLineChars="200"/>
        <w:rPr>
          <w:rFonts w:eastAsia="仿宋_GB2312"/>
          <w:color w:val="000000"/>
          <w:sz w:val="24"/>
          <w:highlight w:val="none"/>
        </w:rPr>
      </w:pPr>
      <w:bookmarkStart w:id="11" w:name="_Toc19515386"/>
      <w:r>
        <w:rPr>
          <w:rFonts w:eastAsia="仿宋_GB2312"/>
          <w:color w:val="000000"/>
          <w:sz w:val="24"/>
          <w:highlight w:val="none"/>
        </w:rPr>
        <w:t>三、合同结算</w:t>
      </w:r>
      <w:bookmarkEnd w:id="11"/>
    </w:p>
    <w:p w14:paraId="5E9C4370">
      <w:pPr>
        <w:adjustRightInd w:val="0"/>
        <w:snapToGrid w:val="0"/>
        <w:spacing w:line="360" w:lineRule="auto"/>
        <w:ind w:firstLine="480" w:firstLineChars="200"/>
        <w:rPr>
          <w:rFonts w:hint="default" w:ascii="Times New Roman" w:hAnsi="Times New Roman" w:eastAsia="仿宋_GB2312" w:cs="Times New Roman"/>
          <w:color w:val="000000"/>
          <w:sz w:val="24"/>
          <w:highlight w:val="none"/>
          <w:lang w:val="en-US" w:eastAsia="zh-CN"/>
        </w:rPr>
      </w:pPr>
      <w:r>
        <w:rPr>
          <w:rFonts w:ascii="Times New Roman" w:hAnsi="Times New Roman" w:eastAsia="仿宋_GB2312" w:cs="Times New Roman"/>
          <w:color w:val="000000"/>
          <w:sz w:val="24"/>
          <w:highlight w:val="none"/>
        </w:rPr>
        <w:t>1、付款比例：</w:t>
      </w:r>
      <w:r>
        <w:rPr>
          <w:rFonts w:hint="eastAsia" w:eastAsia="仿宋_GB2312" w:cs="Times New Roman"/>
          <w:color w:val="000000"/>
          <w:sz w:val="24"/>
          <w:highlight w:val="none"/>
          <w:lang w:eastAsia="zh-CN"/>
        </w:rPr>
        <w:t>合同签订后付合同总金额的</w:t>
      </w:r>
      <w:r>
        <w:rPr>
          <w:rFonts w:hint="eastAsia" w:eastAsia="仿宋_GB2312" w:cs="Times New Roman"/>
          <w:color w:val="000000"/>
          <w:sz w:val="24"/>
          <w:highlight w:val="none"/>
          <w:lang w:val="en-US" w:eastAsia="zh-CN"/>
        </w:rPr>
        <w:t>40%，安装调试完成后付合同总</w:t>
      </w:r>
      <w:r>
        <w:rPr>
          <w:rFonts w:hint="eastAsia" w:eastAsia="仿宋_GB2312" w:cs="Times New Roman"/>
          <w:color w:val="000000"/>
          <w:sz w:val="24"/>
          <w:highlight w:val="none"/>
          <w:lang w:eastAsia="zh-CN"/>
        </w:rPr>
        <w:t>金</w:t>
      </w:r>
      <w:r>
        <w:rPr>
          <w:rFonts w:hint="eastAsia" w:eastAsia="仿宋_GB2312" w:cs="Times New Roman"/>
          <w:color w:val="000000"/>
          <w:sz w:val="24"/>
          <w:highlight w:val="none"/>
          <w:lang w:val="en-US" w:eastAsia="zh-CN"/>
        </w:rPr>
        <w:t>额的40%，验收合格后附至合同总金额的95%，剩余5%为质保金，质保期满无任何质量问题后一次性付清。</w:t>
      </w:r>
    </w:p>
    <w:p w14:paraId="4C2B57F9">
      <w:pPr>
        <w:adjustRightInd w:val="0"/>
        <w:snapToGrid w:val="0"/>
        <w:spacing w:line="360" w:lineRule="auto"/>
        <w:ind w:firstLine="480" w:firstLineChars="200"/>
        <w:rPr>
          <w:rFonts w:ascii="Times New Roman" w:hAnsi="Times New Roman" w:eastAsia="仿宋_GB2312" w:cs="Times New Roman"/>
          <w:color w:val="000000"/>
          <w:sz w:val="24"/>
          <w:highlight w:val="none"/>
        </w:rPr>
      </w:pPr>
      <w:r>
        <w:rPr>
          <w:rFonts w:ascii="Times New Roman" w:hAnsi="Times New Roman" w:eastAsia="仿宋_GB2312" w:cs="Times New Roman"/>
          <w:color w:val="000000"/>
          <w:sz w:val="24"/>
          <w:highlight w:val="none"/>
        </w:rPr>
        <w:t>2、结算方式：银行转账。</w:t>
      </w:r>
    </w:p>
    <w:p w14:paraId="579DB2F2">
      <w:pPr>
        <w:adjustRightInd w:val="0"/>
        <w:snapToGrid w:val="0"/>
        <w:spacing w:line="360" w:lineRule="auto"/>
        <w:ind w:firstLine="480" w:firstLineChars="200"/>
        <w:rPr>
          <w:rFonts w:ascii="Times New Roman" w:hAnsi="Times New Roman" w:eastAsia="仿宋_GB2312" w:cs="Times New Roman"/>
          <w:color w:val="000000"/>
          <w:sz w:val="24"/>
          <w:highlight w:val="none"/>
        </w:rPr>
      </w:pPr>
      <w:r>
        <w:rPr>
          <w:rFonts w:ascii="Times New Roman" w:hAnsi="Times New Roman" w:eastAsia="仿宋_GB2312" w:cs="Times New Roman"/>
          <w:color w:val="000000"/>
          <w:sz w:val="24"/>
          <w:highlight w:val="none"/>
        </w:rPr>
        <w:t>3、结算单位：由</w:t>
      </w:r>
      <w:r>
        <w:rPr>
          <w:rFonts w:ascii="Times New Roman" w:hAnsi="Times New Roman" w:eastAsia="仿宋_GB2312" w:cs="Times New Roman"/>
          <w:color w:val="000000"/>
          <w:sz w:val="24"/>
          <w:highlight w:val="none"/>
          <w:u w:val="single"/>
        </w:rPr>
        <w:t xml:space="preserve">       </w:t>
      </w:r>
      <w:r>
        <w:rPr>
          <w:rFonts w:hint="eastAsia" w:eastAsia="仿宋_GB2312" w:cs="Times New Roman"/>
          <w:color w:val="000000"/>
          <w:sz w:val="24"/>
          <w:highlight w:val="none"/>
          <w:u w:val="single"/>
          <w:lang w:val="en-US" w:eastAsia="zh-CN"/>
        </w:rPr>
        <w:t xml:space="preserve"> </w:t>
      </w:r>
      <w:r>
        <w:rPr>
          <w:rFonts w:ascii="Times New Roman" w:hAnsi="Times New Roman" w:eastAsia="仿宋_GB2312" w:cs="Times New Roman"/>
          <w:color w:val="000000"/>
          <w:sz w:val="24"/>
          <w:highlight w:val="none"/>
          <w:u w:val="single"/>
        </w:rPr>
        <w:t xml:space="preserve">  </w:t>
      </w:r>
      <w:r>
        <w:rPr>
          <w:rFonts w:ascii="Times New Roman" w:hAnsi="Times New Roman" w:eastAsia="仿宋_GB2312" w:cs="Times New Roman"/>
          <w:color w:val="000000"/>
          <w:sz w:val="24"/>
          <w:highlight w:val="none"/>
        </w:rPr>
        <w:t>负责结算，乙方开具合同总价数的全额发票交采购人。</w:t>
      </w:r>
    </w:p>
    <w:p w14:paraId="1DDC62F2">
      <w:pPr>
        <w:adjustRightInd w:val="0"/>
        <w:snapToGrid w:val="0"/>
        <w:spacing w:line="360" w:lineRule="auto"/>
        <w:ind w:firstLine="480" w:firstLineChars="200"/>
        <w:rPr>
          <w:rFonts w:hint="eastAsia"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4、结算依据：本项目</w:t>
      </w:r>
      <w:r>
        <w:rPr>
          <w:rFonts w:hint="eastAsia" w:eastAsia="仿宋_GB2312" w:cs="Times New Roman"/>
          <w:color w:val="000000"/>
          <w:sz w:val="24"/>
          <w:highlight w:val="none"/>
          <w:lang w:val="en-US" w:eastAsia="zh-CN"/>
        </w:rPr>
        <w:t>磋商</w:t>
      </w:r>
      <w:r>
        <w:rPr>
          <w:rFonts w:hint="eastAsia" w:ascii="Times New Roman" w:hAnsi="Times New Roman" w:eastAsia="仿宋_GB2312" w:cs="Times New Roman"/>
          <w:color w:val="000000"/>
          <w:sz w:val="24"/>
          <w:highlight w:val="none"/>
          <w:lang w:val="en-US" w:eastAsia="zh-CN"/>
        </w:rPr>
        <w:t>文件、</w:t>
      </w:r>
      <w:r>
        <w:rPr>
          <w:rFonts w:hint="eastAsia" w:eastAsia="仿宋_GB2312" w:cs="Times New Roman"/>
          <w:color w:val="000000"/>
          <w:sz w:val="24"/>
          <w:highlight w:val="none"/>
          <w:lang w:val="en-US" w:eastAsia="zh-CN"/>
        </w:rPr>
        <w:t>磋商响应</w:t>
      </w:r>
      <w:r>
        <w:rPr>
          <w:rFonts w:hint="eastAsia" w:ascii="Times New Roman" w:hAnsi="Times New Roman" w:eastAsia="仿宋_GB2312" w:cs="Times New Roman"/>
          <w:color w:val="000000"/>
          <w:sz w:val="24"/>
          <w:highlight w:val="none"/>
          <w:lang w:val="en-US" w:eastAsia="zh-CN"/>
        </w:rPr>
        <w:t>文件、采购合同、乙方销售发票、甲方出具的验收报告以及与本项目有关的其他资料。</w:t>
      </w:r>
    </w:p>
    <w:p w14:paraId="4CCAB466">
      <w:pPr>
        <w:adjustRightInd w:val="0"/>
        <w:snapToGrid w:val="0"/>
        <w:spacing w:line="360" w:lineRule="auto"/>
        <w:ind w:firstLine="480" w:firstLineChars="200"/>
        <w:rPr>
          <w:rFonts w:eastAsia="仿宋_GB2312"/>
          <w:color w:val="000000"/>
          <w:sz w:val="24"/>
          <w:highlight w:val="none"/>
        </w:rPr>
      </w:pPr>
      <w:bookmarkStart w:id="12" w:name="_Toc19515387"/>
      <w:r>
        <w:rPr>
          <w:rFonts w:eastAsia="仿宋_GB2312"/>
          <w:color w:val="000000"/>
          <w:sz w:val="24"/>
          <w:highlight w:val="none"/>
        </w:rPr>
        <w:t>四、履行期限、地点及方式:</w:t>
      </w:r>
      <w:bookmarkEnd w:id="12"/>
    </w:p>
    <w:p w14:paraId="0DC3C342">
      <w:pPr>
        <w:adjustRightInd w:val="0"/>
        <w:snapToGrid w:val="0"/>
        <w:spacing w:line="360" w:lineRule="auto"/>
        <w:ind w:firstLine="480" w:firstLineChars="200"/>
        <w:rPr>
          <w:rFonts w:hint="default" w:eastAsia="仿宋_GB2312"/>
          <w:color w:val="000000"/>
          <w:sz w:val="24"/>
          <w:highlight w:val="none"/>
          <w:lang w:val="en-US" w:eastAsia="zh-CN"/>
        </w:rPr>
      </w:pPr>
      <w:r>
        <w:rPr>
          <w:rFonts w:eastAsia="仿宋_GB2312"/>
          <w:color w:val="000000"/>
          <w:sz w:val="24"/>
          <w:highlight w:val="none"/>
        </w:rPr>
        <w:t>1、履行期限：</w:t>
      </w:r>
      <w:r>
        <w:rPr>
          <w:rFonts w:hint="eastAsia" w:eastAsia="仿宋_GB2312"/>
          <w:color w:val="000000"/>
          <w:sz w:val="24"/>
          <w:highlight w:val="none"/>
          <w:lang w:eastAsia="zh-CN"/>
        </w:rPr>
        <w:t>自合同签订之日起60天</w:t>
      </w:r>
    </w:p>
    <w:p w14:paraId="0BE9A0D3">
      <w:pPr>
        <w:adjustRightInd w:val="0"/>
        <w:snapToGrid w:val="0"/>
        <w:spacing w:line="360" w:lineRule="auto"/>
        <w:ind w:firstLine="480" w:firstLineChars="200"/>
        <w:rPr>
          <w:rFonts w:hint="eastAsia" w:eastAsia="仿宋_GB2312"/>
          <w:color w:val="000000"/>
          <w:sz w:val="24"/>
          <w:highlight w:val="none"/>
          <w:lang w:eastAsia="zh-CN"/>
        </w:rPr>
      </w:pPr>
      <w:r>
        <w:rPr>
          <w:rFonts w:eastAsia="仿宋_GB2312"/>
          <w:color w:val="000000"/>
          <w:sz w:val="24"/>
          <w:highlight w:val="none"/>
        </w:rPr>
        <w:t>2、</w:t>
      </w:r>
      <w:r>
        <w:rPr>
          <w:rFonts w:hint="eastAsia" w:eastAsia="仿宋_GB2312"/>
          <w:color w:val="000000"/>
          <w:sz w:val="24"/>
          <w:highlight w:val="none"/>
          <w:lang w:eastAsia="zh-CN"/>
        </w:rPr>
        <w:t>履行</w:t>
      </w:r>
      <w:r>
        <w:rPr>
          <w:rFonts w:eastAsia="仿宋_GB2312"/>
          <w:color w:val="000000"/>
          <w:sz w:val="24"/>
          <w:highlight w:val="none"/>
        </w:rPr>
        <w:t>地</w:t>
      </w:r>
      <w:bookmarkStart w:id="19" w:name="_GoBack"/>
      <w:bookmarkEnd w:id="19"/>
      <w:r>
        <w:rPr>
          <w:rFonts w:eastAsia="仿宋_GB2312"/>
          <w:color w:val="000000"/>
          <w:sz w:val="24"/>
          <w:highlight w:val="none"/>
        </w:rPr>
        <w:t>点：采购人指定</w:t>
      </w:r>
      <w:r>
        <w:rPr>
          <w:rFonts w:hint="eastAsia" w:eastAsia="仿宋_GB2312"/>
          <w:color w:val="000000"/>
          <w:sz w:val="24"/>
          <w:highlight w:val="none"/>
          <w:lang w:eastAsia="zh-CN"/>
        </w:rPr>
        <w:t>地点</w:t>
      </w:r>
    </w:p>
    <w:p w14:paraId="596D9013">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3、方式：</w:t>
      </w:r>
    </w:p>
    <w:p w14:paraId="64215C2C">
      <w:pPr>
        <w:adjustRightInd w:val="0"/>
        <w:snapToGrid w:val="0"/>
        <w:spacing w:line="360" w:lineRule="auto"/>
        <w:ind w:firstLine="480" w:firstLineChars="200"/>
        <w:rPr>
          <w:rFonts w:eastAsia="仿宋_GB2312"/>
          <w:color w:val="000000"/>
          <w:sz w:val="24"/>
          <w:highlight w:val="none"/>
        </w:rPr>
      </w:pPr>
      <w:bookmarkStart w:id="13" w:name="_Toc19515390"/>
      <w:r>
        <w:rPr>
          <w:rFonts w:eastAsia="仿宋_GB2312"/>
          <w:color w:val="000000"/>
          <w:sz w:val="24"/>
          <w:highlight w:val="none"/>
        </w:rPr>
        <w:t>五、技术服务</w:t>
      </w:r>
      <w:bookmarkEnd w:id="13"/>
    </w:p>
    <w:p w14:paraId="6A59544E">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1、对技术服务的要求：</w:t>
      </w:r>
    </w:p>
    <w:p w14:paraId="79CFC882">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2、技术资料：</w:t>
      </w:r>
    </w:p>
    <w:p w14:paraId="229B054A">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3、技术培训：</w:t>
      </w:r>
    </w:p>
    <w:p w14:paraId="4844FA51">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3-1、培训内容：</w:t>
      </w:r>
    </w:p>
    <w:p w14:paraId="2DEBC4AC">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3-2、培训地点：</w:t>
      </w:r>
    </w:p>
    <w:p w14:paraId="07C667B1">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3-3、培训时间：</w:t>
      </w:r>
    </w:p>
    <w:p w14:paraId="21DF9EE4">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3-4、培训人数：</w:t>
      </w:r>
    </w:p>
    <w:p w14:paraId="6121E09F">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3-5、培训费用：受训人员的食宿费、资料费、培训场地费、耗材（包括水电费等）费等已包含在合同总价中，甲方不再另行支付。</w:t>
      </w:r>
    </w:p>
    <w:p w14:paraId="6E74F0D7">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4、售后服务</w:t>
      </w:r>
    </w:p>
    <w:p w14:paraId="6A501D3C">
      <w:pPr>
        <w:adjustRightInd w:val="0"/>
        <w:snapToGrid w:val="0"/>
        <w:spacing w:line="360" w:lineRule="auto"/>
        <w:ind w:firstLine="480" w:firstLineChars="200"/>
        <w:rPr>
          <w:rFonts w:hint="eastAsia"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4-1、乙方在工作时间内随时为甲方以电话、传真、电子邮件方式免费提供所买产品的服务于技术支持维护，通常系统平台保障，提供实时响应解决。</w:t>
      </w:r>
    </w:p>
    <w:p w14:paraId="155EA733">
      <w:pPr>
        <w:adjustRightInd w:val="0"/>
        <w:snapToGrid w:val="0"/>
        <w:spacing w:line="360" w:lineRule="auto"/>
        <w:ind w:firstLine="480" w:firstLineChars="200"/>
        <w:rPr>
          <w:rFonts w:hint="eastAsia"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4-2、乙方在服务期内对系统提供技术支持</w:t>
      </w:r>
    </w:p>
    <w:p w14:paraId="102C4E62">
      <w:pPr>
        <w:adjustRightInd w:val="0"/>
        <w:snapToGrid w:val="0"/>
        <w:spacing w:line="360" w:lineRule="auto"/>
        <w:ind w:firstLine="480" w:firstLineChars="200"/>
        <w:rPr>
          <w:rFonts w:hint="eastAsia"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4-3、如果乙方在收到通知后两天内没有弥补缺陷，甲方可采取必要的补救措施，但其风险和费用将由乙方承担，甲方根据合同规定对乙方行使的其它权力不受影响。</w:t>
      </w:r>
    </w:p>
    <w:p w14:paraId="1D95007B">
      <w:pPr>
        <w:adjustRightInd w:val="0"/>
        <w:snapToGrid w:val="0"/>
        <w:spacing w:line="360" w:lineRule="auto"/>
        <w:ind w:firstLine="480" w:firstLineChars="200"/>
        <w:rPr>
          <w:rFonts w:hint="default"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4-4、乙方保证所售软件不会侵犯任何第三方权利，否则乙方将承担甲方由此受到的一切损失</w:t>
      </w:r>
    </w:p>
    <w:p w14:paraId="0A3B6865">
      <w:pPr>
        <w:adjustRightInd w:val="0"/>
        <w:snapToGrid w:val="0"/>
        <w:spacing w:line="360" w:lineRule="auto"/>
        <w:ind w:firstLine="480" w:firstLineChars="200"/>
        <w:rPr>
          <w:rFonts w:eastAsia="仿宋_GB2312"/>
          <w:color w:val="000000"/>
          <w:sz w:val="24"/>
          <w:highlight w:val="none"/>
        </w:rPr>
      </w:pPr>
      <w:bookmarkStart w:id="14" w:name="_Toc19515391"/>
      <w:r>
        <w:rPr>
          <w:rFonts w:eastAsia="仿宋_GB2312"/>
          <w:color w:val="000000"/>
          <w:sz w:val="24"/>
          <w:highlight w:val="none"/>
        </w:rPr>
        <w:t>六、验收</w:t>
      </w:r>
      <w:bookmarkEnd w:id="14"/>
    </w:p>
    <w:p w14:paraId="78452C0E">
      <w:pPr>
        <w:adjustRightInd w:val="0"/>
        <w:snapToGrid w:val="0"/>
        <w:spacing w:line="360" w:lineRule="auto"/>
        <w:ind w:firstLine="480" w:firstLineChars="200"/>
        <w:rPr>
          <w:rFonts w:hint="eastAsia" w:eastAsia="仿宋_GB2312"/>
          <w:color w:val="000000"/>
          <w:sz w:val="24"/>
          <w:highlight w:val="none"/>
          <w:lang w:eastAsia="zh-CN"/>
        </w:rPr>
      </w:pPr>
      <w:r>
        <w:rPr>
          <w:rFonts w:eastAsia="仿宋_GB2312"/>
          <w:color w:val="000000"/>
          <w:sz w:val="24"/>
          <w:highlight w:val="none"/>
        </w:rPr>
        <w:t>1、验收：</w:t>
      </w:r>
      <w:r>
        <w:rPr>
          <w:rFonts w:hint="eastAsia" w:eastAsia="仿宋_GB2312"/>
          <w:color w:val="000000"/>
          <w:sz w:val="24"/>
          <w:highlight w:val="none"/>
          <w:lang w:eastAsia="zh-CN"/>
        </w:rPr>
        <w:t>甲方应及时按规定对该工程进行验收，具体验收时间由双方协商。</w:t>
      </w:r>
      <w:r>
        <w:rPr>
          <w:rFonts w:eastAsia="仿宋_GB2312"/>
          <w:color w:val="000000"/>
          <w:sz w:val="24"/>
          <w:highlight w:val="none"/>
        </w:rPr>
        <w:t>乙方完成服务内容后，向甲方提出验收申请，甲方接到乙方验收申请后组织验收（必要时可聘请相应专家或委托相应部门验收），验收合格后，出具使用验收合格证明。</w:t>
      </w:r>
      <w:r>
        <w:rPr>
          <w:rFonts w:hint="eastAsia" w:eastAsia="仿宋_GB2312"/>
          <w:color w:val="000000"/>
          <w:sz w:val="24"/>
          <w:highlight w:val="none"/>
          <w:lang w:eastAsia="zh-CN"/>
        </w:rPr>
        <w:t>如属于非甲方的原因致使验收未通过的，乙方应排除故障，并承担相关费用。对整个项目的验收包括检查应用系统是否实现供应商在响应文件中所要求的功能，是否与供应商提出的解决方案中既定目标功能完全一致。符合国家、行业相关法律法规，以及竞争性磋商文件要求的技术标准</w:t>
      </w:r>
    </w:p>
    <w:p w14:paraId="1662977D">
      <w:pPr>
        <w:adjustRightInd w:val="0"/>
        <w:snapToGrid w:val="0"/>
        <w:spacing w:line="360" w:lineRule="auto"/>
        <w:ind w:firstLine="480" w:firstLineChars="200"/>
        <w:rPr>
          <w:rFonts w:eastAsia="仿宋_GB2312"/>
          <w:color w:val="000000"/>
          <w:sz w:val="24"/>
          <w:highlight w:val="none"/>
        </w:rPr>
      </w:pPr>
      <w:r>
        <w:rPr>
          <w:rFonts w:hint="eastAsia" w:eastAsia="仿宋_GB2312"/>
          <w:color w:val="000000"/>
          <w:sz w:val="24"/>
          <w:highlight w:val="none"/>
        </w:rPr>
        <w:t>2</w:t>
      </w:r>
      <w:r>
        <w:rPr>
          <w:rFonts w:eastAsia="仿宋_GB2312"/>
          <w:color w:val="000000"/>
          <w:sz w:val="24"/>
          <w:highlight w:val="none"/>
        </w:rPr>
        <w:t>、最终验收：最终验收结果作为付款依据，乙方填写验收单，并向甲方提交实施过程中的所有资料，以便甲方日后管理和维护。</w:t>
      </w:r>
    </w:p>
    <w:p w14:paraId="3A1035CA">
      <w:pPr>
        <w:adjustRightInd w:val="0"/>
        <w:snapToGrid w:val="0"/>
        <w:spacing w:line="360" w:lineRule="auto"/>
        <w:ind w:firstLine="480" w:firstLineChars="200"/>
        <w:rPr>
          <w:rFonts w:eastAsia="仿宋_GB2312"/>
          <w:color w:val="000000"/>
          <w:sz w:val="24"/>
          <w:highlight w:val="none"/>
        </w:rPr>
      </w:pPr>
      <w:r>
        <w:rPr>
          <w:rFonts w:hint="eastAsia" w:eastAsia="仿宋_GB2312"/>
          <w:color w:val="000000"/>
          <w:sz w:val="24"/>
          <w:highlight w:val="none"/>
        </w:rPr>
        <w:t>3</w:t>
      </w:r>
      <w:r>
        <w:rPr>
          <w:rFonts w:eastAsia="仿宋_GB2312"/>
          <w:color w:val="000000"/>
          <w:sz w:val="24"/>
          <w:highlight w:val="none"/>
        </w:rPr>
        <w:t>、质保期满后：由乙方出具质保期运行质量报告，若存在质量问题，应按相应规定协商处理。</w:t>
      </w:r>
    </w:p>
    <w:p w14:paraId="105627C9">
      <w:pPr>
        <w:adjustRightInd w:val="0"/>
        <w:snapToGrid w:val="0"/>
        <w:spacing w:line="360" w:lineRule="auto"/>
        <w:ind w:firstLine="480" w:firstLineChars="200"/>
        <w:rPr>
          <w:rFonts w:eastAsia="仿宋_GB2312"/>
          <w:color w:val="000000"/>
          <w:sz w:val="24"/>
          <w:highlight w:val="none"/>
        </w:rPr>
      </w:pPr>
      <w:r>
        <w:rPr>
          <w:rFonts w:hint="eastAsia" w:eastAsia="仿宋_GB2312"/>
          <w:color w:val="000000"/>
          <w:sz w:val="24"/>
          <w:highlight w:val="none"/>
        </w:rPr>
        <w:t>4</w:t>
      </w:r>
      <w:r>
        <w:rPr>
          <w:rFonts w:eastAsia="仿宋_GB2312"/>
          <w:color w:val="000000"/>
          <w:sz w:val="24"/>
          <w:highlight w:val="none"/>
        </w:rPr>
        <w:t>、验收依据：</w:t>
      </w:r>
    </w:p>
    <w:p w14:paraId="334E5615">
      <w:pPr>
        <w:adjustRightInd w:val="0"/>
        <w:snapToGrid w:val="0"/>
        <w:spacing w:line="360" w:lineRule="auto"/>
        <w:ind w:firstLine="480" w:firstLineChars="200"/>
        <w:rPr>
          <w:rFonts w:eastAsia="仿宋_GB2312"/>
          <w:color w:val="000000"/>
          <w:sz w:val="24"/>
          <w:highlight w:val="none"/>
        </w:rPr>
      </w:pPr>
      <w:r>
        <w:rPr>
          <w:rFonts w:hint="eastAsia" w:eastAsia="仿宋_GB2312"/>
          <w:color w:val="000000"/>
          <w:sz w:val="24"/>
          <w:highlight w:val="none"/>
        </w:rPr>
        <w:t>4</w:t>
      </w:r>
      <w:r>
        <w:rPr>
          <w:rFonts w:eastAsia="仿宋_GB2312"/>
          <w:color w:val="000000"/>
          <w:sz w:val="24"/>
          <w:highlight w:val="none"/>
        </w:rPr>
        <w:t>-1、合同文本、合同附件、招标文件、投标文件。</w:t>
      </w:r>
    </w:p>
    <w:p w14:paraId="20DB662C">
      <w:pPr>
        <w:adjustRightInd w:val="0"/>
        <w:snapToGrid w:val="0"/>
        <w:spacing w:line="360" w:lineRule="auto"/>
        <w:ind w:firstLine="480" w:firstLineChars="200"/>
        <w:rPr>
          <w:rFonts w:eastAsia="仿宋_GB2312"/>
          <w:color w:val="000000"/>
          <w:sz w:val="24"/>
          <w:highlight w:val="none"/>
        </w:rPr>
      </w:pPr>
      <w:r>
        <w:rPr>
          <w:rFonts w:hint="eastAsia" w:eastAsia="仿宋_GB2312"/>
          <w:color w:val="000000"/>
          <w:sz w:val="24"/>
          <w:highlight w:val="none"/>
        </w:rPr>
        <w:t>4</w:t>
      </w:r>
      <w:r>
        <w:rPr>
          <w:rFonts w:eastAsia="仿宋_GB2312"/>
          <w:color w:val="000000"/>
          <w:sz w:val="24"/>
          <w:highlight w:val="none"/>
        </w:rPr>
        <w:t>-2、国内相应的标准、规范。</w:t>
      </w:r>
    </w:p>
    <w:p w14:paraId="6F3B3361">
      <w:pPr>
        <w:adjustRightInd w:val="0"/>
        <w:snapToGrid w:val="0"/>
        <w:spacing w:line="360" w:lineRule="auto"/>
        <w:ind w:firstLine="480" w:firstLineChars="200"/>
        <w:rPr>
          <w:rFonts w:eastAsia="仿宋_GB2312"/>
          <w:color w:val="000000"/>
          <w:sz w:val="24"/>
          <w:highlight w:val="none"/>
        </w:rPr>
      </w:pPr>
      <w:bookmarkStart w:id="15" w:name="_Toc19515392"/>
      <w:r>
        <w:rPr>
          <w:rFonts w:eastAsia="仿宋_GB2312"/>
          <w:color w:val="000000"/>
          <w:sz w:val="24"/>
          <w:highlight w:val="none"/>
        </w:rPr>
        <w:t>七、违约责任</w:t>
      </w:r>
      <w:bookmarkEnd w:id="15"/>
    </w:p>
    <w:p w14:paraId="5BEB4299">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1、按《中华人民共和国民法典》中的相关条款执行。</w:t>
      </w:r>
    </w:p>
    <w:p w14:paraId="2342D463">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2、乙方履约延误</w:t>
      </w:r>
    </w:p>
    <w:p w14:paraId="4BA27713">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2-1、如乙方事先未征得甲方同意并得到甲方的谅解而单方面延迟执行合同，将按违约终止合同。</w:t>
      </w:r>
    </w:p>
    <w:p w14:paraId="275C971B">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w:t>
      </w:r>
      <w:r>
        <w:rPr>
          <w:rFonts w:hint="eastAsia" w:eastAsia="仿宋_GB2312"/>
          <w:color w:val="000000"/>
          <w:sz w:val="24"/>
          <w:highlight w:val="none"/>
          <w:lang w:eastAsia="zh-CN"/>
        </w:rPr>
        <w:t>日</w:t>
      </w:r>
      <w:r>
        <w:rPr>
          <w:rFonts w:eastAsia="仿宋_GB2312"/>
          <w:color w:val="000000"/>
          <w:sz w:val="24"/>
          <w:highlight w:val="none"/>
        </w:rPr>
        <w:t>的赔偿费按合同金额的百分之</w:t>
      </w:r>
      <w:r>
        <w:rPr>
          <w:rFonts w:hint="eastAsia" w:eastAsia="仿宋_GB2312"/>
          <w:color w:val="000000"/>
          <w:sz w:val="24"/>
          <w:highlight w:val="none"/>
          <w:lang w:eastAsia="zh-CN"/>
        </w:rPr>
        <w:t>零点</w:t>
      </w:r>
      <w:r>
        <w:rPr>
          <w:rFonts w:hint="eastAsia" w:eastAsia="仿宋_GB2312"/>
          <w:color w:val="000000"/>
          <w:sz w:val="24"/>
          <w:highlight w:val="none"/>
          <w:lang w:val="en-US" w:eastAsia="zh-CN"/>
        </w:rPr>
        <w:t>一</w:t>
      </w:r>
      <w:r>
        <w:rPr>
          <w:rFonts w:eastAsia="仿宋_GB2312"/>
          <w:color w:val="000000"/>
          <w:sz w:val="24"/>
          <w:highlight w:val="none"/>
        </w:rPr>
        <w:t>（</w:t>
      </w:r>
      <w:r>
        <w:rPr>
          <w:rFonts w:hint="eastAsia" w:eastAsia="仿宋_GB2312"/>
          <w:color w:val="000000"/>
          <w:sz w:val="24"/>
          <w:highlight w:val="none"/>
          <w:lang w:val="en-US" w:eastAsia="zh-CN"/>
        </w:rPr>
        <w:t>0.1</w:t>
      </w:r>
      <w:r>
        <w:rPr>
          <w:rFonts w:eastAsia="仿宋_GB2312"/>
          <w:color w:val="000000"/>
          <w:sz w:val="24"/>
          <w:highlight w:val="none"/>
        </w:rPr>
        <w:t>%）计收，直至提供服务为止。误期赔偿费的最高限额为合同价格的百分之五（5%）。一旦达到误期赔偿费的最高限额，甲方可终止合同。</w:t>
      </w:r>
    </w:p>
    <w:p w14:paraId="0F40AFA3">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3、违约终止合同：未按合同要求提供服务或不能满足技术要求，甲方会同监督机构有权终止合同，对乙方违约行为进行追究，同时按政府采购法的有关规定进行相应的处罚。</w:t>
      </w:r>
    </w:p>
    <w:p w14:paraId="66AAF8B5">
      <w:pPr>
        <w:adjustRightInd w:val="0"/>
        <w:snapToGrid w:val="0"/>
        <w:spacing w:line="360" w:lineRule="auto"/>
        <w:ind w:firstLine="480" w:firstLineChars="200"/>
        <w:rPr>
          <w:rFonts w:eastAsia="仿宋_GB2312"/>
          <w:color w:val="000000"/>
          <w:sz w:val="24"/>
          <w:highlight w:val="none"/>
        </w:rPr>
      </w:pPr>
      <w:bookmarkStart w:id="16" w:name="_Toc19515393"/>
      <w:r>
        <w:rPr>
          <w:rFonts w:eastAsia="仿宋_GB2312"/>
          <w:color w:val="000000"/>
          <w:sz w:val="24"/>
          <w:highlight w:val="none"/>
        </w:rPr>
        <w:t>八、合同组成</w:t>
      </w:r>
      <w:bookmarkEnd w:id="16"/>
    </w:p>
    <w:p w14:paraId="68693190">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1、中标通知书</w:t>
      </w:r>
    </w:p>
    <w:p w14:paraId="0311F62B">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2、合同文件</w:t>
      </w:r>
    </w:p>
    <w:p w14:paraId="0DBAB6B2">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3、国家相关规范及标准</w:t>
      </w:r>
    </w:p>
    <w:p w14:paraId="4C9AB5FD">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4、招标文件</w:t>
      </w:r>
    </w:p>
    <w:p w14:paraId="5DDC90D5">
      <w:pPr>
        <w:adjustRightInd w:val="0"/>
        <w:snapToGrid w:val="0"/>
        <w:spacing w:line="360" w:lineRule="auto"/>
        <w:ind w:firstLine="480" w:firstLineChars="200"/>
        <w:rPr>
          <w:rFonts w:eastAsia="仿宋_GB2312"/>
          <w:color w:val="000000"/>
          <w:sz w:val="24"/>
          <w:highlight w:val="none"/>
        </w:rPr>
      </w:pPr>
      <w:r>
        <w:rPr>
          <w:rFonts w:eastAsia="仿宋_GB2312"/>
          <w:color w:val="000000"/>
          <w:sz w:val="24"/>
          <w:highlight w:val="none"/>
        </w:rPr>
        <w:t>5、投标文件</w:t>
      </w:r>
    </w:p>
    <w:p w14:paraId="2E7AACDA">
      <w:pPr>
        <w:adjustRightInd w:val="0"/>
        <w:snapToGrid w:val="0"/>
        <w:spacing w:line="360" w:lineRule="auto"/>
        <w:ind w:firstLine="480" w:firstLineChars="200"/>
        <w:rPr>
          <w:rFonts w:hint="eastAsia"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九、不可抗力</w:t>
      </w:r>
    </w:p>
    <w:p w14:paraId="4A6C3D8F">
      <w:pPr>
        <w:adjustRightInd w:val="0"/>
        <w:snapToGrid w:val="0"/>
        <w:spacing w:line="360" w:lineRule="auto"/>
        <w:ind w:firstLine="480" w:firstLineChars="200"/>
        <w:rPr>
          <w:rFonts w:hint="eastAsia" w:ascii="Times New Roman" w:hAnsi="Times New Roman" w:eastAsia="仿宋_GB2312" w:cs="Times New Roman"/>
          <w:color w:val="000000"/>
          <w:sz w:val="24"/>
          <w:highlight w:val="none"/>
          <w:lang w:val="en-US" w:eastAsia="zh-CN"/>
        </w:rPr>
      </w:pPr>
      <w:r>
        <w:rPr>
          <w:rFonts w:hint="eastAsia" w:ascii="Times New Roman" w:hAnsi="Times New Roman" w:eastAsia="仿宋_GB2312" w:cs="Times New Roman"/>
          <w:color w:val="000000"/>
          <w:sz w:val="24"/>
          <w:highlight w:val="none"/>
          <w:lang w:val="en-US" w:eastAsia="zh-CN"/>
        </w:rPr>
        <w:t>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41295CE8">
      <w:pPr>
        <w:adjustRightInd w:val="0"/>
        <w:snapToGrid w:val="0"/>
        <w:spacing w:line="360" w:lineRule="auto"/>
        <w:ind w:firstLine="480" w:firstLineChars="200"/>
        <w:rPr>
          <w:rFonts w:ascii="Times New Roman" w:hAnsi="Times New Roman" w:eastAsia="仿宋_GB2312" w:cs="Times New Roman"/>
          <w:color w:val="000000"/>
          <w:kern w:val="0"/>
          <w:sz w:val="24"/>
          <w:szCs w:val="24"/>
          <w:highlight w:val="none"/>
          <w:lang w:val="en-US" w:eastAsia="zh-CN" w:bidi="ar-SA"/>
        </w:rPr>
      </w:pPr>
      <w:bookmarkStart w:id="17" w:name="_Toc19515394"/>
      <w:r>
        <w:rPr>
          <w:rFonts w:hint="eastAsia" w:ascii="Times New Roman" w:hAnsi="Times New Roman" w:eastAsia="仿宋_GB2312" w:cs="Times New Roman"/>
          <w:color w:val="000000"/>
          <w:kern w:val="0"/>
          <w:sz w:val="24"/>
          <w:szCs w:val="24"/>
          <w:highlight w:val="none"/>
          <w:lang w:val="en-US" w:eastAsia="zh-CN" w:bidi="ar-SA"/>
        </w:rPr>
        <w:t>十</w:t>
      </w:r>
      <w:r>
        <w:rPr>
          <w:rFonts w:ascii="Times New Roman" w:hAnsi="Times New Roman" w:eastAsia="仿宋_GB2312" w:cs="Times New Roman"/>
          <w:color w:val="000000"/>
          <w:kern w:val="0"/>
          <w:sz w:val="24"/>
          <w:szCs w:val="24"/>
          <w:highlight w:val="none"/>
          <w:lang w:val="en-US" w:eastAsia="zh-CN" w:bidi="ar-SA"/>
        </w:rPr>
        <w:t>、解决争议的方法</w:t>
      </w:r>
      <w:bookmarkEnd w:id="17"/>
    </w:p>
    <w:p w14:paraId="15A0E71B">
      <w:pPr>
        <w:widowControl/>
        <w:autoSpaceDE w:val="0"/>
        <w:autoSpaceDN w:val="0"/>
        <w:snapToGrid w:val="0"/>
        <w:spacing w:line="360" w:lineRule="auto"/>
        <w:ind w:right="-110" w:firstLine="480" w:firstLineChars="200"/>
        <w:textAlignment w:val="bottom"/>
        <w:rPr>
          <w:rFonts w:eastAsia="仿宋_GB2312"/>
          <w:color w:val="000000"/>
          <w:kern w:val="0"/>
          <w:sz w:val="24"/>
          <w:highlight w:val="none"/>
        </w:rPr>
      </w:pPr>
      <w:r>
        <w:rPr>
          <w:rFonts w:eastAsia="仿宋_GB2312"/>
          <w:color w:val="000000"/>
          <w:kern w:val="0"/>
          <w:sz w:val="24"/>
          <w:highlight w:val="none"/>
        </w:rPr>
        <w:t>凡因本合同引起的或与本合同有关的争议，双方应友好协商解决。协商不成时，双方均同意采用以下第（  ）种争议解决方式：</w:t>
      </w:r>
    </w:p>
    <w:p w14:paraId="27323126">
      <w:pPr>
        <w:widowControl/>
        <w:autoSpaceDE w:val="0"/>
        <w:autoSpaceDN w:val="0"/>
        <w:snapToGrid w:val="0"/>
        <w:spacing w:line="360" w:lineRule="auto"/>
        <w:ind w:right="-110" w:firstLine="480" w:firstLineChars="200"/>
        <w:textAlignment w:val="bottom"/>
        <w:rPr>
          <w:rFonts w:eastAsia="仿宋_GB2312"/>
          <w:color w:val="000000"/>
          <w:kern w:val="0"/>
          <w:sz w:val="24"/>
          <w:highlight w:val="none"/>
        </w:rPr>
      </w:pPr>
      <w:r>
        <w:rPr>
          <w:rFonts w:hint="eastAsia" w:eastAsia="仿宋_GB2312"/>
          <w:color w:val="000000"/>
          <w:kern w:val="0"/>
          <w:sz w:val="24"/>
          <w:highlight w:val="none"/>
        </w:rPr>
        <w:t>1</w:t>
      </w:r>
      <w:r>
        <w:rPr>
          <w:rFonts w:eastAsia="仿宋_GB2312"/>
          <w:color w:val="000000"/>
          <w:kern w:val="0"/>
          <w:sz w:val="24"/>
          <w:highlight w:val="none"/>
        </w:rPr>
        <w:t>、甲、乙双方均同意向（甲方所在地人民法院）提起诉讼。</w:t>
      </w:r>
    </w:p>
    <w:p w14:paraId="26B7ECFD">
      <w:pPr>
        <w:widowControl/>
        <w:autoSpaceDE w:val="0"/>
        <w:autoSpaceDN w:val="0"/>
        <w:snapToGrid w:val="0"/>
        <w:spacing w:line="360" w:lineRule="auto"/>
        <w:ind w:right="-110" w:firstLine="480" w:firstLineChars="200"/>
        <w:textAlignment w:val="bottom"/>
        <w:rPr>
          <w:rFonts w:eastAsia="仿宋_GB2312"/>
          <w:color w:val="000000"/>
          <w:kern w:val="0"/>
          <w:sz w:val="24"/>
          <w:highlight w:val="none"/>
        </w:rPr>
      </w:pPr>
      <w:r>
        <w:rPr>
          <w:rFonts w:hint="eastAsia" w:eastAsia="仿宋_GB2312"/>
          <w:color w:val="000000"/>
          <w:kern w:val="0"/>
          <w:sz w:val="24"/>
          <w:highlight w:val="none"/>
        </w:rPr>
        <w:t>2</w:t>
      </w:r>
      <w:r>
        <w:rPr>
          <w:rFonts w:eastAsia="仿宋_GB2312"/>
          <w:color w:val="000000"/>
          <w:kern w:val="0"/>
          <w:sz w:val="24"/>
          <w:highlight w:val="none"/>
        </w:rPr>
        <w:t>、甲、乙双方均同意向（</w:t>
      </w:r>
      <w:r>
        <w:rPr>
          <w:rFonts w:eastAsia="仿宋_GB2312"/>
          <w:color w:val="000000"/>
          <w:kern w:val="0"/>
          <w:sz w:val="24"/>
          <w:highlight w:val="none"/>
        </w:rPr>
        <w:fldChar w:fldCharType="begin"/>
      </w:r>
      <w:r>
        <w:rPr>
          <w:rFonts w:eastAsia="仿宋_GB2312"/>
          <w:color w:val="000000"/>
          <w:kern w:val="0"/>
          <w:sz w:val="24"/>
          <w:highlight w:val="none"/>
        </w:rPr>
        <w:instrText xml:space="preserve"> HYPERLINK "http://www.baidu.com/s?wd=%E4%BB%B2%E8%A3%81%E5%A7%94%E5%91%98%E4%BC%9A&amp;tn=SE_PcZhidaonwhc_ngpagmjz&amp;rsv_dl=gh_pc_zhidao" \t "_blank" </w:instrText>
      </w:r>
      <w:r>
        <w:rPr>
          <w:rFonts w:eastAsia="仿宋_GB2312"/>
          <w:color w:val="000000"/>
          <w:kern w:val="0"/>
          <w:sz w:val="24"/>
          <w:highlight w:val="none"/>
        </w:rPr>
        <w:fldChar w:fldCharType="separate"/>
      </w:r>
      <w:r>
        <w:rPr>
          <w:rFonts w:eastAsia="仿宋_GB2312"/>
          <w:color w:val="000000"/>
          <w:kern w:val="0"/>
          <w:sz w:val="24"/>
          <w:highlight w:val="none"/>
        </w:rPr>
        <w:t>仲裁委员会</w:t>
      </w:r>
      <w:r>
        <w:rPr>
          <w:rFonts w:eastAsia="仿宋_GB2312"/>
          <w:color w:val="000000"/>
          <w:kern w:val="0"/>
          <w:sz w:val="24"/>
          <w:highlight w:val="none"/>
        </w:rPr>
        <w:fldChar w:fldCharType="end"/>
      </w:r>
      <w:r>
        <w:rPr>
          <w:rFonts w:eastAsia="仿宋_GB2312"/>
          <w:color w:val="000000"/>
          <w:kern w:val="0"/>
          <w:sz w:val="24"/>
          <w:highlight w:val="none"/>
        </w:rPr>
        <w:t>）提起仲裁。</w:t>
      </w:r>
    </w:p>
    <w:p w14:paraId="310CC9B5">
      <w:pPr>
        <w:adjustRightInd w:val="0"/>
        <w:snapToGrid w:val="0"/>
        <w:spacing w:line="360" w:lineRule="auto"/>
        <w:ind w:firstLine="480" w:firstLineChars="200"/>
        <w:rPr>
          <w:rFonts w:eastAsia="仿宋_GB2312"/>
          <w:color w:val="000000"/>
          <w:sz w:val="24"/>
          <w:highlight w:val="none"/>
        </w:rPr>
      </w:pPr>
      <w:bookmarkStart w:id="18" w:name="_Toc19515395"/>
      <w:r>
        <w:rPr>
          <w:rFonts w:eastAsia="仿宋_GB2312"/>
          <w:color w:val="000000"/>
          <w:sz w:val="24"/>
          <w:highlight w:val="none"/>
        </w:rPr>
        <w:t>十、合同生效及其它</w:t>
      </w:r>
      <w:bookmarkEnd w:id="18"/>
    </w:p>
    <w:p w14:paraId="20CCEEA7">
      <w:pPr>
        <w:widowControl/>
        <w:autoSpaceDE w:val="0"/>
        <w:autoSpaceDN w:val="0"/>
        <w:snapToGrid w:val="0"/>
        <w:spacing w:line="360" w:lineRule="auto"/>
        <w:ind w:right="-110" w:firstLine="480" w:firstLineChars="200"/>
        <w:textAlignment w:val="bottom"/>
        <w:rPr>
          <w:rFonts w:eastAsia="仿宋_GB2312"/>
          <w:color w:val="000000"/>
          <w:kern w:val="0"/>
          <w:sz w:val="24"/>
          <w:highlight w:val="none"/>
        </w:rPr>
      </w:pPr>
      <w:r>
        <w:rPr>
          <w:rFonts w:eastAsia="仿宋_GB2312"/>
          <w:color w:val="000000"/>
          <w:kern w:val="0"/>
          <w:sz w:val="24"/>
          <w:highlight w:val="none"/>
        </w:rPr>
        <w:t>1、合同未尽事宜、由甲、乙双方协商，作为合同补充，与原合同具有同等法律效力。</w:t>
      </w:r>
    </w:p>
    <w:p w14:paraId="24B9DB09">
      <w:pPr>
        <w:widowControl/>
        <w:tabs>
          <w:tab w:val="left" w:pos="8391"/>
        </w:tabs>
        <w:autoSpaceDE w:val="0"/>
        <w:autoSpaceDN w:val="0"/>
        <w:snapToGrid w:val="0"/>
        <w:spacing w:line="360" w:lineRule="auto"/>
        <w:ind w:right="-69" w:firstLine="480" w:firstLineChars="200"/>
        <w:textAlignment w:val="bottom"/>
        <w:rPr>
          <w:rFonts w:eastAsia="仿宋_GB2312"/>
          <w:color w:val="000000"/>
          <w:kern w:val="0"/>
          <w:sz w:val="24"/>
          <w:highlight w:val="none"/>
        </w:rPr>
      </w:pPr>
      <w:r>
        <w:rPr>
          <w:rFonts w:eastAsia="仿宋_GB2312"/>
          <w:color w:val="000000"/>
          <w:kern w:val="0"/>
          <w:sz w:val="24"/>
          <w:highlight w:val="none"/>
        </w:rPr>
        <w:t>2、 本合同正本一式</w:t>
      </w:r>
      <w:r>
        <w:rPr>
          <w:rFonts w:eastAsia="仿宋_GB2312"/>
          <w:color w:val="000000"/>
          <w:kern w:val="0"/>
          <w:sz w:val="24"/>
          <w:highlight w:val="none"/>
          <w:u w:val="single"/>
        </w:rPr>
        <w:t xml:space="preserve">  </w:t>
      </w:r>
      <w:r>
        <w:rPr>
          <w:rFonts w:eastAsia="仿宋_GB2312"/>
          <w:color w:val="000000"/>
          <w:kern w:val="0"/>
          <w:sz w:val="24"/>
          <w:highlight w:val="none"/>
        </w:rPr>
        <w:t>份，甲方、乙方双方分别执</w:t>
      </w:r>
      <w:r>
        <w:rPr>
          <w:rFonts w:eastAsia="仿宋_GB2312"/>
          <w:color w:val="000000"/>
          <w:kern w:val="0"/>
          <w:sz w:val="24"/>
          <w:highlight w:val="none"/>
          <w:u w:val="single"/>
        </w:rPr>
        <w:t xml:space="preserve">  </w:t>
      </w:r>
      <w:r>
        <w:rPr>
          <w:rFonts w:eastAsia="仿宋_GB2312"/>
          <w:color w:val="000000"/>
          <w:kern w:val="0"/>
          <w:sz w:val="24"/>
          <w:highlight w:val="none"/>
        </w:rPr>
        <w:t>份，</w:t>
      </w:r>
      <w:r>
        <w:rPr>
          <w:rFonts w:eastAsia="仿宋_GB2312"/>
          <w:color w:val="000000"/>
          <w:kern w:val="0"/>
          <w:sz w:val="24"/>
          <w:highlight w:val="none"/>
          <w:u w:val="single"/>
        </w:rPr>
        <w:t xml:space="preserve">       </w:t>
      </w:r>
      <w:r>
        <w:rPr>
          <w:rFonts w:eastAsia="仿宋_GB2312"/>
          <w:color w:val="000000"/>
          <w:kern w:val="0"/>
          <w:sz w:val="24"/>
          <w:highlight w:val="none"/>
        </w:rPr>
        <w:t>备案</w:t>
      </w:r>
      <w:r>
        <w:rPr>
          <w:rFonts w:eastAsia="仿宋_GB2312"/>
          <w:color w:val="000000"/>
          <w:kern w:val="0"/>
          <w:sz w:val="24"/>
          <w:highlight w:val="none"/>
          <w:u w:val="single"/>
        </w:rPr>
        <w:t xml:space="preserve">  </w:t>
      </w:r>
      <w:r>
        <w:rPr>
          <w:rFonts w:eastAsia="仿宋_GB2312"/>
          <w:color w:val="000000"/>
          <w:kern w:val="0"/>
          <w:sz w:val="24"/>
          <w:highlight w:val="none"/>
        </w:rPr>
        <w:t>份。</w:t>
      </w:r>
    </w:p>
    <w:p w14:paraId="29B969AB">
      <w:pPr>
        <w:widowControl/>
        <w:tabs>
          <w:tab w:val="left" w:pos="8391"/>
        </w:tabs>
        <w:autoSpaceDE w:val="0"/>
        <w:autoSpaceDN w:val="0"/>
        <w:snapToGrid w:val="0"/>
        <w:spacing w:line="360" w:lineRule="auto"/>
        <w:ind w:right="-69" w:firstLine="480" w:firstLineChars="200"/>
        <w:textAlignment w:val="bottom"/>
        <w:rPr>
          <w:rFonts w:eastAsia="仿宋_GB2312"/>
          <w:color w:val="000000"/>
          <w:kern w:val="0"/>
          <w:sz w:val="24"/>
          <w:highlight w:val="none"/>
        </w:rPr>
      </w:pPr>
      <w:r>
        <w:rPr>
          <w:rFonts w:eastAsia="仿宋_GB2312"/>
          <w:color w:val="000000"/>
          <w:kern w:val="0"/>
          <w:sz w:val="24"/>
          <w:highlight w:val="none"/>
        </w:rPr>
        <w:t>3、合同经甲乙双方盖章、签字后生效，合同签订地点为</w:t>
      </w:r>
      <w:r>
        <w:rPr>
          <w:rFonts w:eastAsia="仿宋_GB2312"/>
          <w:color w:val="000000"/>
          <w:kern w:val="0"/>
          <w:sz w:val="24"/>
          <w:highlight w:val="none"/>
          <w:u w:val="single"/>
        </w:rPr>
        <w:t xml:space="preserve">   </w:t>
      </w:r>
      <w:r>
        <w:rPr>
          <w:rFonts w:eastAsia="仿宋_GB2312"/>
          <w:color w:val="000000"/>
          <w:kern w:val="0"/>
          <w:sz w:val="24"/>
          <w:highlight w:val="none"/>
        </w:rPr>
        <w:t>。</w:t>
      </w:r>
    </w:p>
    <w:p w14:paraId="413B5875">
      <w:pPr>
        <w:widowControl/>
        <w:tabs>
          <w:tab w:val="left" w:pos="8391"/>
        </w:tabs>
        <w:autoSpaceDE w:val="0"/>
        <w:autoSpaceDN w:val="0"/>
        <w:snapToGrid w:val="0"/>
        <w:spacing w:line="360" w:lineRule="auto"/>
        <w:ind w:right="-69" w:firstLine="480" w:firstLineChars="200"/>
        <w:textAlignment w:val="bottom"/>
        <w:rPr>
          <w:rFonts w:eastAsia="仿宋_GB2312"/>
          <w:color w:val="000000"/>
          <w:kern w:val="0"/>
          <w:sz w:val="24"/>
          <w:highlight w:val="none"/>
        </w:rPr>
      </w:pPr>
      <w:r>
        <w:rPr>
          <w:rFonts w:eastAsia="仿宋_GB2312"/>
          <w:color w:val="000000"/>
          <w:kern w:val="0"/>
          <w:sz w:val="24"/>
          <w:highlight w:val="none"/>
        </w:rPr>
        <w:t>4、生效时间：</w:t>
      </w:r>
      <w:r>
        <w:rPr>
          <w:rFonts w:eastAsia="仿宋_GB2312"/>
          <w:color w:val="000000"/>
          <w:kern w:val="0"/>
          <w:sz w:val="24"/>
          <w:highlight w:val="none"/>
          <w:u w:val="single"/>
        </w:rPr>
        <w:t xml:space="preserve">   </w:t>
      </w:r>
      <w:r>
        <w:rPr>
          <w:rFonts w:eastAsia="仿宋_GB2312"/>
          <w:color w:val="000000"/>
          <w:kern w:val="0"/>
          <w:sz w:val="24"/>
          <w:highlight w:val="none"/>
        </w:rPr>
        <w:t>年</w:t>
      </w:r>
      <w:r>
        <w:rPr>
          <w:rFonts w:eastAsia="仿宋_GB2312"/>
          <w:color w:val="000000"/>
          <w:kern w:val="0"/>
          <w:sz w:val="24"/>
          <w:highlight w:val="none"/>
          <w:u w:val="single"/>
        </w:rPr>
        <w:t xml:space="preserve">  </w:t>
      </w:r>
      <w:r>
        <w:rPr>
          <w:rFonts w:eastAsia="仿宋_GB2312"/>
          <w:color w:val="000000"/>
          <w:kern w:val="0"/>
          <w:sz w:val="24"/>
          <w:highlight w:val="none"/>
        </w:rPr>
        <w:t>月</w:t>
      </w:r>
      <w:r>
        <w:rPr>
          <w:rFonts w:eastAsia="仿宋_GB2312"/>
          <w:color w:val="000000"/>
          <w:kern w:val="0"/>
          <w:sz w:val="24"/>
          <w:highlight w:val="none"/>
          <w:u w:val="single"/>
        </w:rPr>
        <w:t xml:space="preserve">  </w:t>
      </w:r>
      <w:r>
        <w:rPr>
          <w:rFonts w:eastAsia="仿宋_GB2312"/>
          <w:color w:val="000000"/>
          <w:kern w:val="0"/>
          <w:sz w:val="24"/>
          <w:highlight w:val="none"/>
        </w:rPr>
        <w:t>日</w:t>
      </w:r>
    </w:p>
    <w:p w14:paraId="298F5122">
      <w:pPr>
        <w:widowControl/>
        <w:tabs>
          <w:tab w:val="left" w:pos="8391"/>
        </w:tabs>
        <w:autoSpaceDE w:val="0"/>
        <w:autoSpaceDN w:val="0"/>
        <w:snapToGrid w:val="0"/>
        <w:spacing w:line="360" w:lineRule="auto"/>
        <w:ind w:right="-69" w:firstLine="840" w:firstLineChars="350"/>
        <w:textAlignment w:val="bottom"/>
        <w:rPr>
          <w:rFonts w:eastAsia="仿宋_GB2312"/>
          <w:color w:val="000000"/>
          <w:kern w:val="0"/>
          <w:sz w:val="24"/>
          <w:highlight w:val="none"/>
        </w:rPr>
      </w:pPr>
    </w:p>
    <w:tbl>
      <w:tblPr>
        <w:tblStyle w:val="4"/>
        <w:tblW w:w="0" w:type="auto"/>
        <w:jc w:val="center"/>
        <w:tblLayout w:type="fixed"/>
        <w:tblCellMar>
          <w:top w:w="0" w:type="dxa"/>
          <w:left w:w="108" w:type="dxa"/>
          <w:bottom w:w="0" w:type="dxa"/>
          <w:right w:w="108" w:type="dxa"/>
        </w:tblCellMar>
      </w:tblPr>
      <w:tblGrid>
        <w:gridCol w:w="4643"/>
        <w:gridCol w:w="4643"/>
      </w:tblGrid>
      <w:tr w14:paraId="65CE6051">
        <w:tblPrEx>
          <w:tblCellMar>
            <w:top w:w="0" w:type="dxa"/>
            <w:left w:w="108" w:type="dxa"/>
            <w:bottom w:w="0" w:type="dxa"/>
            <w:right w:w="108" w:type="dxa"/>
          </w:tblCellMar>
        </w:tblPrEx>
        <w:trPr>
          <w:jc w:val="center"/>
        </w:trPr>
        <w:tc>
          <w:tcPr>
            <w:tcW w:w="4643" w:type="dxa"/>
            <w:noWrap w:val="0"/>
            <w:vAlign w:val="top"/>
          </w:tcPr>
          <w:p w14:paraId="717DAE0A">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甲方名称</w:t>
            </w:r>
            <w:r>
              <w:rPr>
                <w:rFonts w:eastAsia="仿宋_GB2312"/>
                <w:color w:val="000000"/>
                <w:spacing w:val="-20"/>
                <w:kern w:val="0"/>
                <w:sz w:val="24"/>
                <w:highlight w:val="none"/>
              </w:rPr>
              <w:t>（盖章）</w:t>
            </w:r>
            <w:r>
              <w:rPr>
                <w:rFonts w:eastAsia="仿宋_GB2312"/>
                <w:color w:val="000000"/>
                <w:kern w:val="0"/>
                <w:sz w:val="24"/>
                <w:highlight w:val="none"/>
              </w:rPr>
              <w:t>:</w:t>
            </w:r>
          </w:p>
          <w:p w14:paraId="2DE38B88">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地址：</w:t>
            </w:r>
          </w:p>
          <w:p w14:paraId="35723E13">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代表人（签字）：</w:t>
            </w:r>
          </w:p>
          <w:p w14:paraId="5623782E">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电话：</w:t>
            </w:r>
          </w:p>
          <w:p w14:paraId="5104741B">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开户银行：</w:t>
            </w:r>
          </w:p>
          <w:p w14:paraId="284E9CBB">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账号：</w:t>
            </w:r>
          </w:p>
        </w:tc>
        <w:tc>
          <w:tcPr>
            <w:tcW w:w="4643" w:type="dxa"/>
            <w:noWrap w:val="0"/>
            <w:vAlign w:val="top"/>
          </w:tcPr>
          <w:p w14:paraId="716F4B24">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乙方名称</w:t>
            </w:r>
            <w:r>
              <w:rPr>
                <w:rFonts w:eastAsia="仿宋_GB2312"/>
                <w:color w:val="000000"/>
                <w:spacing w:val="-20"/>
                <w:kern w:val="0"/>
                <w:sz w:val="24"/>
                <w:highlight w:val="none"/>
              </w:rPr>
              <w:t>（盖章）</w:t>
            </w:r>
            <w:r>
              <w:rPr>
                <w:rFonts w:eastAsia="仿宋_GB2312"/>
                <w:color w:val="000000"/>
                <w:kern w:val="0"/>
                <w:sz w:val="24"/>
                <w:highlight w:val="none"/>
              </w:rPr>
              <w:t>:</w:t>
            </w:r>
          </w:p>
          <w:p w14:paraId="04897AB1">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地址：</w:t>
            </w:r>
          </w:p>
          <w:p w14:paraId="20CAC3BA">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代表人（签字）：</w:t>
            </w:r>
          </w:p>
          <w:p w14:paraId="18166314">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电话：</w:t>
            </w:r>
          </w:p>
          <w:p w14:paraId="71436FF0">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开户银行：</w:t>
            </w:r>
          </w:p>
          <w:p w14:paraId="103CBF67">
            <w:pPr>
              <w:widowControl/>
              <w:autoSpaceDE w:val="0"/>
              <w:autoSpaceDN w:val="0"/>
              <w:snapToGrid w:val="0"/>
              <w:spacing w:line="360" w:lineRule="auto"/>
              <w:ind w:right="-154"/>
              <w:textAlignment w:val="bottom"/>
              <w:rPr>
                <w:rFonts w:eastAsia="仿宋_GB2312"/>
                <w:color w:val="000000"/>
                <w:kern w:val="0"/>
                <w:sz w:val="24"/>
                <w:highlight w:val="none"/>
              </w:rPr>
            </w:pPr>
            <w:r>
              <w:rPr>
                <w:rFonts w:eastAsia="仿宋_GB2312"/>
                <w:color w:val="000000"/>
                <w:kern w:val="0"/>
                <w:sz w:val="24"/>
                <w:highlight w:val="none"/>
              </w:rPr>
              <w:t>账号：</w:t>
            </w:r>
          </w:p>
        </w:tc>
      </w:tr>
    </w:tbl>
    <w:p w14:paraId="51FB0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A1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tabs>
        <w:tab w:val="left" w:pos="567"/>
      </w:tabs>
      <w:spacing w:before="120" w:line="22" w:lineRule="atLeast"/>
    </w:pPr>
    <w:rPr>
      <w:rFonts w:ascii="宋体" w:hAnsi="宋体"/>
      <w:sz w:val="24"/>
    </w:rPr>
  </w:style>
  <w:style w:type="character" w:customStyle="1" w:styleId="6">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2024-12-05T06:05:40Z</dcterms:created>
  <dc:creator>hp</dc:creator>
  <cp:lastModifiedBy>∠'L☆</cp:lastModifiedBy>
  <dcterms:modified xsi:type="dcterms:W3CDTF">2024-12-05T07:36:24Z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3F6DE93003E14696B407E2810BB80794_12</vt:lpwstr>
  </property>
</Properties>
</file>