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版本号：241204002</w:t>
      </w:r>
      <w:r>
        <w:br/>
      </w:r>
      <w:r>
        <w:br/>
      </w:r>
      <w:r>
        <w:br/>
      </w:r>
      <w:r>
        <w:br/>
      </w:r>
      <w:r>
        <w:br/>
      </w:r>
    </w:p>
    <w:p>
      <w:pPr>
        <w:pStyle w:val="null3"/>
        <w:jc w:val="center"/>
        <w:outlineLvl w:val="0"/>
      </w:pPr>
      <w:r>
        <w:rPr>
          <w:sz w:val="48"/>
          <w:b/>
        </w:rPr>
        <w:t>谈 判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X射线衍射仪等设备采购项目</w:t>
      </w:r>
    </w:p>
    <w:p>
      <w:pPr>
        <w:pStyle w:val="null3"/>
        <w:jc w:val="center"/>
        <w:outlineLvl w:val="2"/>
      </w:pPr>
      <w:r>
        <w:rPr>
          <w:sz w:val="28"/>
          <w:b/>
        </w:rPr>
        <w:t>采购项目编号：</w:t>
      </w:r>
      <w:r>
        <w:rPr>
          <w:sz w:val="28"/>
          <w:b/>
        </w:rPr>
        <w:t>【KRDL】K2-2411349</w:t>
      </w:r>
      <w:r>
        <w:br/>
      </w:r>
      <w:r>
        <w:br/>
      </w:r>
      <w:r>
        <w:br/>
      </w:r>
    </w:p>
    <w:p>
      <w:pPr>
        <w:pStyle w:val="null3"/>
        <w:jc w:val="center"/>
        <w:outlineLvl w:val="2"/>
      </w:pPr>
      <w:r>
        <w:rPr>
          <w:sz w:val="28"/>
          <w:b/>
        </w:rPr>
        <w:t>西北大学</w:t>
      </w:r>
    </w:p>
    <w:p>
      <w:pPr>
        <w:pStyle w:val="null3"/>
        <w:jc w:val="center"/>
        <w:outlineLvl w:val="2"/>
      </w:pPr>
      <w:r>
        <w:rPr>
          <w:sz w:val="28"/>
          <w:b/>
        </w:rPr>
        <w:t>开瑞项目管理有限公司</w:t>
      </w:r>
      <w:r>
        <w:rPr>
          <w:sz w:val="28"/>
          <w:b/>
        </w:rPr>
        <w:t>共同编制</w:t>
      </w:r>
    </w:p>
    <w:p>
      <w:pPr>
        <w:pStyle w:val="null3"/>
        <w:jc w:val="center"/>
        <w:outlineLvl w:val="2"/>
      </w:pPr>
      <w:r>
        <w:rPr>
          <w:sz w:val="28"/>
          <w:b/>
        </w:rPr>
        <w:t>2024年12月04日</w:t>
      </w:r>
    </w:p>
    <w:p>
      <w:pPr>
        <w:pStyle w:val="null3"/>
      </w:pPr>
      <w:r>
        <w:rPr/>
        <w:t xml:space="preserve"> </w:t>
        <w:br/>
        <w:br w:type="page"/>
      </w:r>
    </w:p>
    <w:p>
      <w:pPr>
        <w:pStyle w:val="null3"/>
        <w:jc w:val="center"/>
        <w:outlineLvl w:val="1"/>
      </w:pPr>
      <w:r>
        <w:rPr>
          <w:sz w:val="36"/>
          <w:b/>
        </w:rPr>
        <w:t>第一章 竞争性谈判邀请</w:t>
      </w:r>
    </w:p>
    <w:p>
      <w:pPr>
        <w:pStyle w:val="null3"/>
        <w:ind w:firstLine="480"/>
      </w:pPr>
      <w:r>
        <w:rPr/>
        <w:t>开瑞项目管理有限公司</w:t>
      </w:r>
      <w:r>
        <w:rPr/>
        <w:t>（以下简称“代理机构”）受</w:t>
      </w:r>
      <w:r>
        <w:rPr/>
        <w:t>西北大学</w:t>
      </w:r>
      <w:r>
        <w:rPr/>
        <w:t>委托，拟对</w:t>
      </w:r>
      <w:r>
        <w:rPr/>
        <w:t>X射线衍射仪等设备采购项目</w:t>
      </w:r>
      <w:r>
        <w:rPr/>
        <w:t>采用竞争性谈判采购方式进行采购，兹邀请供应商参加本项目的竞争性谈判。</w:t>
      </w:r>
    </w:p>
    <w:p>
      <w:pPr>
        <w:pStyle w:val="null3"/>
        <w:outlineLvl w:val="2"/>
      </w:pPr>
      <w:r>
        <w:rPr>
          <w:sz w:val="28"/>
          <w:b/>
        </w:rPr>
        <w:t>一、项目编号：</w:t>
      </w:r>
      <w:r>
        <w:rPr>
          <w:sz w:val="28"/>
          <w:b/>
        </w:rPr>
        <w:t>【KRDL】K2-2411349</w:t>
      </w:r>
    </w:p>
    <w:p>
      <w:pPr>
        <w:pStyle w:val="null3"/>
        <w:outlineLvl w:val="2"/>
      </w:pPr>
      <w:r>
        <w:rPr>
          <w:sz w:val="28"/>
          <w:b/>
        </w:rPr>
        <w:t>二、项目名称：</w:t>
      </w:r>
      <w:r>
        <w:rPr>
          <w:sz w:val="28"/>
          <w:b/>
        </w:rPr>
        <w:t>X射线衍射仪等设备采购项目</w:t>
      </w:r>
    </w:p>
    <w:p>
      <w:pPr>
        <w:pStyle w:val="null3"/>
        <w:outlineLvl w:val="2"/>
      </w:pPr>
      <w:r>
        <w:rPr>
          <w:sz w:val="28"/>
          <w:b/>
        </w:rPr>
        <w:t>三、谈判项目简介：</w:t>
      </w:r>
    </w:p>
    <w:p>
      <w:pPr>
        <w:pStyle w:val="null3"/>
        <w:ind w:firstLine="480"/>
      </w:pPr>
      <w:r>
        <w:rPr/>
        <w:t>本次采购内容主要为西北大学采购实时荧光定量PCR系统1套、超灵敏全自动成像分析系统1套、X射线衍射仪1台，具体采购内容及要求详见本项目竞争性谈判文件、答疑文件等全部内容。</w:t>
      </w:r>
    </w:p>
    <w:p>
      <w:pPr>
        <w:pStyle w:val="null3"/>
        <w:outlineLvl w:val="2"/>
      </w:pPr>
      <w:r>
        <w:rPr>
          <w:sz w:val="28"/>
          <w:b/>
        </w:rPr>
        <w:t>四、邀请供应商：</w:t>
      </w:r>
    </w:p>
    <w:p>
      <w:pPr>
        <w:pStyle w:val="null3"/>
      </w:pPr>
      <w:r>
        <w:rPr/>
        <w:t>本次采购采取公告征集邀请谈判的供应商。</w:t>
      </w:r>
    </w:p>
    <w:p>
      <w:pPr>
        <w:pStyle w:val="null3"/>
      </w:pPr>
      <w:r>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无</w:t>
      </w:r>
    </w:p>
    <w:p>
      <w:pPr>
        <w:pStyle w:val="null3"/>
        <w:ind w:firstLine="440"/>
        <w:jc w:val="left"/>
      </w:pPr>
      <w:r>
        <w:rPr>
          <w:sz w:val="22"/>
        </w:rPr>
        <w:t>注：监狱企业和残疾人福利性单位视同小微企业，符合中小企业划分标准的个体工商户视同中小企业。</w:t>
      </w:r>
    </w:p>
    <w:p>
      <w:pPr>
        <w:pStyle w:val="null3"/>
        <w:ind w:firstLine="480"/>
      </w:pPr>
      <w:r>
        <w:rPr/>
        <w:t>（三）本项目的特定资格要求：</w:t>
      </w:r>
    </w:p>
    <w:p>
      <w:pPr>
        <w:pStyle w:val="null3"/>
      </w:pPr>
      <w:r>
        <w:rPr/>
        <w:t>采购包1：</w:t>
      </w:r>
    </w:p>
    <w:p>
      <w:pPr>
        <w:pStyle w:val="null3"/>
      </w:pPr>
      <w:r>
        <w:rPr/>
        <w:t>1、具有独立承担民事责任的能力：具有独立承担民事责任能力的法人、其他组织或自然人，提供合法有效的统一社会信用代码营业执照（事业单位提供法人证书，自然人提供身份证）；</w:t>
      </w:r>
    </w:p>
    <w:p>
      <w:pPr>
        <w:pStyle w:val="null3"/>
      </w:pPr>
      <w:r>
        <w:rPr/>
        <w:t>2、具有良好的商业信誉和健全的财务会计制度：法人提供经审计的2023年度完整的财务报告（成立时间至响应文件递交截止时间不足一年的可提供成立后任意时段的资产负债表）或响应文件递交截止时间前六个月内银行出具的资信证明；其他组织和自然人提供银行出具的资信证明或 财务报表。注：①提供财务报告的，内容至少包括审计报告、附注。②提供资信证明的，必须提 供资信证明全部页以及基本户信息（提供开户许可证或提供基本银行账户信息），银行出具的存 款证明不能代替资信证明，存款证明无效；</w:t>
      </w:r>
    </w:p>
    <w:p>
      <w:pPr>
        <w:pStyle w:val="null3"/>
      </w:pPr>
      <w:r>
        <w:rPr/>
        <w:t>3、有依法缴纳税收的良好记录：提供响应文件递交截止时间前一年内任意一个月依法缴纳税收的相关凭据（时间以税款所属日期为准，税种须包含增值税或企业所得税，凭据应有税务机关或 代收机关的公章或业务专用章）；其他组织和自然人提供缴纳税收的凭据；依法免税的供应商应 提供相关文件证明（成立不足一个月的提供依法纳税的承诺书，格式自拟；零报税的提供申报成 功的凭证）；</w:t>
      </w:r>
    </w:p>
    <w:p>
      <w:pPr>
        <w:pStyle w:val="null3"/>
      </w:pPr>
      <w:r>
        <w:rPr/>
        <w:t>4、有依法缴纳社会保障资金的良好记录：供响应文件递交截止时间前一年内任意一个月已缴纳的社会保障资金的凭据（带有社保机构公章的缴存凭证或银行交纳单据，单据应显示社保缴存项（任一项）；通过代缴方式缴存的，需提供链条完整的证明材料，证明材料至少包括代缴方的缴存凭证、供应商向代缴方用于缴存社保的银行转账单据）；依法不需要缴纳社会保障资金的 供应商应提供相关文件证明（成立不足一个月的提供将依法交纳社会保障资金的承诺书，格式自拟）；</w:t>
      </w:r>
    </w:p>
    <w:p>
      <w:pPr>
        <w:pStyle w:val="null3"/>
      </w:pPr>
      <w:r>
        <w:rPr/>
        <w:t>5、具有履行合同所必需的设备和专业技术能力：提供具有履行合同所必需的设备和专业技术能力的承诺；</w:t>
      </w:r>
    </w:p>
    <w:p>
      <w:pPr>
        <w:pStyle w:val="null3"/>
      </w:pPr>
      <w:r>
        <w:rPr/>
        <w:t>6、参加政府采购活动前三年内，在经营活动中没有重大违法记录：提供参加政府采购活动前三年内，在经营活动中没有重大违法记录的书面声明；</w:t>
      </w:r>
    </w:p>
    <w:p>
      <w:pPr>
        <w:pStyle w:val="null3"/>
      </w:pPr>
      <w:r>
        <w:rPr/>
        <w:t>7、法定代表人授权书、法定代表人身份证明合格：提供合格的法定代表人授权书（附法定代表人、被授权人身份证复印件）或法定代表人身份证明（法定代表人直接参加响应的）；</w:t>
      </w:r>
    </w:p>
    <w:p>
      <w:pPr>
        <w:pStyle w:val="null3"/>
      </w:pPr>
      <w:r>
        <w:rPr/>
        <w:t>8、信用承诺：提供未被“信用中国”网站（www.creditchina.gov.cn）列入失信被执行人或重大税收违法失信主体名单，未被财政部门在中国政府采购网（www.ccgp.gov.cn）政府采购严重违 法失信行为记录名单中禁止参加政府采购活动的承诺；</w:t>
      </w:r>
    </w:p>
    <w:p>
      <w:pPr>
        <w:pStyle w:val="null3"/>
      </w:pPr>
      <w:r>
        <w:rPr/>
        <w:t>9、进口产品授权书：若所响应产品为进口产品的，供应商须提供产品厂家授权书或总代理商授权书或具有授权权限的供应商对所响应进口产品的授权书。（如提供总代理商授权的须同时提供具有有效授权权限的相关证明文件，证明文件需能显示产品制造厂家对所响应产品授权链条的完整性）。</w:t>
      </w:r>
    </w:p>
    <w:p>
      <w:pPr>
        <w:pStyle w:val="null3"/>
      </w:pPr>
      <w:r>
        <w:rPr/>
        <w:t>采购包2：</w:t>
      </w:r>
    </w:p>
    <w:p>
      <w:pPr>
        <w:pStyle w:val="null3"/>
      </w:pPr>
      <w:r>
        <w:rPr/>
        <w:t>1、具有独立承担民事责任的能力：具有独立承担民事责任能力的法人、其他组织或自然人，提供合法有效的统一社会信用代码营业执照（事业单位提供法人证书，自然人提供身份证）；</w:t>
      </w:r>
    </w:p>
    <w:p>
      <w:pPr>
        <w:pStyle w:val="null3"/>
      </w:pPr>
      <w:r>
        <w:rPr/>
        <w:t>2、具有良好的商业信誉和健全的财务会计制度：法人提供经审计的2023年度完整的财务报告（成立时间至响应文件递交截止时间不足一年的可提供成立后任意时段的资产负债表）或响应文件递交截止时间前六个月内银行出具的资信证明；其他组织和自然人提供银行出具的资信证明或 财务报表。注：①提供财务报告的，内容至少包括审计报告、附注。②提供资信证明的，必须提 供资信证明全部页以及基本户信息（提供开户许可证或提供基本银行账户信息），银行出具的存 款证明不能代替资信证明，存款证明无效；</w:t>
      </w:r>
    </w:p>
    <w:p>
      <w:pPr>
        <w:pStyle w:val="null3"/>
      </w:pPr>
      <w:r>
        <w:rPr/>
        <w:t>3、有依法缴纳税收的良好记录：提供响应文件递交截止时间前一年内任意一个月依法缴纳税收的相关凭据（时间以税款所属日期为准，税种须包含增值税或企业所得税，凭据应有税务机关或 代收机关的公章或业务专用章）；其他组织和自然人提供缴纳税收的凭据；依法免税的供应商应 提供相关文件证明（成立不足一个月的提供依法纳税的承诺书，格式自拟；零报税的提供申报成 功的凭证）；</w:t>
      </w:r>
    </w:p>
    <w:p>
      <w:pPr>
        <w:pStyle w:val="null3"/>
      </w:pPr>
      <w:r>
        <w:rPr/>
        <w:t>4、有依法缴纳社会保障资金的良好记录：提供响应文件递交截止时间前一年内任意一个月已缴纳的社会保障资金的凭据（带有社保机构公章的缴存凭证或银行交纳单据，单据应显示社保缴存项（任一项）；通过代缴方式缴存的，需提供链条完整的证明材料，证明材料至少包括代缴方的缴存凭证、供应商向代缴方用于缴存社保的银行转账单据）；依法不需要缴纳社会保障资金的 供应商应提供相关文件证明（成立不足一个月的提供将依法交纳社会保障资金的承诺书，格式自拟）；</w:t>
      </w:r>
    </w:p>
    <w:p>
      <w:pPr>
        <w:pStyle w:val="null3"/>
      </w:pPr>
      <w:r>
        <w:rPr/>
        <w:t>5、具有履行合同所必需的设备和专业技术能力：提供具有履行合同所必需的设备和专业技术能力的承诺；</w:t>
      </w:r>
    </w:p>
    <w:p>
      <w:pPr>
        <w:pStyle w:val="null3"/>
      </w:pPr>
      <w:r>
        <w:rPr/>
        <w:t>6、参加政府采购活动前三年内，在经营活动中没有重大违法记录：提供参加政府采购活动前三年内，在经营活动中没有重大违法记录的书面声明；</w:t>
      </w:r>
    </w:p>
    <w:p>
      <w:pPr>
        <w:pStyle w:val="null3"/>
      </w:pPr>
      <w:r>
        <w:rPr/>
        <w:t>7、法定代表人授权书、法定代表人身份证明合格：提供合格的法定代表人授权书（附法定代表人、被授权人身份证复印件）或法定代表人身份证明（法定代表人直接参加响应的）；</w:t>
      </w:r>
    </w:p>
    <w:p>
      <w:pPr>
        <w:pStyle w:val="null3"/>
      </w:pPr>
      <w:r>
        <w:rPr/>
        <w:t>8、信用承诺：提供未被“信用中国”网站（www.creditchina.gov.cn）列入失信被执行人或重大税收违法失信主体名单，未被财政部门在中国政府采购网（www.ccgp.gov.cn）政府采购严重违 法失信行为记录名单中禁止参加政府采购活动的承诺；</w:t>
      </w:r>
    </w:p>
    <w:p>
      <w:pPr>
        <w:pStyle w:val="null3"/>
      </w:pPr>
      <w:r>
        <w:rPr/>
        <w:t>9、进口产品授权书：若所响应产品为进口产品的，供应商须提供产品厂家授权书或总代理商授权书或具有授权权限的供应商对所响应进口产品的授权书。（如提供总代理商授权的须同时提供具有有效授权权限的相关证明文件，证明文件需能显示产品制造厂家对所响应产品授权链条的完整性）。</w:t>
      </w:r>
    </w:p>
    <w:p>
      <w:pPr>
        <w:pStyle w:val="null3"/>
      </w:pPr>
      <w:r>
        <w:rPr/>
        <w:t>采购包3：</w:t>
      </w:r>
    </w:p>
    <w:p>
      <w:pPr>
        <w:pStyle w:val="null3"/>
      </w:pPr>
      <w:r>
        <w:rPr/>
        <w:t>1、具有独立承担民事责任的能力：具有独立承担民事责任能力的法人、其他组织或自然人，提供合法有效的统一社会信用代码营业执照（事业单位提供法人证书，自然人提供身份证）；</w:t>
      </w:r>
    </w:p>
    <w:p>
      <w:pPr>
        <w:pStyle w:val="null3"/>
      </w:pPr>
      <w:r>
        <w:rPr/>
        <w:t>2、具有良好的商业信誉和健全的财务会计制度：法人提供经审计的2023年度完整的财务报告（成立时间至响应文件递交截止时间不足一年的可提供成立后任意时段的资产负债表）或响应文件递交截止时间前六个月内银行出具的资信证明；其他组织和自然人提供银行出具的资信证明或 财务报表。注：①提供财务报告的，内容至少包括审计报告、附注。②提供资信证明的，必须提 供资信证明全部页以及基本户信息（提供开户许可证或提供基本银行账户信息），银行出具的存 款证明不能代替资信证明，存款证明无效；</w:t>
      </w:r>
    </w:p>
    <w:p>
      <w:pPr>
        <w:pStyle w:val="null3"/>
      </w:pPr>
      <w:r>
        <w:rPr/>
        <w:t>3、有依法缴纳税收的良好记录：提供响应文件递交截止时间前一年内任意一个月依法缴纳税收的相关凭据（时间以税款所属日期为准，税种须包含增值税或企业所得税，凭据应有税务机关或 代收机关的公章或业务专用章）；其他组织和自然人提供缴纳税收的凭据；依法免税的供应商应 提供相关文件证明（成立不足一个月的提供依法纳税的承诺书，格式自拟；零报税的提供申报成 功的凭证）；</w:t>
      </w:r>
    </w:p>
    <w:p>
      <w:pPr>
        <w:pStyle w:val="null3"/>
      </w:pPr>
      <w:r>
        <w:rPr/>
        <w:t>4、有依法缴纳社会保障资金的良好记录：提供响应文件递交截止时间前一年内任意一个月已缴纳的社会保障资金的凭据（带有社保机构公章的缴存凭证或银行交纳单据，单据应显示社保缴存项（任一项）；通过代缴方式缴存的，需提供链条完整的证明材料，证明材料至少包括代缴方的缴存凭证、供应商向代缴方用于缴存社保的银行转账单据）；依法不需要缴纳社会保障资金的 供应商应提供相关文件证明（成立不足一个月的提供将依法交纳社会保障资金的承诺书，格式自拟）；</w:t>
      </w:r>
    </w:p>
    <w:p>
      <w:pPr>
        <w:pStyle w:val="null3"/>
      </w:pPr>
      <w:r>
        <w:rPr/>
        <w:t>5、具有履行合同所必需的设备和专业技术能力：提供具有履行合同所必需的设备和专业技术能力的承诺；</w:t>
      </w:r>
    </w:p>
    <w:p>
      <w:pPr>
        <w:pStyle w:val="null3"/>
      </w:pPr>
      <w:r>
        <w:rPr/>
        <w:t>6、参加政府采购活动前三年内，在经营活动中没有重大违法记录：提供参加政府采购活动前三年内，在经营活动中没有重大违法记录的书面声明；</w:t>
      </w:r>
    </w:p>
    <w:p>
      <w:pPr>
        <w:pStyle w:val="null3"/>
      </w:pPr>
      <w:r>
        <w:rPr/>
        <w:t>7、法定代表人授权书、法定代表人身份证明合格：供合格的法定代表人授权书（附法定代表人、被授权人身份证复印件）或法定代表人身份证明（法定代表人直接参加响应的）；</w:t>
      </w:r>
    </w:p>
    <w:p>
      <w:pPr>
        <w:pStyle w:val="null3"/>
      </w:pPr>
      <w:r>
        <w:rPr/>
        <w:t>8、信用承诺：提供未被“信用中国”网站（www.creditchina.gov.cn）列入失信被执行人或重大税收违法失信主体名单，未被财政部门在中国政府采购网（www.ccgp.gov.cn）政府采购严重违 法失信行为记录名单中禁止参加政府采购活动的承诺；</w:t>
      </w:r>
    </w:p>
    <w:p>
      <w:pPr>
        <w:pStyle w:val="null3"/>
      </w:pPr>
      <w:r>
        <w:rPr/>
        <w:t>9、进口产品授权书：若所响应产品为进口产品的，供应商须提供产品厂家授权书或总代理商授权书或具有授权权限的供应商对所响应进口产品的授权书。（如提供总代理商授权的须同时提供具有有效授权权限的相关证明文件，证明文件需能显示产品制造厂家对所响应产品授权链条的完整性）。</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七、竞争性谈判文件获取时间、方式及地址</w:t>
      </w:r>
    </w:p>
    <w:p>
      <w:pPr>
        <w:pStyle w:val="null3"/>
        <w:ind w:firstLine="480"/>
      </w:pPr>
      <w:r>
        <w:rPr/>
        <w:t>（一）谈判文件获取时间：详见采购公告或邀请书</w:t>
      </w:r>
    </w:p>
    <w:p>
      <w:pPr>
        <w:pStyle w:val="null3"/>
        <w:ind w:firstLine="480"/>
      </w:pPr>
      <w:r>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t>注：获取的谈判文件主体格式包括pdf、word两种格式版本，其中以pdf格式为准。</w:t>
      </w:r>
    </w:p>
    <w:p>
      <w:pPr>
        <w:pStyle w:val="null3"/>
        <w:outlineLvl w:val="2"/>
      </w:pPr>
      <w:r>
        <w:rPr>
          <w:sz w:val="28"/>
          <w:b/>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九、谈判方式</w:t>
      </w:r>
    </w:p>
    <w:p>
      <w:pPr>
        <w:pStyle w:val="null3"/>
        <w:ind w:firstLine="480"/>
      </w:pPr>
      <w:r>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西北大学</w:t>
      </w:r>
    </w:p>
    <w:p>
      <w:pPr>
        <w:pStyle w:val="null3"/>
      </w:pPr>
      <w:r>
        <w:rPr/>
        <w:t xml:space="preserve"> 地址： </w:t>
      </w:r>
      <w:r>
        <w:rPr/>
        <w:t>西安市太白北路229号</w:t>
      </w:r>
    </w:p>
    <w:p>
      <w:pPr>
        <w:pStyle w:val="null3"/>
      </w:pPr>
      <w:r>
        <w:rPr/>
        <w:t xml:space="preserve"> 邮编： </w:t>
      </w:r>
      <w:r>
        <w:rPr/>
        <w:t>710000</w:t>
      </w:r>
    </w:p>
    <w:p>
      <w:pPr>
        <w:pStyle w:val="null3"/>
      </w:pPr>
      <w:r>
        <w:rPr/>
        <w:t xml:space="preserve"> 联系人： </w:t>
      </w:r>
      <w:r>
        <w:rPr/>
        <w:t>赵老师</w:t>
      </w:r>
    </w:p>
    <w:p>
      <w:pPr>
        <w:pStyle w:val="null3"/>
      </w:pPr>
      <w:r>
        <w:rPr/>
        <w:t xml:space="preserve"> 联系电话： </w:t>
      </w:r>
      <w:r>
        <w:rPr/>
        <w:t>029-88302595</w:t>
      </w:r>
    </w:p>
    <w:p>
      <w:pPr>
        <w:pStyle w:val="null3"/>
        <w:outlineLvl w:val="3"/>
      </w:pPr>
      <w:r>
        <w:rPr>
          <w:sz w:val="24"/>
          <w:b/>
        </w:rPr>
        <w:t>代理机构：</w:t>
      </w:r>
      <w:r>
        <w:rPr>
          <w:sz w:val="24"/>
          <w:b/>
        </w:rPr>
        <w:t>开瑞项目管理有限公司</w:t>
      </w:r>
    </w:p>
    <w:p>
      <w:pPr>
        <w:pStyle w:val="null3"/>
      </w:pPr>
      <w:r>
        <w:rPr/>
        <w:t xml:space="preserve"> 地址： </w:t>
      </w:r>
      <w:r>
        <w:rPr/>
        <w:t>陕西省西安市莲湖区高新二路1号招商银行大厦19层</w:t>
      </w:r>
    </w:p>
    <w:p>
      <w:pPr>
        <w:pStyle w:val="null3"/>
      </w:pPr>
      <w:r>
        <w:rPr/>
        <w:t xml:space="preserve"> 邮编： </w:t>
      </w:r>
      <w:r>
        <w:rPr/>
        <w:t>710000</w:t>
      </w:r>
    </w:p>
    <w:p>
      <w:pPr>
        <w:pStyle w:val="null3"/>
      </w:pPr>
      <w:r>
        <w:rPr/>
        <w:t xml:space="preserve"> 联系人： </w:t>
      </w:r>
      <w:r>
        <w:rPr/>
        <w:t>刘昆、赵婉婷</w:t>
      </w:r>
    </w:p>
    <w:p>
      <w:pPr>
        <w:pStyle w:val="null3"/>
      </w:pPr>
      <w:r>
        <w:rPr/>
        <w:t xml:space="preserve"> 联系电话： </w:t>
      </w:r>
      <w:r>
        <w:rPr/>
        <w:t>029-89581311、15667290283</w:t>
      </w:r>
    </w:p>
    <w:p>
      <w:pPr>
        <w:pStyle w:val="null3"/>
        <w:outlineLvl w:val="3"/>
      </w:pPr>
      <w:r>
        <w:rPr>
          <w:sz w:val="24"/>
          <w:b/>
        </w:rPr>
        <w:t>采购监督机构：</w:t>
      </w:r>
      <w:r>
        <w:rPr>
          <w:sz w:val="24"/>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采购包1：576,000.00元</w:t>
            </w:r>
          </w:p>
          <w:p>
            <w:pPr>
              <w:pStyle w:val="null3"/>
            </w:pPr>
            <w:r>
              <w:rPr/>
              <w:t>采购包2：440,000.00元</w:t>
            </w:r>
          </w:p>
          <w:p>
            <w:pPr>
              <w:pStyle w:val="null3"/>
            </w:pPr>
            <w:r>
              <w:rPr/>
              <w:t>采购包3：1,440,000.00元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最低评标价法(详见第六章)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p>
          <w:p>
            <w:pPr>
              <w:pStyle w:val="null3"/>
            </w:pPr>
            <w:r>
              <w:rPr/>
              <w:t>采购包2：不接受</w:t>
            </w:r>
          </w:p>
          <w:p>
            <w:pPr>
              <w:pStyle w:val="null3"/>
            </w:pPr>
            <w:r>
              <w:rPr/>
              <w:t>采购包3：不接受</w:t>
            </w:r>
            <w:r>
              <w:rPr/>
              <w:t xml:space="preserve"> 如以联合体响应的，联合体各方均应当具备本谈判文件要求的资格条件和能力。</w:t>
            </w:r>
          </w:p>
          <w:p>
            <w:pPr>
              <w:pStyle w:val="null3"/>
            </w:pPr>
            <w:r>
              <w:rPr/>
              <w:t xml:space="preserve"> （1）联合体各方均应具有承担本谈判项目必备的条件，如相应的人力、物力、资金等。</w:t>
            </w:r>
          </w:p>
          <w:p>
            <w:pPr>
              <w:pStyle w:val="null3"/>
            </w:pPr>
            <w:r>
              <w:rPr/>
              <w:t xml:space="preserve"> （2）谈判文件对供应商资格条件有特殊要求的，联合体各个成员都应当具备规定的相应资格条件。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t>9</w:t>
            </w:r>
          </w:p>
        </w:tc>
        <w:tc>
          <w:tcPr>
            <w:tcW w:type="dxa" w:w="2252"/>
          </w:tcPr>
          <w:p>
            <w:pPr>
              <w:pStyle w:val="null3"/>
            </w:pPr>
            <w:r>
              <w:rPr/>
              <w:t>谈判保证金</w:t>
            </w:r>
          </w:p>
        </w:tc>
        <w:tc>
          <w:tcPr>
            <w:tcW w:type="dxa" w:w="5004"/>
          </w:tcPr>
          <w:p>
            <w:pPr>
              <w:pStyle w:val="null3"/>
            </w:pPr>
            <w:r>
              <w:rPr/>
              <w:t>采购包1保证金金额：4,002.00元</w:t>
            </w:r>
          </w:p>
          <w:p>
            <w:pPr>
              <w:pStyle w:val="null3"/>
            </w:pPr>
            <w:r>
              <w:rPr/>
              <w:t>采购包2保证金金额：3,002.00元</w:t>
            </w:r>
          </w:p>
          <w:p>
            <w:pPr>
              <w:pStyle w:val="null3"/>
            </w:pPr>
            <w:r>
              <w:rPr/>
              <w:t>采购包3保证金金额：5,002.00元</w:t>
            </w:r>
          </w:p>
          <w:p>
            <w:pPr>
              <w:pStyle w:val="null3"/>
            </w:pPr>
            <w:r>
              <w:rPr/>
              <w:t>缴交渠道：电子保函,转账、支票、汇票等（需通过实体账户、户名及开户行信息）</w:t>
            </w:r>
          </w:p>
          <w:p>
            <w:pPr>
              <w:pStyle w:val="null3"/>
            </w:pPr>
            <w:r>
              <w:rPr/>
              <w:t>开户名称：开瑞项目管理有限公司</w:t>
            </w:r>
          </w:p>
          <w:p>
            <w:pPr>
              <w:pStyle w:val="null3"/>
            </w:pPr>
            <w:r>
              <w:rPr/>
              <w:t>开户银行：招商银行股份有限公司西安分行营业部</w:t>
            </w:r>
          </w:p>
          <w:p>
            <w:pPr>
              <w:pStyle w:val="null3"/>
            </w:pPr>
            <w:r>
              <w:rPr/>
              <w:t>银行账号：129905724510703</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本采购包履约保证金为合同金额的5.0%</w:t>
            </w:r>
          </w:p>
          <w:p>
            <w:pPr>
              <w:pStyle w:val="null3"/>
            </w:pPr>
            <w:r>
              <w:rPr/>
              <w:t>说明：缴纳形式：☑银行转账 ☑现金 ☑工程信用担保 ☑银行保函。 退还方式：待验收合格后凭收据和验收单复印件无息退还。</w:t>
            </w:r>
          </w:p>
          <w:p>
            <w:pPr>
              <w:pStyle w:val="null3"/>
            </w:pPr>
            <w:r>
              <w:rPr/>
              <w:t>采购包2：缴纳</w:t>
            </w:r>
          </w:p>
          <w:p>
            <w:pPr>
              <w:pStyle w:val="null3"/>
            </w:pPr>
            <w:r>
              <w:rPr/>
              <w:t>本采购包履约保证金为合同金额的5.0%</w:t>
            </w:r>
          </w:p>
          <w:p>
            <w:pPr>
              <w:pStyle w:val="null3"/>
            </w:pPr>
            <w:r>
              <w:rPr/>
              <w:t>说明：缴纳形式：☑银行转账 ☑现金 ☑工程信用担保 ☑银行保函。 退还方式：待验收合格后凭收据和验收单复印件无息退还。</w:t>
            </w:r>
          </w:p>
          <w:p>
            <w:pPr>
              <w:pStyle w:val="null3"/>
            </w:pPr>
            <w:r>
              <w:rPr/>
              <w:t>采购包3：缴纳</w:t>
            </w:r>
          </w:p>
          <w:p>
            <w:pPr>
              <w:pStyle w:val="null3"/>
            </w:pPr>
            <w:r>
              <w:rPr/>
              <w:t>本采购包履约保证金为合同金额的5.0%</w:t>
            </w:r>
          </w:p>
          <w:p>
            <w:pPr>
              <w:pStyle w:val="null3"/>
            </w:pPr>
            <w:r>
              <w:rPr/>
              <w:t>说明：缴纳形式：☑银行转账 ☑现金 ☑工程信用担保 ☑银行保函。 退还方式：待验收合格后凭收据和验收单复印件无息退还。</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提交响应文件的截止之日起不少于</w:t>
            </w:r>
            <w:r>
              <w:rPr/>
              <w:t>90</w:t>
            </w:r>
            <w:r>
              <w:rPr/>
              <w:t>天。</w:t>
            </w:r>
          </w:p>
        </w:tc>
      </w:tr>
      <w:tr>
        <w:tc>
          <w:tcPr>
            <w:tcW w:type="dxa" w:w="1051"/>
          </w:tcPr>
          <w:p>
            <w:pPr>
              <w:pStyle w:val="null3"/>
            </w:pPr>
            <w:r>
              <w:rPr/>
              <w:t>13</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代理服务费收费标准：确定成交投标人后3日内，由成交投标人参照国家计委颁发的《招标代理 服务收费管理暂行办法》（计价格[2002]1980号）和国家发展改革委员会办公厅颁发的《关于招标代理服务收费有 关问题的通知》（发改办价格[2003] 857号）的有关规定标准下浮20%计取，向采购代理机构一次付清代理服务费。备注：在对采购代理服务费或者磋商保证金转账时需备注项目名称+招标代理服务费或投标保证金。</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允许。本项目允许采购进口产品，进口产品的清单详见第3章。</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p>
            <w:pPr>
              <w:pStyle w:val="null3"/>
            </w:pPr>
            <w:r>
              <w:rPr/>
              <w:t>采购包2：组织现场踏勘：否</w:t>
            </w:r>
          </w:p>
          <w:p>
            <w:pPr>
              <w:pStyle w:val="null3"/>
            </w:pPr>
            <w:r>
              <w:rPr/>
              <w:t>采购包3：组织现场踏勘：否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2.2.1适用范围</w:t>
      </w:r>
    </w:p>
    <w:p>
      <w:pPr>
        <w:pStyle w:val="null3"/>
        <w:ind w:firstLine="480"/>
      </w:pPr>
      <w:r>
        <w:rPr/>
        <w:t>一、本竞争性谈判文件仅适用于本次竞争性谈判采购项目。</w:t>
      </w:r>
    </w:p>
    <w:p>
      <w:pPr>
        <w:pStyle w:val="null3"/>
        <w:ind w:firstLine="480"/>
      </w:pPr>
      <w:r>
        <w:rPr/>
        <w:t>二、本竞争性谈判文件的最终解释权由</w:t>
      </w:r>
      <w:r>
        <w:rPr/>
        <w:t>西北大学</w:t>
      </w:r>
      <w:r>
        <w:rPr/>
        <w:t>和</w:t>
      </w:r>
      <w:r>
        <w:rPr/>
        <w:t>开瑞项目管理有限公司</w:t>
      </w:r>
      <w:r>
        <w:rPr/>
        <w:t>享有。竞争性谈判文件中供应商参加本次政府采购活动应当具备的条件、技术清单、参数、商务及其他要求由</w:t>
      </w:r>
      <w:r>
        <w:rPr/>
        <w:t>西北大学</w:t>
      </w:r>
      <w:r>
        <w:rPr/>
        <w:t>负责解释。除上述竞争性谈判文件内容，其他内容由</w:t>
      </w:r>
      <w:r>
        <w:rPr/>
        <w:t>开瑞项目管理有限公司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一、“采购人”是指依法进行政府采购的各级国家机关、事业单位、团体组织。本次谈判的采购人是</w:t>
      </w:r>
      <w:r>
        <w:rPr/>
        <w:t>西北大学</w:t>
      </w:r>
      <w:r>
        <w:rPr/>
        <w:t>。</w:t>
      </w:r>
    </w:p>
    <w:p>
      <w:pPr>
        <w:pStyle w:val="null3"/>
        <w:ind w:firstLine="480"/>
      </w:pPr>
      <w:r>
        <w:rPr/>
        <w:t xml:space="preserve"> 二、“供应商”是指在按照采购公告规定获取谈判文件，拟参加响应和向采购人提供货物、工程或服务的法人、其他组织或自然人。</w:t>
      </w:r>
    </w:p>
    <w:p>
      <w:pPr>
        <w:pStyle w:val="null3"/>
        <w:ind w:firstLine="480"/>
      </w:pPr>
      <w:r>
        <w:rPr/>
        <w:t xml:space="preserve"> 三、“代理机构”是指集中采购机构和集中采购机构以外的代理机构。本项目的代理机构是</w:t>
      </w:r>
      <w:r>
        <w:rPr/>
        <w:t>开瑞项目管理有限公司</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五、“电子评审”是指通过项目电子化交易系统在线完成资格审查小组、谈判小组组建，开展资格和符合性审查、出具谈判报告、推荐成交候选供应商等活动。</w:t>
      </w:r>
    </w:p>
    <w:p>
      <w:pPr>
        <w:pStyle w:val="null3"/>
        <w:outlineLvl w:val="3"/>
      </w:pPr>
      <w:r>
        <w:rPr>
          <w:sz w:val="24"/>
          <w:b/>
        </w:rPr>
        <w:t>2.2.3响应费用（实质性要求）</w:t>
      </w:r>
    </w:p>
    <w:p>
      <w:pPr>
        <w:pStyle w:val="null3"/>
        <w:ind w:firstLine="480"/>
      </w:pPr>
      <w:r>
        <w:rPr/>
        <w:t>供应商应自行承担参加竞争性谈判采购活动的全部费用。</w:t>
      </w:r>
    </w:p>
    <w:p>
      <w:pPr>
        <w:pStyle w:val="null3"/>
        <w:outlineLvl w:val="2"/>
      </w:pPr>
      <w:r>
        <w:rPr>
          <w:sz w:val="28"/>
          <w:b/>
        </w:rPr>
        <w:t>2.3竞争性谈判文件</w:t>
      </w:r>
    </w:p>
    <w:p>
      <w:pPr>
        <w:pStyle w:val="null3"/>
        <w:outlineLvl w:val="3"/>
      </w:pPr>
      <w:r>
        <w:rPr>
          <w:sz w:val="24"/>
          <w:b/>
        </w:rPr>
        <w:t xml:space="preserve"> 2.3.1竞争性谈判文件的构成</w:t>
      </w:r>
    </w:p>
    <w:p>
      <w:pPr>
        <w:pStyle w:val="null3"/>
        <w:ind w:firstLine="480"/>
      </w:pPr>
      <w:r>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t>（一）竞争性谈判邀请；</w:t>
      </w:r>
    </w:p>
    <w:p>
      <w:pPr>
        <w:pStyle w:val="null3"/>
        <w:ind w:firstLine="480"/>
      </w:pPr>
      <w:r>
        <w:rPr/>
        <w:t>（二）供应商须知；</w:t>
      </w:r>
    </w:p>
    <w:p>
      <w:pPr>
        <w:pStyle w:val="null3"/>
        <w:ind w:firstLine="480"/>
      </w:pPr>
      <w:r>
        <w:rPr/>
        <w:t>（三）谈判项目技术、服务、商务及其他要求；</w:t>
      </w:r>
    </w:p>
    <w:p>
      <w:pPr>
        <w:pStyle w:val="null3"/>
        <w:ind w:firstLine="480"/>
      </w:pPr>
      <w:r>
        <w:rPr/>
        <w:t>（四）资格审查；</w:t>
      </w:r>
    </w:p>
    <w:p>
      <w:pPr>
        <w:pStyle w:val="null3"/>
        <w:ind w:firstLine="480"/>
      </w:pPr>
      <w:r>
        <w:rPr/>
        <w:t>（五）谈判过程中可实质性变动的内容；</w:t>
      </w:r>
    </w:p>
    <w:p>
      <w:pPr>
        <w:pStyle w:val="null3"/>
        <w:ind w:firstLine="480"/>
      </w:pPr>
      <w:r>
        <w:rPr/>
        <w:t>（六）谈判办法；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sz w:val="24"/>
          <w:b/>
        </w:rPr>
        <w:t xml:space="preserve"> 2.3.2竞争性谈判文件的澄清和修改</w:t>
      </w:r>
    </w:p>
    <w:p>
      <w:pPr>
        <w:pStyle w:val="null3"/>
        <w:ind w:firstLine="480"/>
      </w:pPr>
      <w:r>
        <w:rPr/>
        <w:t>一、在提交首次响应文件截止时间前，采购人或者代理机构可以对已发出的谈判文件进行必要的澄清或者修改。</w:t>
      </w:r>
    </w:p>
    <w:p>
      <w:pPr>
        <w:pStyle w:val="null3"/>
      </w:pPr>
      <w:r>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2.4.1响应文件的语言（实质性要求）</w:t>
      </w:r>
    </w:p>
    <w:p>
      <w:pPr>
        <w:pStyle w:val="null3"/>
        <w:ind w:firstLine="480"/>
      </w:pPr>
      <w:r>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除谈判文件中另有规定外，本项目均采用国家法定的计量单位。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四、构成本谈判文件的各组成部分，未经采购人书面同意，供应商不得擅自复印或用于非本谈判项目所需的其他目的。</w:t>
      </w:r>
    </w:p>
    <w:p>
      <w:pPr>
        <w:pStyle w:val="null3"/>
        <w:outlineLvl w:val="3"/>
      </w:pPr>
      <w:r>
        <w:rPr>
          <w:sz w:val="24"/>
          <w:b/>
        </w:rPr>
        <w:t>2.4.5响应文件的组成（实质性要求）</w:t>
      </w:r>
    </w:p>
    <w:p>
      <w:pPr>
        <w:pStyle w:val="null3"/>
        <w:ind w:firstLine="480"/>
      </w:pPr>
      <w:r>
        <w:rPr/>
        <w:t>供应商应按照谈判文件的规定和要求编制响应文件。</w:t>
      </w:r>
    </w:p>
    <w:p>
      <w:pPr>
        <w:pStyle w:val="null3"/>
        <w:ind w:firstLine="480"/>
        <w:jc w:val="left"/>
      </w:pPr>
      <w:r>
        <w:rPr/>
        <w:t>响应文件具体内容详见第七章。</w:t>
      </w:r>
    </w:p>
    <w:p>
      <w:pPr>
        <w:pStyle w:val="null3"/>
        <w:outlineLvl w:val="3"/>
      </w:pPr>
      <w:r>
        <w:rPr>
          <w:sz w:val="24"/>
          <w:b/>
        </w:rPr>
        <w:t>2.4.6响应文件格式</w:t>
      </w:r>
    </w:p>
    <w:p>
      <w:pPr>
        <w:pStyle w:val="null3"/>
        <w:ind w:firstLine="480"/>
      </w:pPr>
      <w:r>
        <w:rPr/>
        <w:t>1.供应商应按照谈判文件第七章中提供的“响应文件格式”填写相关内容。</w:t>
      </w:r>
    </w:p>
    <w:p>
      <w:pPr>
        <w:pStyle w:val="null3"/>
        <w:ind w:firstLine="480"/>
      </w:pPr>
      <w:r>
        <w:rPr/>
        <w:t>2.对于没有格式要求的响应文件由供应商自行编写。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一、供应商的报价是其响应谈判项目要求的全部工作内容的价格体现，包括供应商完成本项目所需的一切费用。</w:t>
      </w:r>
    </w:p>
    <w:p>
      <w:pPr>
        <w:pStyle w:val="null3"/>
        <w:ind w:firstLine="480"/>
      </w:pPr>
      <w:r>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2.4.9响应文件的制作、签章和加密（实质性要求）</w:t>
      </w:r>
    </w:p>
    <w:p>
      <w:pPr>
        <w:pStyle w:val="null3"/>
        <w:ind w:firstLine="480"/>
      </w:pPr>
      <w:r>
        <w:rPr/>
        <w:t xml:space="preserve"> 一、响应文件应当根据谈判通知书进行编制。供应商应通过陕西省政府采购网-办事指南-CA及签章服务下载投标（响应）客户端，使用客户端编制响应文件。</w:t>
      </w:r>
    </w:p>
    <w:p>
      <w:pPr>
        <w:pStyle w:val="null3"/>
        <w:ind w:firstLine="480"/>
      </w:pPr>
      <w:r>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2.5开启、资格审查、谈判和确定成交供应商</w:t>
      </w:r>
    </w:p>
    <w:p>
      <w:pPr>
        <w:pStyle w:val="null3"/>
        <w:outlineLvl w:val="3"/>
      </w:pPr>
      <w:r>
        <w:rPr>
          <w:sz w:val="24"/>
          <w:b/>
        </w:rPr>
        <w:t>2.5.1谈判开启程序</w:t>
      </w:r>
    </w:p>
    <w:p>
      <w:pPr>
        <w:pStyle w:val="null3"/>
        <w:ind w:firstLine="480"/>
      </w:pPr>
      <w:r>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t>二、谈判开启准备工作</w:t>
      </w:r>
    </w:p>
    <w:p>
      <w:pPr>
        <w:pStyle w:val="null3"/>
        <w:ind w:firstLine="480"/>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详见谈判文件第四章。</w:t>
      </w:r>
    </w:p>
    <w:p>
      <w:pPr>
        <w:pStyle w:val="null3"/>
        <w:outlineLvl w:val="3"/>
      </w:pPr>
      <w:r>
        <w:rPr>
          <w:sz w:val="24"/>
          <w:b/>
        </w:rPr>
        <w:t>2.5.4谈判</w:t>
      </w:r>
    </w:p>
    <w:p>
      <w:pPr>
        <w:pStyle w:val="null3"/>
        <w:ind w:firstLine="480"/>
      </w:pPr>
      <w:r>
        <w:rPr/>
        <w:t>详见谈判文件第六章。</w:t>
      </w:r>
    </w:p>
    <w:p>
      <w:pPr>
        <w:pStyle w:val="null3"/>
        <w:outlineLvl w:val="3"/>
      </w:pPr>
      <w:r>
        <w:rPr>
          <w:sz w:val="24"/>
          <w:b/>
        </w:rPr>
        <w:t>2.5.5、成交通知书</w:t>
      </w:r>
    </w:p>
    <w:p>
      <w:pPr>
        <w:pStyle w:val="null3"/>
        <w:ind w:firstLine="480"/>
      </w:pPr>
      <w:r>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二、采购人和成交供应商签订的采购合同不得对谈判文件确定的事项以及成交供应商的响应文件作实质性修改。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 xml:space="preserve"> 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pPr>
      <w:r>
        <w:rPr/>
        <w:t>采购包2：不允许合同分包。</w:t>
      </w:r>
    </w:p>
    <w:p>
      <w:pPr>
        <w:pStyle w:val="null3"/>
      </w:pPr>
      <w:r>
        <w:rPr/>
        <w:t>采购包3：不允许合同分包。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sz w:val="28"/>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2"/>
      </w:pPr>
      <w:r>
        <w:rPr>
          <w:sz w:val="28"/>
          <w:b/>
        </w:rPr>
        <w:t>2.6.7履约验收方案</w:t>
      </w:r>
    </w:p>
    <w:p>
      <w:pPr>
        <w:pStyle w:val="null3"/>
      </w:pPr>
      <w:r>
        <w:rPr/>
        <w:t>采购包1：</w:t>
      </w:r>
    </w:p>
    <w:p>
      <w:pPr>
        <w:pStyle w:val="null3"/>
      </w:pPr>
      <w:r>
        <w:rPr/>
        <w:t>以本项目合同约定为准。</w:t>
      </w:r>
    </w:p>
    <w:p>
      <w:pPr>
        <w:pStyle w:val="null3"/>
      </w:pPr>
      <w:r>
        <w:rPr/>
        <w:t>采购包2：</w:t>
      </w:r>
    </w:p>
    <w:p>
      <w:pPr>
        <w:pStyle w:val="null3"/>
      </w:pPr>
      <w:r>
        <w:rPr/>
        <w:t>以本项目合同约定为准。</w:t>
      </w:r>
    </w:p>
    <w:p>
      <w:pPr>
        <w:pStyle w:val="null3"/>
      </w:pPr>
      <w:r>
        <w:rPr/>
        <w:t>采购包3：</w:t>
      </w:r>
    </w:p>
    <w:p>
      <w:pPr>
        <w:pStyle w:val="null3"/>
      </w:pPr>
      <w:r>
        <w:rPr/>
        <w:t>以本项目合同约定为准。</w:t>
      </w:r>
    </w:p>
    <w:p>
      <w:pPr>
        <w:pStyle w:val="null3"/>
        <w:outlineLvl w:val="2"/>
      </w:pPr>
      <w:r>
        <w:rPr>
          <w:sz w:val="28"/>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2.7.1谈判活动纪律要求</w:t>
      </w:r>
    </w:p>
    <w:p>
      <w:pPr>
        <w:pStyle w:val="null3"/>
        <w:ind w:firstLine="480"/>
      </w:pPr>
      <w:r>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t>对各供应商的商业秘密，谈判小组成员应予以保密，不得泄露给其他供应商。</w:t>
      </w:r>
    </w:p>
    <w:p>
      <w:pPr>
        <w:pStyle w:val="null3"/>
        <w:outlineLvl w:val="3"/>
      </w:pPr>
      <w:r>
        <w:rPr>
          <w:sz w:val="24"/>
          <w:b/>
        </w:rPr>
        <w:t>2.7.2供应商不得具有的情形（实质性要求）</w:t>
      </w:r>
    </w:p>
    <w:p>
      <w:pPr>
        <w:pStyle w:val="null3"/>
        <w:ind w:firstLine="480"/>
      </w:pPr>
      <w:r>
        <w:rPr/>
        <w:t>供应商参加谈判不得有下列情形：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（二）不同供应商委托同一单位或者个人办理谈判事宜；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五、向采购人或代理机构、谈判小组成员行贿或者提供其他不正当利益；</w:t>
      </w:r>
    </w:p>
    <w:p>
      <w:pPr>
        <w:pStyle w:val="null3"/>
        <w:ind w:firstLine="480"/>
      </w:pPr>
      <w:r>
        <w:rPr/>
        <w:t>六、在谈判过程中与采购人或代理机构进行协商谈判；</w:t>
      </w:r>
    </w:p>
    <w:p>
      <w:pPr>
        <w:pStyle w:val="null3"/>
        <w:ind w:firstLine="480"/>
      </w:pPr>
      <w:r>
        <w:rPr/>
        <w:t>七、成交后无正当理由拒不与采购人签订政府采购合同；</w:t>
      </w:r>
    </w:p>
    <w:p>
      <w:pPr>
        <w:pStyle w:val="null3"/>
        <w:ind w:firstLine="480"/>
      </w:pPr>
      <w:r>
        <w:rPr/>
        <w:t>八、未按照谈判文件确定的事项签订政府采购合同；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开瑞项目管理有限公司</w:t>
      </w:r>
      <w:r>
        <w:rPr/>
        <w:t xml:space="preserve"> 负责答复；供应商对除采购需求外的采购文件的询问、质疑由</w:t>
      </w:r>
      <w:r>
        <w:rPr/>
        <w:t>开瑞项目管理有限公司</w:t>
      </w:r>
      <w:r>
        <w:rPr/>
        <w:t xml:space="preserve"> 负责答复；供应商对采购过程、采购结果的询问、质疑由 </w:t>
      </w:r>
      <w:r>
        <w:rPr/>
        <w:t>开瑞项目管理有限公司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pPr>
      <w:r>
        <w:rPr/>
        <w:t>答复主体：代理机构</w:t>
      </w:r>
    </w:p>
    <w:p>
      <w:pPr>
        <w:pStyle w:val="null3"/>
      </w:pPr>
      <w:r>
        <w:rPr/>
        <w:t>联系人：刘昆、赵婉婷</w:t>
      </w:r>
    </w:p>
    <w:p>
      <w:pPr>
        <w:pStyle w:val="null3"/>
      </w:pPr>
      <w:r>
        <w:rPr/>
        <w:t>联系电话：029-89581311、15667290283</w:t>
      </w:r>
    </w:p>
    <w:p>
      <w:pPr>
        <w:pStyle w:val="null3"/>
      </w:pPr>
      <w:r>
        <w:rPr/>
        <w:t>地址：陕西省西安市莲湖区高新二路1号招商银行大厦19层</w:t>
      </w:r>
    </w:p>
    <w:p>
      <w:pPr>
        <w:pStyle w:val="null3"/>
      </w:pPr>
      <w:r>
        <w:rPr/>
        <w:t>邮编：710000</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（五）针对质疑事项必要的证明材料（针对谈判文件提出的质疑，需提交从项目电子化交易系统获取的谈判文件回执单）。</w:t>
      </w:r>
    </w:p>
    <w:p>
      <w:pPr>
        <w:pStyle w:val="null3"/>
        <w:ind w:firstLine="480"/>
      </w:pPr>
      <w:r>
        <w:rPr/>
        <w:t>注：根据《中华人民共和国政府采购法》的规定，供应商质疑不得超出谈判文件、采购过程、采购结果的范围。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t xml:space="preserve"> </w:t>
        <w:br/>
        <w:br w:type="page"/>
      </w:r>
    </w:p>
    <w:p>
      <w:pPr>
        <w:pStyle w:val="null3"/>
        <w:jc w:val="center"/>
        <w:outlineLvl w:val="1"/>
      </w:pPr>
      <w:r>
        <w:rPr>
          <w:sz w:val="36"/>
          <w:b/>
        </w:rPr>
        <w:t>第三章 谈判项目技术、服务、商务及其他要求</w:t>
      </w:r>
    </w:p>
    <w:p>
      <w:pPr>
        <w:pStyle w:val="null3"/>
        <w:ind w:firstLine="480"/>
      </w:pPr>
      <w:r>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本次采购内容主要为西北大学采购实时荧光定量PCR系统1套、超灵敏全自动成像分析系统1套、X射线衍射仪1台，具体采购内容及要求详见本项目竞争性谈判文件、答疑文件等全部内容。</w:t>
      </w:r>
    </w:p>
    <w:p>
      <w:pPr>
        <w:pStyle w:val="null3"/>
        <w:outlineLvl w:val="2"/>
      </w:pPr>
      <w:r>
        <w:rPr>
          <w:sz w:val="28"/>
          <w:b/>
        </w:rPr>
        <w:t>3.2采购内容</w:t>
      </w:r>
    </w:p>
    <w:p>
      <w:pPr>
        <w:pStyle w:val="null3"/>
      </w:pPr>
      <w:r>
        <w:rPr/>
        <w:t>采购包1：</w:t>
      </w:r>
    </w:p>
    <w:p>
      <w:pPr>
        <w:pStyle w:val="null3"/>
      </w:pPr>
      <w:r>
        <w:rPr/>
        <w:t>采购包预算金额（元）: 576,000.00</w:t>
      </w:r>
    </w:p>
    <w:p>
      <w:pPr>
        <w:pStyle w:val="null3"/>
      </w:pPr>
      <w:r>
        <w:rPr/>
        <w:t>采购包最高限价（元）: 576,000.00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实时荧光定量PCR系统</w:t>
            </w:r>
          </w:p>
        </w:tc>
        <w:tc>
          <w:tcPr>
            <w:tcW w:type="dxa" w:w="831"/>
          </w:tcPr>
          <w:p>
            <w:pPr>
              <w:pStyle w:val="null3"/>
              <w:jc w:val="right"/>
            </w:pPr>
            <w:r>
              <w:rPr/>
              <w:t>1.00</w:t>
            </w:r>
          </w:p>
        </w:tc>
        <w:tc>
          <w:tcPr>
            <w:tcW w:type="dxa" w:w="831"/>
          </w:tcPr>
          <w:p>
            <w:pPr>
              <w:pStyle w:val="null3"/>
              <w:jc w:val="right"/>
            </w:pPr>
            <w:r>
              <w:rPr/>
              <w:t>576,000.00</w:t>
            </w:r>
          </w:p>
        </w:tc>
        <w:tc>
          <w:tcPr>
            <w:tcW w:type="dxa" w:w="831"/>
          </w:tcPr>
          <w:p>
            <w:pPr>
              <w:pStyle w:val="null3"/>
            </w:pPr>
            <w:r>
              <w:rPr/>
              <w:t>台</w:t>
            </w:r>
          </w:p>
        </w:tc>
        <w:tc>
          <w:tcPr>
            <w:tcW w:type="dxa" w:w="831"/>
          </w:tcPr>
          <w:p>
            <w:pPr>
              <w:pStyle w:val="null3"/>
            </w:pPr>
            <w:r>
              <w:rPr/>
              <w:t>工业</w:t>
            </w:r>
          </w:p>
        </w:tc>
        <w:tc>
          <w:tcPr>
            <w:tcW w:type="dxa" w:w="831"/>
          </w:tcPr>
          <w:p>
            <w:pPr>
              <w:pStyle w:val="null3"/>
            </w:pPr>
            <w:r>
              <w:rPr/>
              <w:t>否</w:t>
            </w:r>
          </w:p>
        </w:tc>
        <w:tc>
          <w:tcPr>
            <w:tcW w:type="dxa" w:w="831"/>
          </w:tcPr>
          <w:p>
            <w:pPr>
              <w:pStyle w:val="null3"/>
            </w:pPr>
            <w:r>
              <w:rPr/>
              <w:t>是</w:t>
            </w:r>
          </w:p>
        </w:tc>
        <w:tc>
          <w:tcPr>
            <w:tcW w:type="dxa" w:w="831"/>
          </w:tcPr>
          <w:p>
            <w:pPr>
              <w:pStyle w:val="null3"/>
            </w:pPr>
            <w:r>
              <w:rPr/>
              <w:t>否</w:t>
            </w:r>
          </w:p>
        </w:tc>
        <w:tc>
          <w:tcPr>
            <w:tcW w:type="dxa" w:w="831"/>
          </w:tcPr>
          <w:p>
            <w:pPr>
              <w:pStyle w:val="null3"/>
            </w:pPr>
            <w:r>
              <w:rPr/>
              <w:t>否</w:t>
            </w:r>
          </w:p>
        </w:tc>
      </w:tr>
    </w:tbl>
    <w:p>
      <w:pPr>
        <w:pStyle w:val="null3"/>
      </w:pPr>
      <w:r>
        <w:rPr/>
        <w:t>采购包2：</w:t>
      </w:r>
    </w:p>
    <w:p>
      <w:pPr>
        <w:pStyle w:val="null3"/>
      </w:pPr>
      <w:r>
        <w:rPr/>
        <w:t>采购包预算金额（元）: 440,000.00</w:t>
      </w:r>
    </w:p>
    <w:p>
      <w:pPr>
        <w:pStyle w:val="null3"/>
      </w:pPr>
      <w:r>
        <w:rPr/>
        <w:t>采购包最高限价（元）: 440,000.00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超灵敏全自动成像分析系统</w:t>
            </w:r>
          </w:p>
        </w:tc>
        <w:tc>
          <w:tcPr>
            <w:tcW w:type="dxa" w:w="831"/>
          </w:tcPr>
          <w:p>
            <w:pPr>
              <w:pStyle w:val="null3"/>
              <w:jc w:val="right"/>
            </w:pPr>
            <w:r>
              <w:rPr/>
              <w:t>1.00</w:t>
            </w:r>
          </w:p>
        </w:tc>
        <w:tc>
          <w:tcPr>
            <w:tcW w:type="dxa" w:w="831"/>
          </w:tcPr>
          <w:p>
            <w:pPr>
              <w:pStyle w:val="null3"/>
              <w:jc w:val="right"/>
            </w:pPr>
            <w:r>
              <w:rPr/>
              <w:t>440,000.00</w:t>
            </w:r>
          </w:p>
        </w:tc>
        <w:tc>
          <w:tcPr>
            <w:tcW w:type="dxa" w:w="831"/>
          </w:tcPr>
          <w:p>
            <w:pPr>
              <w:pStyle w:val="null3"/>
            </w:pPr>
            <w:r>
              <w:rPr/>
              <w:t>台</w:t>
            </w:r>
          </w:p>
        </w:tc>
        <w:tc>
          <w:tcPr>
            <w:tcW w:type="dxa" w:w="831"/>
          </w:tcPr>
          <w:p>
            <w:pPr>
              <w:pStyle w:val="null3"/>
            </w:pPr>
            <w:r>
              <w:rPr/>
              <w:t>工业</w:t>
            </w:r>
          </w:p>
        </w:tc>
        <w:tc>
          <w:tcPr>
            <w:tcW w:type="dxa" w:w="831"/>
          </w:tcPr>
          <w:p>
            <w:pPr>
              <w:pStyle w:val="null3"/>
            </w:pPr>
            <w:r>
              <w:rPr/>
              <w:t>否</w:t>
            </w:r>
          </w:p>
        </w:tc>
        <w:tc>
          <w:tcPr>
            <w:tcW w:type="dxa" w:w="831"/>
          </w:tcPr>
          <w:p>
            <w:pPr>
              <w:pStyle w:val="null3"/>
            </w:pPr>
            <w:r>
              <w:rPr/>
              <w:t>是</w:t>
            </w:r>
          </w:p>
        </w:tc>
        <w:tc>
          <w:tcPr>
            <w:tcW w:type="dxa" w:w="831"/>
          </w:tcPr>
          <w:p>
            <w:pPr>
              <w:pStyle w:val="null3"/>
            </w:pPr>
            <w:r>
              <w:rPr/>
              <w:t>否</w:t>
            </w:r>
          </w:p>
        </w:tc>
        <w:tc>
          <w:tcPr>
            <w:tcW w:type="dxa" w:w="831"/>
          </w:tcPr>
          <w:p>
            <w:pPr>
              <w:pStyle w:val="null3"/>
            </w:pPr>
            <w:r>
              <w:rPr/>
              <w:t>否</w:t>
            </w:r>
          </w:p>
        </w:tc>
      </w:tr>
    </w:tbl>
    <w:p>
      <w:pPr>
        <w:pStyle w:val="null3"/>
      </w:pPr>
      <w:r>
        <w:rPr/>
        <w:t>采购包3：</w:t>
      </w:r>
    </w:p>
    <w:p>
      <w:pPr>
        <w:pStyle w:val="null3"/>
      </w:pPr>
      <w:r>
        <w:rPr/>
        <w:t>采购包预算金额（元）: 1,440,000.00</w:t>
      </w:r>
    </w:p>
    <w:p>
      <w:pPr>
        <w:pStyle w:val="null3"/>
      </w:pPr>
      <w:r>
        <w:rPr/>
        <w:t>采购包最高限价（元）: 1,440,000.00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X射线衍射仪</w:t>
            </w:r>
          </w:p>
        </w:tc>
        <w:tc>
          <w:tcPr>
            <w:tcW w:type="dxa" w:w="831"/>
          </w:tcPr>
          <w:p>
            <w:pPr>
              <w:pStyle w:val="null3"/>
              <w:jc w:val="right"/>
            </w:pPr>
            <w:r>
              <w:rPr/>
              <w:t>1.00</w:t>
            </w:r>
          </w:p>
        </w:tc>
        <w:tc>
          <w:tcPr>
            <w:tcW w:type="dxa" w:w="831"/>
          </w:tcPr>
          <w:p>
            <w:pPr>
              <w:pStyle w:val="null3"/>
              <w:jc w:val="right"/>
            </w:pPr>
            <w:r>
              <w:rPr/>
              <w:t>1,440,000.00</w:t>
            </w:r>
          </w:p>
        </w:tc>
        <w:tc>
          <w:tcPr>
            <w:tcW w:type="dxa" w:w="831"/>
          </w:tcPr>
          <w:p>
            <w:pPr>
              <w:pStyle w:val="null3"/>
            </w:pPr>
            <w:r>
              <w:rPr/>
              <w:t>台</w:t>
            </w:r>
          </w:p>
        </w:tc>
        <w:tc>
          <w:tcPr>
            <w:tcW w:type="dxa" w:w="831"/>
          </w:tcPr>
          <w:p>
            <w:pPr>
              <w:pStyle w:val="null3"/>
            </w:pPr>
            <w:r>
              <w:rPr/>
              <w:t>工业</w:t>
            </w:r>
          </w:p>
        </w:tc>
        <w:tc>
          <w:tcPr>
            <w:tcW w:type="dxa" w:w="831"/>
          </w:tcPr>
          <w:p>
            <w:pPr>
              <w:pStyle w:val="null3"/>
            </w:pPr>
            <w:r>
              <w:rPr/>
              <w:t>否</w:t>
            </w:r>
          </w:p>
        </w:tc>
        <w:tc>
          <w:tcPr>
            <w:tcW w:type="dxa" w:w="831"/>
          </w:tcPr>
          <w:p>
            <w:pPr>
              <w:pStyle w:val="null3"/>
            </w:pPr>
            <w:r>
              <w:rPr/>
              <w:t>是</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标的名称：实时荧光定量PCR系统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380"/>
            </w:pPr>
            <w:r>
              <w:rPr>
                <w:rFonts w:ascii="宋体" w:hAnsi="宋体" w:cs="宋体" w:eastAsia="宋体"/>
                <w:sz w:val="19"/>
                <w:color w:val="0000FF"/>
              </w:rPr>
              <w:t>（一）采购标的需实现的功能或者目标：</w:t>
            </w:r>
          </w:p>
          <w:p>
            <w:pPr>
              <w:pStyle w:val="null3"/>
              <w:ind w:firstLine="380"/>
            </w:pPr>
            <w:r>
              <w:rPr>
                <w:rFonts w:ascii="宋体" w:hAnsi="宋体" w:cs="宋体" w:eastAsia="宋体"/>
                <w:sz w:val="19"/>
                <w:color w:val="0000FF"/>
              </w:rPr>
              <w:t>用于食品微生物研究、食品成分与质量研究、食品加工与贮藏研究、食品安全风险评估等研究。</w:t>
            </w:r>
          </w:p>
          <w:p>
            <w:pPr>
              <w:pStyle w:val="null3"/>
              <w:ind w:left="495" w:right="1920"/>
            </w:pPr>
            <w:r>
              <w:rPr>
                <w:rFonts w:ascii="宋体" w:hAnsi="宋体" w:cs="宋体" w:eastAsia="宋体"/>
                <w:sz w:val="19"/>
                <w:color w:val="0000FF"/>
              </w:rPr>
              <w:t>（二）技术要求：</w:t>
            </w:r>
          </w:p>
          <w:tbl>
            <w:tblPr>
              <w:tblInd w:type="dxa" w:w="135"/>
              <w:tblBorders>
                <w:top w:val="none" w:color="000000" w:sz="4"/>
                <w:left w:val="none" w:color="000000" w:sz="4"/>
                <w:bottom w:val="none" w:color="000000" w:sz="4"/>
                <w:right w:val="none" w:color="000000" w:sz="4"/>
                <w:insideH w:val="none"/>
                <w:insideV w:val="none"/>
              </w:tblBorders>
            </w:tblPr>
            <w:tblGrid>
              <w:gridCol w:w="113"/>
              <w:gridCol w:w="307"/>
              <w:gridCol w:w="1835"/>
              <w:gridCol w:w="144"/>
              <w:gridCol w:w="155"/>
            </w:tblGrid>
            <w:tr>
              <w:tc>
                <w:tcPr>
                  <w:tcW w:type="dxa" w:w="1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color w:val="0000FF"/>
                    </w:rPr>
                    <w:t>序号</w:t>
                  </w:r>
                </w:p>
              </w:tc>
              <w:tc>
                <w:tcPr>
                  <w:tcW w:type="dxa" w:w="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color w:val="0000FF"/>
                    </w:rPr>
                    <w:t>货物名称</w:t>
                  </w:r>
                </w:p>
              </w:tc>
              <w:tc>
                <w:tcPr>
                  <w:tcW w:type="dxa" w:w="18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color w:val="0000FF"/>
                    </w:rPr>
                    <w:t>技术参数</w:t>
                  </w:r>
                </w:p>
              </w:tc>
              <w:tc>
                <w:tcPr>
                  <w:tcW w:type="dxa" w:w="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color w:val="0000FF"/>
                    </w:rPr>
                    <w:t>数量</w:t>
                  </w:r>
                </w:p>
              </w:tc>
              <w:tc>
                <w:tcPr>
                  <w:tcW w:type="dxa" w:w="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color w:val="0000FF"/>
                    </w:rPr>
                    <w:t>单位</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color w:val="0000FF"/>
                    </w:rPr>
                    <w:t>1</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color w:val="0000FF"/>
                    </w:rPr>
                    <w:t>荧光定量</w:t>
                  </w:r>
                  <w:r>
                    <w:rPr>
                      <w:rFonts w:ascii="宋体" w:hAnsi="宋体" w:cs="宋体" w:eastAsia="宋体"/>
                      <w:sz w:val="19"/>
                      <w:color w:val="0000FF"/>
                    </w:rPr>
                    <w:t>PCR仪</w:t>
                  </w:r>
                </w:p>
              </w:tc>
              <w:tc>
                <w:tcPr>
                  <w:tcW w:type="dxa" w:w="1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color w:val="0000FF"/>
                    </w:rPr>
                    <w:t>1.</w:t>
                  </w:r>
                  <w:r>
                    <w:rPr>
                      <w:rFonts w:ascii="宋体" w:hAnsi="宋体" w:cs="宋体" w:eastAsia="宋体"/>
                      <w:sz w:val="19"/>
                      <w:color w:val="0000FF"/>
                    </w:rPr>
                    <w:t>仪器性能</w:t>
                  </w:r>
                </w:p>
                <w:p>
                  <w:pPr>
                    <w:pStyle w:val="null3"/>
                  </w:pPr>
                  <w:r>
                    <w:rPr>
                      <w:rFonts w:ascii="宋体" w:hAnsi="宋体" w:cs="宋体" w:eastAsia="宋体"/>
                      <w:sz w:val="19"/>
                      <w:color w:val="0000FF"/>
                    </w:rPr>
                    <w:t>1.1</w:t>
                  </w:r>
                  <w:r>
                    <w:rPr>
                      <w:rFonts w:ascii="宋体" w:hAnsi="宋体" w:cs="宋体" w:eastAsia="宋体"/>
                      <w:sz w:val="19"/>
                      <w:color w:val="0000FF"/>
                    </w:rPr>
                    <w:t>装机指标：区分</w:t>
                  </w:r>
                  <w:r>
                    <w:rPr>
                      <w:rFonts w:ascii="宋体" w:hAnsi="宋体" w:cs="宋体" w:eastAsia="宋体"/>
                      <w:sz w:val="19"/>
                      <w:color w:val="0000FF"/>
                    </w:rPr>
                    <w:t>1000</w:t>
                  </w:r>
                  <w:r>
                    <w:rPr>
                      <w:rFonts w:ascii="宋体" w:hAnsi="宋体" w:cs="宋体" w:eastAsia="宋体"/>
                      <w:sz w:val="19"/>
                      <w:color w:val="0000FF"/>
                    </w:rPr>
                    <w:t>拷贝和</w:t>
                  </w:r>
                  <w:r>
                    <w:rPr>
                      <w:rFonts w:ascii="宋体" w:hAnsi="宋体" w:cs="宋体" w:eastAsia="宋体"/>
                      <w:sz w:val="19"/>
                      <w:color w:val="0000FF"/>
                    </w:rPr>
                    <w:t>2000</w:t>
                  </w:r>
                  <w:r>
                    <w:rPr>
                      <w:rFonts w:ascii="宋体" w:hAnsi="宋体" w:cs="宋体" w:eastAsia="宋体"/>
                      <w:sz w:val="19"/>
                      <w:color w:val="0000FF"/>
                    </w:rPr>
                    <w:t>拷贝模板浓度的差异。</w:t>
                  </w:r>
                </w:p>
                <w:p>
                  <w:pPr>
                    <w:pStyle w:val="null3"/>
                  </w:pPr>
                  <w:r>
                    <w:rPr>
                      <w:rFonts w:ascii="宋体" w:hAnsi="宋体" w:cs="宋体" w:eastAsia="宋体"/>
                      <w:sz w:val="19"/>
                      <w:color w:val="0000FF"/>
                    </w:rPr>
                    <w:t>1.2</w:t>
                  </w:r>
                  <w:r>
                    <w:rPr>
                      <w:rFonts w:ascii="宋体" w:hAnsi="宋体" w:cs="宋体" w:eastAsia="宋体"/>
                      <w:sz w:val="19"/>
                      <w:color w:val="0000FF"/>
                    </w:rPr>
                    <w:t>反应时间：</w:t>
                  </w:r>
                  <w:r>
                    <w:rPr>
                      <w:rFonts w:ascii="宋体" w:hAnsi="宋体" w:cs="宋体" w:eastAsia="宋体"/>
                      <w:sz w:val="19"/>
                      <w:color w:val="0000FF"/>
                    </w:rPr>
                    <w:t>40</w:t>
                  </w:r>
                  <w:r>
                    <w:rPr>
                      <w:rFonts w:ascii="宋体" w:hAnsi="宋体" w:cs="宋体" w:eastAsia="宋体"/>
                      <w:sz w:val="19"/>
                      <w:color w:val="0000FF"/>
                    </w:rPr>
                    <w:t>个循环反应：</w:t>
                  </w:r>
                  <w:r>
                    <w:rPr>
                      <w:rFonts w:ascii="宋体" w:hAnsi="宋体" w:cs="宋体" w:eastAsia="宋体"/>
                      <w:sz w:val="19"/>
                      <w:color w:val="0000FF"/>
                    </w:rPr>
                    <w:t>≤60</w:t>
                  </w:r>
                  <w:r>
                    <w:rPr>
                      <w:rFonts w:ascii="宋体" w:hAnsi="宋体" w:cs="宋体" w:eastAsia="宋体"/>
                      <w:sz w:val="19"/>
                      <w:color w:val="0000FF"/>
                    </w:rPr>
                    <w:t>分钟</w:t>
                  </w:r>
                  <w:r>
                    <w:rPr>
                      <w:rFonts w:ascii="宋体" w:hAnsi="宋体" w:cs="宋体" w:eastAsia="宋体"/>
                      <w:sz w:val="19"/>
                      <w:color w:val="0000FF"/>
                    </w:rPr>
                    <w:t xml:space="preserve"> </w:t>
                  </w:r>
                  <w:r>
                    <w:rPr>
                      <w:rFonts w:ascii="宋体" w:hAnsi="宋体" w:cs="宋体" w:eastAsia="宋体"/>
                      <w:sz w:val="19"/>
                      <w:color w:val="0000FF"/>
                    </w:rPr>
                    <w:t>(96</w:t>
                  </w:r>
                  <w:r>
                    <w:rPr>
                      <w:rFonts w:ascii="宋体" w:hAnsi="宋体" w:cs="宋体" w:eastAsia="宋体"/>
                      <w:sz w:val="19"/>
                      <w:color w:val="0000FF"/>
                    </w:rPr>
                    <w:t>孔标准检测</w:t>
                  </w:r>
                  <w:r>
                    <w:rPr>
                      <w:rFonts w:ascii="宋体" w:hAnsi="宋体" w:cs="宋体" w:eastAsia="宋体"/>
                      <w:sz w:val="19"/>
                      <w:color w:val="0000FF"/>
                    </w:rPr>
                    <w:t xml:space="preserve">) </w:t>
                  </w:r>
                  <w:r>
                    <w:rPr>
                      <w:rFonts w:ascii="宋体" w:hAnsi="宋体" w:cs="宋体" w:eastAsia="宋体"/>
                      <w:sz w:val="19"/>
                      <w:color w:val="0000FF"/>
                    </w:rPr>
                    <w:t>；</w:t>
                  </w:r>
                  <w:r>
                    <w:rPr>
                      <w:rFonts w:ascii="宋体" w:hAnsi="宋体" w:cs="宋体" w:eastAsia="宋体"/>
                      <w:sz w:val="19"/>
                      <w:color w:val="0000FF"/>
                    </w:rPr>
                    <w:t>≤40</w:t>
                  </w:r>
                  <w:r>
                    <w:rPr>
                      <w:rFonts w:ascii="宋体" w:hAnsi="宋体" w:cs="宋体" w:eastAsia="宋体"/>
                      <w:sz w:val="19"/>
                      <w:color w:val="0000FF"/>
                    </w:rPr>
                    <w:t>分钟</w:t>
                  </w:r>
                  <w:r>
                    <w:rPr>
                      <w:rFonts w:ascii="宋体" w:hAnsi="宋体" w:cs="宋体" w:eastAsia="宋体"/>
                      <w:sz w:val="19"/>
                      <w:color w:val="0000FF"/>
                    </w:rPr>
                    <w:t xml:space="preserve"> </w:t>
                  </w:r>
                  <w:r>
                    <w:rPr>
                      <w:rFonts w:ascii="宋体" w:hAnsi="宋体" w:cs="宋体" w:eastAsia="宋体"/>
                      <w:sz w:val="19"/>
                      <w:color w:val="0000FF"/>
                    </w:rPr>
                    <w:t>(384</w:t>
                  </w:r>
                  <w:r>
                    <w:rPr>
                      <w:rFonts w:ascii="宋体" w:hAnsi="宋体" w:cs="宋体" w:eastAsia="宋体"/>
                      <w:sz w:val="19"/>
                      <w:color w:val="0000FF"/>
                    </w:rPr>
                    <w:t>孔标准检测</w:t>
                  </w:r>
                  <w:r>
                    <w:rPr>
                      <w:rFonts w:ascii="宋体" w:hAnsi="宋体" w:cs="宋体" w:eastAsia="宋体"/>
                      <w:sz w:val="19"/>
                      <w:color w:val="0000FF"/>
                    </w:rPr>
                    <w:t>)</w:t>
                  </w:r>
                </w:p>
                <w:p>
                  <w:pPr>
                    <w:pStyle w:val="null3"/>
                  </w:pPr>
                  <w:r>
                    <w:rPr>
                      <w:rFonts w:ascii="宋体" w:hAnsi="宋体" w:cs="宋体" w:eastAsia="宋体"/>
                      <w:sz w:val="19"/>
                      <w:color w:val="0000FF"/>
                    </w:rPr>
                    <w:t xml:space="preserve">1.3 </w:t>
                  </w:r>
                  <w:r>
                    <w:rPr>
                      <w:rFonts w:ascii="宋体" w:hAnsi="宋体" w:cs="宋体" w:eastAsia="宋体"/>
                      <w:sz w:val="19"/>
                      <w:color w:val="0000FF"/>
                    </w:rPr>
                    <w:t>检测模式：</w:t>
                  </w:r>
                  <w:r>
                    <w:rPr>
                      <w:rFonts w:ascii="宋体" w:hAnsi="宋体" w:cs="宋体" w:eastAsia="宋体"/>
                      <w:sz w:val="19"/>
                      <w:color w:val="0000FF"/>
                    </w:rPr>
                    <w:t>HybProbe</w:t>
                  </w:r>
                  <w:r>
                    <w:rPr>
                      <w:rFonts w:ascii="宋体" w:hAnsi="宋体" w:cs="宋体" w:eastAsia="宋体"/>
                      <w:sz w:val="19"/>
                      <w:color w:val="0000FF"/>
                    </w:rPr>
                    <w:t>杂交探针、</w:t>
                  </w:r>
                  <w:r>
                    <w:rPr>
                      <w:rFonts w:ascii="宋体" w:hAnsi="宋体" w:cs="宋体" w:eastAsia="宋体"/>
                      <w:sz w:val="19"/>
                      <w:color w:val="0000FF"/>
                    </w:rPr>
                    <w:t>SimplProbe</w:t>
                  </w:r>
                  <w:r>
                    <w:rPr>
                      <w:rFonts w:ascii="宋体" w:hAnsi="宋体" w:cs="宋体" w:eastAsia="宋体"/>
                      <w:sz w:val="19"/>
                      <w:color w:val="0000FF"/>
                    </w:rPr>
                    <w:t>单探针、染料模式、水解探针、简单探针、分子信标、蝎型探针、高分辨率熔解曲线（</w:t>
                  </w:r>
                  <w:r>
                    <w:rPr>
                      <w:rFonts w:ascii="宋体" w:hAnsi="宋体" w:cs="宋体" w:eastAsia="宋体"/>
                      <w:sz w:val="19"/>
                      <w:color w:val="0000FF"/>
                    </w:rPr>
                    <w:t>HRM</w:t>
                  </w:r>
                  <w:r>
                    <w:rPr>
                      <w:rFonts w:ascii="宋体" w:hAnsi="宋体" w:cs="宋体" w:eastAsia="宋体"/>
                      <w:sz w:val="19"/>
                      <w:color w:val="0000FF"/>
                    </w:rPr>
                    <w:t>）等</w:t>
                  </w:r>
                </w:p>
                <w:p>
                  <w:pPr>
                    <w:pStyle w:val="null3"/>
                  </w:pPr>
                  <w:r>
                    <w:rPr>
                      <w:rFonts w:ascii="宋体" w:hAnsi="宋体" w:cs="宋体" w:eastAsia="宋体"/>
                      <w:sz w:val="19"/>
                      <w:color w:val="0000FF"/>
                    </w:rPr>
                    <w:t>1.4</w:t>
                  </w:r>
                  <w:r>
                    <w:rPr>
                      <w:rFonts w:ascii="宋体" w:hAnsi="宋体" w:cs="宋体" w:eastAsia="宋体"/>
                      <w:sz w:val="19"/>
                      <w:color w:val="0000FF"/>
                    </w:rPr>
                    <w:t>线性范围</w:t>
                  </w:r>
                  <w:r>
                    <w:rPr>
                      <w:rFonts w:ascii="宋体" w:hAnsi="宋体" w:cs="宋体" w:eastAsia="宋体"/>
                      <w:sz w:val="19"/>
                      <w:color w:val="061FBA"/>
                    </w:rPr>
                    <w:t>：</w:t>
                  </w:r>
                  <w:r>
                    <w:rPr>
                      <w:rFonts w:ascii="宋体" w:hAnsi="宋体" w:cs="宋体" w:eastAsia="宋体"/>
                      <w:sz w:val="21"/>
                      <w:color w:val="061FBA"/>
                    </w:rPr>
                    <w:t>1-10</w:t>
                  </w:r>
                  <w:r>
                    <w:rPr>
                      <w:rFonts w:ascii="宋体" w:hAnsi="宋体" w:cs="宋体" w:eastAsia="宋体"/>
                      <w:sz w:val="21"/>
                      <w:color w:val="061FBA"/>
                      <w:vertAlign w:val="superscript"/>
                    </w:rPr>
                    <w:t>10</w:t>
                  </w:r>
                  <w:r>
                    <w:rPr>
                      <w:rFonts w:ascii="宋体" w:hAnsi="宋体" w:cs="宋体" w:eastAsia="宋体"/>
                      <w:sz w:val="21"/>
                      <w:color w:val="061FBA"/>
                    </w:rPr>
                    <w:t>个拷贝</w:t>
                  </w:r>
                </w:p>
                <w:p>
                  <w:pPr>
                    <w:pStyle w:val="null3"/>
                  </w:pPr>
                  <w:r>
                    <w:rPr>
                      <w:rFonts w:ascii="宋体" w:hAnsi="宋体" w:cs="宋体" w:eastAsia="宋体"/>
                      <w:sz w:val="19"/>
                      <w:color w:val="0000FF"/>
                    </w:rPr>
                    <w:t xml:space="preserve">1.5 </w:t>
                  </w:r>
                  <w:r>
                    <w:rPr>
                      <w:rFonts w:ascii="宋体" w:hAnsi="宋体" w:cs="宋体" w:eastAsia="宋体"/>
                      <w:sz w:val="19"/>
                      <w:color w:val="0000FF"/>
                    </w:rPr>
                    <w:t>检测灵敏度：可检测单拷贝基因</w:t>
                  </w:r>
                </w:p>
                <w:p>
                  <w:pPr>
                    <w:pStyle w:val="null3"/>
                  </w:pPr>
                  <w:r>
                    <w:rPr>
                      <w:rFonts w:ascii="宋体" w:hAnsi="宋体" w:cs="宋体" w:eastAsia="宋体"/>
                      <w:sz w:val="19"/>
                      <w:color w:val="0000FF"/>
                    </w:rPr>
                    <w:t xml:space="preserve">1.6 </w:t>
                  </w:r>
                  <w:r>
                    <w:rPr>
                      <w:rFonts w:ascii="宋体" w:hAnsi="宋体" w:cs="宋体" w:eastAsia="宋体"/>
                      <w:sz w:val="19"/>
                      <w:color w:val="0000FF"/>
                    </w:rPr>
                    <w:t>模块规格：支持</w:t>
                  </w:r>
                  <w:r>
                    <w:rPr>
                      <w:rFonts w:ascii="宋体" w:hAnsi="宋体" w:cs="宋体" w:eastAsia="宋体"/>
                      <w:sz w:val="19"/>
                      <w:color w:val="0000FF"/>
                    </w:rPr>
                    <w:t>96</w:t>
                  </w:r>
                  <w:r>
                    <w:rPr>
                      <w:rFonts w:ascii="宋体" w:hAnsi="宋体" w:cs="宋体" w:eastAsia="宋体"/>
                      <w:sz w:val="19"/>
                      <w:color w:val="0000FF"/>
                    </w:rPr>
                    <w:t>孔模块与</w:t>
                  </w:r>
                  <w:r>
                    <w:rPr>
                      <w:rFonts w:ascii="宋体" w:hAnsi="宋体" w:cs="宋体" w:eastAsia="宋体"/>
                      <w:sz w:val="19"/>
                      <w:color w:val="0000FF"/>
                    </w:rPr>
                    <w:t>384</w:t>
                  </w:r>
                  <w:r>
                    <w:rPr>
                      <w:rFonts w:ascii="宋体" w:hAnsi="宋体" w:cs="宋体" w:eastAsia="宋体"/>
                      <w:sz w:val="19"/>
                      <w:color w:val="0000FF"/>
                    </w:rPr>
                    <w:t>孔模块</w:t>
                  </w:r>
                  <w:r>
                    <w:rPr>
                      <w:rFonts w:ascii="宋体" w:hAnsi="宋体" w:cs="宋体" w:eastAsia="宋体"/>
                      <w:sz w:val="19"/>
                      <w:color w:val="0000FF"/>
                    </w:rPr>
                    <w:t>,96孔模块和384孔模块的检测通道均是6通道</w:t>
                  </w:r>
                </w:p>
                <w:p>
                  <w:pPr>
                    <w:pStyle w:val="null3"/>
                  </w:pPr>
                  <w:r>
                    <w:rPr>
                      <w:rFonts w:ascii="宋体" w:hAnsi="宋体" w:cs="宋体" w:eastAsia="宋体"/>
                      <w:sz w:val="19"/>
                      <w:color w:val="0000FF"/>
                    </w:rPr>
                    <w:t>1.7</w:t>
                  </w:r>
                  <w:r>
                    <w:rPr>
                      <w:rFonts w:ascii="宋体" w:hAnsi="宋体" w:cs="宋体" w:eastAsia="宋体"/>
                      <w:sz w:val="19"/>
                      <w:color w:val="0000FF"/>
                    </w:rPr>
                    <w:t>重复性：样品检测</w:t>
                  </w:r>
                  <w:r>
                    <w:rPr>
                      <w:rFonts w:ascii="宋体" w:hAnsi="宋体" w:cs="宋体" w:eastAsia="宋体"/>
                      <w:sz w:val="19"/>
                      <w:color w:val="0000FF"/>
                    </w:rPr>
                    <w:t>CV≤0.15% (50nmol/l</w:t>
                  </w:r>
                  <w:r>
                    <w:rPr>
                      <w:rFonts w:ascii="宋体" w:hAnsi="宋体" w:cs="宋体" w:eastAsia="宋体"/>
                      <w:sz w:val="19"/>
                      <w:color w:val="0000FF"/>
                    </w:rPr>
                    <w:t>荧光浓度</w:t>
                  </w:r>
                  <w:r>
                    <w:rPr>
                      <w:rFonts w:ascii="宋体" w:hAnsi="宋体" w:cs="宋体" w:eastAsia="宋体"/>
                      <w:sz w:val="19"/>
                      <w:color w:val="0000FF"/>
                    </w:rPr>
                    <w:t>)</w:t>
                  </w:r>
                </w:p>
                <w:p>
                  <w:pPr>
                    <w:pStyle w:val="null3"/>
                  </w:pPr>
                  <w:r>
                    <w:rPr>
                      <w:rFonts w:ascii="宋体" w:hAnsi="宋体" w:cs="宋体" w:eastAsia="宋体"/>
                      <w:sz w:val="19"/>
                      <w:color w:val="0000FF"/>
                    </w:rPr>
                    <w:t xml:space="preserve">1.8 </w:t>
                  </w:r>
                  <w:r>
                    <w:rPr>
                      <w:rFonts w:ascii="宋体" w:hAnsi="宋体" w:cs="宋体" w:eastAsia="宋体"/>
                      <w:sz w:val="19"/>
                      <w:color w:val="0000FF"/>
                    </w:rPr>
                    <w:t>精密度：</w:t>
                  </w:r>
                  <w:r>
                    <w:rPr>
                      <w:rFonts w:ascii="宋体" w:hAnsi="宋体" w:cs="宋体" w:eastAsia="宋体"/>
                      <w:sz w:val="19"/>
                      <w:color w:val="0000FF"/>
                    </w:rPr>
                    <w:t>≤1.5</w:t>
                  </w:r>
                  <w:r>
                    <w:rPr>
                      <w:rFonts w:ascii="宋体" w:hAnsi="宋体" w:cs="宋体" w:eastAsia="宋体"/>
                      <w:sz w:val="19"/>
                      <w:color w:val="0000FF"/>
                    </w:rPr>
                    <w:t>倍拷贝数差异，置信度</w:t>
                  </w:r>
                  <w:r>
                    <w:rPr>
                      <w:rFonts w:ascii="宋体" w:hAnsi="宋体" w:cs="宋体" w:eastAsia="宋体"/>
                      <w:sz w:val="19"/>
                      <w:color w:val="0000FF"/>
                    </w:rPr>
                    <w:t>≥99.8%</w:t>
                  </w:r>
                </w:p>
                <w:p>
                  <w:pPr>
                    <w:pStyle w:val="null3"/>
                  </w:pPr>
                  <w:r>
                    <w:rPr>
                      <w:rFonts w:ascii="宋体" w:hAnsi="宋体" w:cs="宋体" w:eastAsia="宋体"/>
                      <w:sz w:val="19"/>
                      <w:color w:val="0000FF"/>
                    </w:rPr>
                    <w:t>1.9</w:t>
                  </w:r>
                  <w:r>
                    <w:rPr>
                      <w:rFonts w:ascii="宋体" w:hAnsi="宋体" w:cs="宋体" w:eastAsia="宋体"/>
                      <w:sz w:val="19"/>
                      <w:color w:val="0000FF"/>
                    </w:rPr>
                    <w:t>荧光染料校正：无需</w:t>
                  </w:r>
                  <w:r>
                    <w:rPr>
                      <w:rFonts w:ascii="宋体" w:hAnsi="宋体" w:cs="宋体" w:eastAsia="宋体"/>
                      <w:sz w:val="19"/>
                      <w:color w:val="0000FF"/>
                    </w:rPr>
                    <w:t>ROX</w:t>
                  </w:r>
                  <w:r>
                    <w:rPr>
                      <w:rFonts w:ascii="宋体" w:hAnsi="宋体" w:cs="宋体" w:eastAsia="宋体"/>
                      <w:sz w:val="19"/>
                      <w:color w:val="0000FF"/>
                    </w:rPr>
                    <w:t>等被动染料校正</w:t>
                  </w:r>
                </w:p>
                <w:p>
                  <w:pPr>
                    <w:pStyle w:val="null3"/>
                  </w:pPr>
                  <w:r>
                    <w:rPr>
                      <w:rFonts w:ascii="宋体" w:hAnsi="宋体" w:cs="宋体" w:eastAsia="宋体"/>
                      <w:sz w:val="19"/>
                      <w:color w:val="0000FF"/>
                    </w:rPr>
                    <w:t>2</w:t>
                  </w:r>
                  <w:r>
                    <w:rPr>
                      <w:rFonts w:ascii="宋体" w:hAnsi="宋体" w:cs="宋体" w:eastAsia="宋体"/>
                      <w:sz w:val="19"/>
                      <w:color w:val="0000FF"/>
                    </w:rPr>
                    <w:t>.</w:t>
                  </w:r>
                  <w:r>
                    <w:rPr>
                      <w:rFonts w:ascii="宋体" w:hAnsi="宋体" w:cs="宋体" w:eastAsia="宋体"/>
                      <w:sz w:val="19"/>
                      <w:color w:val="0000FF"/>
                    </w:rPr>
                    <w:t>硬件配置</w:t>
                  </w:r>
                </w:p>
                <w:p>
                  <w:pPr>
                    <w:pStyle w:val="null3"/>
                  </w:pPr>
                  <w:r>
                    <w:rPr>
                      <w:rFonts w:ascii="宋体" w:hAnsi="宋体" w:cs="宋体" w:eastAsia="宋体"/>
                      <w:sz w:val="19"/>
                      <w:color w:val="0000FF"/>
                    </w:rPr>
                    <w:t>2.1</w:t>
                  </w:r>
                  <w:r>
                    <w:rPr>
                      <w:rFonts w:ascii="宋体" w:hAnsi="宋体" w:cs="宋体" w:eastAsia="宋体"/>
                      <w:sz w:val="19"/>
                      <w:color w:val="0000FF"/>
                    </w:rPr>
                    <w:t>温控模块</w:t>
                  </w:r>
                </w:p>
                <w:p>
                  <w:pPr>
                    <w:pStyle w:val="null3"/>
                  </w:pPr>
                  <w:r>
                    <w:rPr>
                      <w:rFonts w:ascii="宋体" w:hAnsi="宋体" w:cs="宋体" w:eastAsia="宋体"/>
                      <w:sz w:val="19"/>
                      <w:color w:val="0000FF"/>
                    </w:rPr>
                    <w:t>2.1.1</w:t>
                  </w:r>
                  <w:r>
                    <w:rPr>
                      <w:rFonts w:ascii="宋体" w:hAnsi="宋体" w:cs="宋体" w:eastAsia="宋体"/>
                      <w:sz w:val="19"/>
                      <w:color w:val="0000FF"/>
                    </w:rPr>
                    <w:t>温控模块：采用银质半导体温控模块</w:t>
                  </w:r>
                </w:p>
                <w:p>
                  <w:pPr>
                    <w:pStyle w:val="null3"/>
                  </w:pPr>
                  <w:r>
                    <w:rPr>
                      <w:rFonts w:ascii="宋体" w:hAnsi="宋体" w:cs="宋体" w:eastAsia="宋体"/>
                      <w:sz w:val="19"/>
                      <w:color w:val="0000FF"/>
                    </w:rPr>
                    <w:t>2.1.2</w:t>
                  </w:r>
                  <w:r>
                    <w:rPr>
                      <w:rFonts w:ascii="宋体" w:hAnsi="宋体" w:cs="宋体" w:eastAsia="宋体"/>
                      <w:sz w:val="19"/>
                      <w:color w:val="0000FF"/>
                    </w:rPr>
                    <w:t>模块设计：所有样本对应的温控模块一体化成型，不由独立的多个小型模块组合而成</w:t>
                  </w:r>
                </w:p>
                <w:p>
                  <w:pPr>
                    <w:pStyle w:val="null3"/>
                  </w:pPr>
                  <w:r>
                    <w:rPr>
                      <w:rFonts w:ascii="宋体" w:hAnsi="宋体" w:cs="宋体" w:eastAsia="宋体"/>
                      <w:sz w:val="19"/>
                      <w:color w:val="0000FF"/>
                    </w:rPr>
                    <w:t xml:space="preserve">2.1.3 </w:t>
                  </w:r>
                  <w:r>
                    <w:rPr>
                      <w:rFonts w:ascii="宋体" w:hAnsi="宋体" w:cs="宋体" w:eastAsia="宋体"/>
                      <w:sz w:val="19"/>
                      <w:color w:val="0000FF"/>
                    </w:rPr>
                    <w:t>模块平均温控速率：</w:t>
                  </w:r>
                  <w:r>
                    <w:rPr>
                      <w:rFonts w:ascii="宋体" w:hAnsi="宋体" w:cs="宋体" w:eastAsia="宋体"/>
                      <w:sz w:val="19"/>
                      <w:color w:val="0000FF"/>
                    </w:rPr>
                    <w:t>≥</w:t>
                  </w:r>
                  <w:r>
                    <w:rPr>
                      <w:rFonts w:ascii="宋体" w:hAnsi="宋体" w:cs="宋体" w:eastAsia="宋体"/>
                      <w:sz w:val="19"/>
                      <w:color w:val="0000FF"/>
                    </w:rPr>
                    <w:t>6.</w:t>
                  </w:r>
                  <w:r>
                    <w:rPr>
                      <w:rFonts w:ascii="宋体" w:hAnsi="宋体" w:cs="宋体" w:eastAsia="宋体"/>
                      <w:sz w:val="19"/>
                      <w:color w:val="0000FF"/>
                    </w:rPr>
                    <w:t>8</w:t>
                  </w:r>
                  <w:r>
                    <w:rPr>
                      <w:rFonts w:ascii="宋体" w:hAnsi="宋体" w:cs="宋体" w:eastAsia="宋体"/>
                      <w:sz w:val="19"/>
                      <w:color w:val="0000FF"/>
                    </w:rPr>
                    <w:t>℃/s</w:t>
                  </w:r>
                </w:p>
                <w:p>
                  <w:pPr>
                    <w:pStyle w:val="null3"/>
                  </w:pPr>
                  <w:r>
                    <w:rPr>
                      <w:rFonts w:ascii="宋体" w:hAnsi="宋体" w:cs="宋体" w:eastAsia="宋体"/>
                      <w:sz w:val="19"/>
                      <w:color w:val="0000FF"/>
                    </w:rPr>
                    <w:t>2.1.4</w:t>
                  </w:r>
                  <w:r>
                    <w:rPr>
                      <w:rFonts w:ascii="宋体" w:hAnsi="宋体" w:cs="宋体" w:eastAsia="宋体"/>
                      <w:sz w:val="19"/>
                      <w:color w:val="0000FF"/>
                    </w:rPr>
                    <w:t>样本平均温控速率：</w:t>
                  </w:r>
                  <w:r>
                    <w:rPr>
                      <w:rFonts w:ascii="宋体" w:hAnsi="宋体" w:cs="宋体" w:eastAsia="宋体"/>
                      <w:sz w:val="19"/>
                      <w:color w:val="0000FF"/>
                    </w:rPr>
                    <w:t>≥</w:t>
                  </w:r>
                  <w:r>
                    <w:rPr>
                      <w:rFonts w:ascii="宋体" w:hAnsi="宋体" w:cs="宋体" w:eastAsia="宋体"/>
                      <w:sz w:val="19"/>
                      <w:color w:val="0000FF"/>
                    </w:rPr>
                    <w:t>4.8 ℃/s</w:t>
                  </w:r>
                </w:p>
                <w:p>
                  <w:pPr>
                    <w:pStyle w:val="null3"/>
                  </w:pPr>
                  <w:r>
                    <w:rPr>
                      <w:rFonts w:ascii="宋体" w:hAnsi="宋体" w:cs="宋体" w:eastAsia="宋体"/>
                      <w:sz w:val="19"/>
                      <w:color w:val="0000FF"/>
                    </w:rPr>
                    <w:t>2.1.5</w:t>
                  </w:r>
                  <w:r>
                    <w:rPr>
                      <w:rFonts w:ascii="宋体" w:hAnsi="宋体" w:cs="宋体" w:eastAsia="宋体"/>
                      <w:sz w:val="19"/>
                      <w:color w:val="0000FF"/>
                    </w:rPr>
                    <w:t>温度准确性：</w:t>
                  </w:r>
                  <w:r>
                    <w:rPr>
                      <w:rFonts w:ascii="宋体" w:hAnsi="宋体" w:cs="宋体" w:eastAsia="宋体"/>
                      <w:sz w:val="19"/>
                      <w:color w:val="0000FF"/>
                    </w:rPr>
                    <w:t>±</w:t>
                  </w:r>
                  <w:r>
                    <w:rPr>
                      <w:rFonts w:ascii="宋体" w:hAnsi="宋体" w:cs="宋体" w:eastAsia="宋体"/>
                      <w:sz w:val="19"/>
                      <w:color w:val="0000FF"/>
                    </w:rPr>
                    <w:t>0.1 ℃</w:t>
                  </w:r>
                  <w:r>
                    <w:rPr>
                      <w:rFonts w:ascii="宋体" w:hAnsi="宋体" w:cs="宋体" w:eastAsia="宋体"/>
                      <w:sz w:val="19"/>
                      <w:color w:val="0000FF"/>
                    </w:rPr>
                    <w:t>（</w:t>
                  </w:r>
                  <w:r>
                    <w:rPr>
                      <w:rFonts w:ascii="宋体" w:hAnsi="宋体" w:cs="宋体" w:eastAsia="宋体"/>
                      <w:sz w:val="19"/>
                      <w:color w:val="0000FF"/>
                    </w:rPr>
                    <w:t>37-99 ℃</w:t>
                  </w:r>
                  <w:r>
                    <w:rPr>
                      <w:rFonts w:ascii="宋体" w:hAnsi="宋体" w:cs="宋体" w:eastAsia="宋体"/>
                      <w:sz w:val="19"/>
                      <w:color w:val="0000FF"/>
                    </w:rPr>
                    <w:t>）</w:t>
                  </w:r>
                </w:p>
                <w:p>
                  <w:pPr>
                    <w:pStyle w:val="null3"/>
                  </w:pPr>
                  <w:r>
                    <w:rPr>
                      <w:rFonts w:ascii="宋体" w:hAnsi="宋体" w:cs="宋体" w:eastAsia="宋体"/>
                      <w:sz w:val="19"/>
                      <w:color w:val="0000FF"/>
                    </w:rPr>
                    <w:t xml:space="preserve">2.1.6 </w:t>
                  </w:r>
                  <w:r>
                    <w:rPr>
                      <w:rFonts w:ascii="宋体" w:hAnsi="宋体" w:cs="宋体" w:eastAsia="宋体"/>
                      <w:sz w:val="19"/>
                      <w:color w:val="0000FF"/>
                    </w:rPr>
                    <w:t>温度均一性：</w:t>
                  </w:r>
                  <w:r>
                    <w:rPr>
                      <w:rFonts w:ascii="宋体" w:hAnsi="宋体" w:cs="宋体" w:eastAsia="宋体"/>
                      <w:sz w:val="19"/>
                      <w:color w:val="0000FF"/>
                    </w:rPr>
                    <w:t>≤</w:t>
                  </w:r>
                  <w:r>
                    <w:rPr>
                      <w:rFonts w:ascii="宋体" w:hAnsi="宋体" w:cs="宋体" w:eastAsia="宋体"/>
                      <w:sz w:val="19"/>
                      <w:color w:val="0000FF"/>
                    </w:rPr>
                    <w:t>0.1 ℃</w:t>
                  </w:r>
                  <w:r>
                    <w:rPr>
                      <w:rFonts w:ascii="宋体" w:hAnsi="宋体" w:cs="宋体" w:eastAsia="宋体"/>
                      <w:sz w:val="19"/>
                      <w:color w:val="0000FF"/>
                    </w:rPr>
                    <w:t>（</w:t>
                  </w:r>
                  <w:r>
                    <w:rPr>
                      <w:rFonts w:ascii="宋体" w:hAnsi="宋体" w:cs="宋体" w:eastAsia="宋体"/>
                      <w:sz w:val="19"/>
                      <w:color w:val="0000FF"/>
                    </w:rPr>
                    <w:t>37-99 ℃</w:t>
                  </w:r>
                  <w:r>
                    <w:rPr>
                      <w:rFonts w:ascii="宋体" w:hAnsi="宋体" w:cs="宋体" w:eastAsia="宋体"/>
                      <w:sz w:val="19"/>
                      <w:color w:val="0000FF"/>
                    </w:rPr>
                    <w:t>）</w:t>
                  </w:r>
                </w:p>
                <w:p>
                  <w:pPr>
                    <w:pStyle w:val="null3"/>
                  </w:pPr>
                  <w:r>
                    <w:rPr>
                      <w:rFonts w:ascii="宋体" w:hAnsi="宋体" w:cs="宋体" w:eastAsia="宋体"/>
                      <w:sz w:val="19"/>
                      <w:color w:val="0000FF"/>
                    </w:rPr>
                    <w:t>2.1.7</w:t>
                  </w:r>
                  <w:r>
                    <w:rPr>
                      <w:rFonts w:ascii="宋体" w:hAnsi="宋体" w:cs="宋体" w:eastAsia="宋体"/>
                      <w:sz w:val="19"/>
                      <w:color w:val="0000FF"/>
                    </w:rPr>
                    <w:t>高分辨率熔解曲线</w:t>
                  </w:r>
                  <w:r>
                    <w:rPr>
                      <w:rFonts w:ascii="宋体" w:hAnsi="宋体" w:cs="宋体" w:eastAsia="宋体"/>
                      <w:sz w:val="19"/>
                      <w:color w:val="0000FF"/>
                    </w:rPr>
                    <w:t>HRM</w:t>
                  </w:r>
                  <w:r>
                    <w:rPr>
                      <w:rFonts w:ascii="宋体" w:hAnsi="宋体" w:cs="宋体" w:eastAsia="宋体"/>
                      <w:sz w:val="19"/>
                      <w:color w:val="0000FF"/>
                    </w:rPr>
                    <w:t>：支持</w:t>
                  </w:r>
                  <w:r>
                    <w:rPr>
                      <w:rFonts w:ascii="宋体" w:hAnsi="宋体" w:cs="宋体" w:eastAsia="宋体"/>
                      <w:sz w:val="19"/>
                      <w:color w:val="0000FF"/>
                    </w:rPr>
                    <w:t>2.1.8</w:t>
                  </w:r>
                  <w:r>
                    <w:rPr>
                      <w:rFonts w:ascii="宋体" w:hAnsi="宋体" w:cs="宋体" w:eastAsia="宋体"/>
                      <w:sz w:val="19"/>
                      <w:color w:val="0000FF"/>
                    </w:rPr>
                    <w:t>熔解曲线温度分辨率：</w:t>
                  </w:r>
                  <w:r>
                    <w:rPr>
                      <w:rFonts w:ascii="宋体" w:hAnsi="宋体" w:cs="宋体" w:eastAsia="宋体"/>
                      <w:sz w:val="19"/>
                      <w:color w:val="0000FF"/>
                    </w:rPr>
                    <w:t>0.01 ℃</w:t>
                  </w:r>
                </w:p>
                <w:p>
                  <w:pPr>
                    <w:pStyle w:val="null3"/>
                  </w:pPr>
                  <w:r>
                    <w:rPr>
                      <w:rFonts w:ascii="宋体" w:hAnsi="宋体" w:cs="宋体" w:eastAsia="宋体"/>
                      <w:sz w:val="19"/>
                      <w:color w:val="0000FF"/>
                    </w:rPr>
                    <w:t>2.1.9</w:t>
                  </w:r>
                  <w:r>
                    <w:rPr>
                      <w:rFonts w:ascii="宋体" w:hAnsi="宋体" w:cs="宋体" w:eastAsia="宋体"/>
                      <w:sz w:val="19"/>
                      <w:color w:val="0000FF"/>
                    </w:rPr>
                    <w:t>熔解曲线数据采集频率：每摄氏度采集</w:t>
                  </w:r>
                  <w:r>
                    <w:rPr>
                      <w:rFonts w:ascii="宋体" w:hAnsi="宋体" w:cs="宋体" w:eastAsia="宋体"/>
                      <w:sz w:val="19"/>
                      <w:color w:val="0000FF"/>
                    </w:rPr>
                    <w:t>≥</w:t>
                  </w:r>
                  <w:r>
                    <w:rPr>
                      <w:rFonts w:ascii="宋体" w:hAnsi="宋体" w:cs="宋体" w:eastAsia="宋体"/>
                      <w:sz w:val="19"/>
                      <w:color w:val="0000FF"/>
                    </w:rPr>
                    <w:t>100</w:t>
                  </w:r>
                  <w:r>
                    <w:rPr>
                      <w:rFonts w:ascii="宋体" w:hAnsi="宋体" w:cs="宋体" w:eastAsia="宋体"/>
                      <w:sz w:val="19"/>
                      <w:color w:val="0000FF"/>
                    </w:rPr>
                    <w:t>个数据</w:t>
                  </w:r>
                </w:p>
                <w:p>
                  <w:pPr>
                    <w:pStyle w:val="null3"/>
                  </w:pPr>
                  <w:r>
                    <w:rPr>
                      <w:rFonts w:ascii="宋体" w:hAnsi="宋体" w:cs="宋体" w:eastAsia="宋体"/>
                      <w:sz w:val="19"/>
                      <w:color w:val="0000FF"/>
                    </w:rPr>
                    <w:t>2.1.10</w:t>
                  </w:r>
                  <w:r>
                    <w:rPr>
                      <w:rFonts w:ascii="宋体" w:hAnsi="宋体" w:cs="宋体" w:eastAsia="宋体"/>
                      <w:sz w:val="19"/>
                      <w:color w:val="0000FF"/>
                    </w:rPr>
                    <w:t>高分辨率熔解曲线反应时间：</w:t>
                  </w:r>
                  <w:r>
                    <w:rPr>
                      <w:rFonts w:ascii="宋体" w:hAnsi="宋体" w:cs="宋体" w:eastAsia="宋体"/>
                      <w:sz w:val="19"/>
                      <w:color w:val="0000FF"/>
                    </w:rPr>
                    <w:t>≤10</w:t>
                  </w:r>
                  <w:r>
                    <w:rPr>
                      <w:rFonts w:ascii="宋体" w:hAnsi="宋体" w:cs="宋体" w:eastAsia="宋体"/>
                      <w:sz w:val="19"/>
                      <w:color w:val="0000FF"/>
                    </w:rPr>
                    <w:t>分钟</w:t>
                  </w:r>
                </w:p>
                <w:p>
                  <w:pPr>
                    <w:pStyle w:val="null3"/>
                  </w:pPr>
                  <w:r>
                    <w:rPr>
                      <w:rFonts w:ascii="宋体" w:hAnsi="宋体" w:cs="宋体" w:eastAsia="宋体"/>
                      <w:sz w:val="19"/>
                      <w:color w:val="0000FF"/>
                    </w:rPr>
                    <w:t>2.1.11</w:t>
                  </w:r>
                  <w:r>
                    <w:rPr>
                      <w:rFonts w:ascii="宋体" w:hAnsi="宋体" w:cs="宋体" w:eastAsia="宋体"/>
                      <w:sz w:val="19"/>
                      <w:color w:val="0000FF"/>
                    </w:rPr>
                    <w:t>熔解曲线反应时间：</w:t>
                  </w:r>
                  <w:r>
                    <w:rPr>
                      <w:rFonts w:ascii="宋体" w:hAnsi="宋体" w:cs="宋体" w:eastAsia="宋体"/>
                      <w:sz w:val="19"/>
                      <w:color w:val="0000FF"/>
                    </w:rPr>
                    <w:t>≤5分钟</w:t>
                  </w:r>
                </w:p>
                <w:p>
                  <w:pPr>
                    <w:pStyle w:val="null3"/>
                  </w:pPr>
                  <w:r>
                    <w:rPr>
                      <w:rFonts w:ascii="宋体" w:hAnsi="宋体" w:cs="宋体" w:eastAsia="宋体"/>
                      <w:sz w:val="19"/>
                      <w:color w:val="0000FF"/>
                    </w:rPr>
                    <w:t xml:space="preserve">2.1.12 </w:t>
                  </w:r>
                  <w:r>
                    <w:rPr>
                      <w:rFonts w:ascii="宋体" w:hAnsi="宋体" w:cs="宋体" w:eastAsia="宋体"/>
                      <w:sz w:val="19"/>
                      <w:color w:val="0000FF"/>
                    </w:rPr>
                    <w:t>样本容量：</w:t>
                  </w:r>
                  <w:r>
                    <w:rPr>
                      <w:rFonts w:ascii="宋体" w:hAnsi="宋体" w:cs="宋体" w:eastAsia="宋体"/>
                      <w:sz w:val="19"/>
                      <w:color w:val="0000FF"/>
                    </w:rPr>
                    <w:t>96</w:t>
                  </w:r>
                  <w:r>
                    <w:rPr>
                      <w:rFonts w:ascii="宋体" w:hAnsi="宋体" w:cs="宋体" w:eastAsia="宋体"/>
                      <w:sz w:val="19"/>
                      <w:color w:val="0000FF"/>
                    </w:rPr>
                    <w:t>孔板为</w:t>
                  </w:r>
                  <w:r>
                    <w:rPr>
                      <w:rFonts w:ascii="宋体" w:hAnsi="宋体" w:cs="宋体" w:eastAsia="宋体"/>
                      <w:sz w:val="19"/>
                      <w:color w:val="0000FF"/>
                    </w:rPr>
                    <w:t>10</w:t>
                  </w:r>
                  <w:r>
                    <w:rPr>
                      <w:rFonts w:ascii="宋体" w:hAnsi="宋体" w:cs="宋体" w:eastAsia="宋体"/>
                      <w:sz w:val="19"/>
                      <w:color w:val="0000FF"/>
                    </w:rPr>
                    <w:t>－</w:t>
                  </w:r>
                  <w:r>
                    <w:rPr>
                      <w:rFonts w:ascii="宋体" w:hAnsi="宋体" w:cs="宋体" w:eastAsia="宋体"/>
                      <w:sz w:val="19"/>
                      <w:color w:val="0000FF"/>
                    </w:rPr>
                    <w:t>100ul</w:t>
                  </w:r>
                  <w:r>
                    <w:rPr>
                      <w:rFonts w:ascii="宋体" w:hAnsi="宋体" w:cs="宋体" w:eastAsia="宋体"/>
                      <w:sz w:val="19"/>
                      <w:color w:val="0000FF"/>
                    </w:rPr>
                    <w:t>，</w:t>
                  </w:r>
                  <w:r>
                    <w:rPr>
                      <w:rFonts w:ascii="宋体" w:hAnsi="宋体" w:cs="宋体" w:eastAsia="宋体"/>
                      <w:sz w:val="19"/>
                      <w:color w:val="0000FF"/>
                    </w:rPr>
                    <w:t>384</w:t>
                  </w:r>
                  <w:r>
                    <w:rPr>
                      <w:rFonts w:ascii="宋体" w:hAnsi="宋体" w:cs="宋体" w:eastAsia="宋体"/>
                      <w:sz w:val="19"/>
                      <w:color w:val="0000FF"/>
                    </w:rPr>
                    <w:t>孔板为</w:t>
                  </w:r>
                  <w:r>
                    <w:rPr>
                      <w:rFonts w:ascii="宋体" w:hAnsi="宋体" w:cs="宋体" w:eastAsia="宋体"/>
                      <w:sz w:val="19"/>
                      <w:color w:val="0000FF"/>
                    </w:rPr>
                    <w:t>3</w:t>
                  </w:r>
                  <w:r>
                    <w:rPr>
                      <w:rFonts w:ascii="宋体" w:hAnsi="宋体" w:cs="宋体" w:eastAsia="宋体"/>
                      <w:sz w:val="19"/>
                      <w:color w:val="0000FF"/>
                    </w:rPr>
                    <w:t>－</w:t>
                  </w:r>
                  <w:r>
                    <w:rPr>
                      <w:rFonts w:ascii="宋体" w:hAnsi="宋体" w:cs="宋体" w:eastAsia="宋体"/>
                      <w:sz w:val="19"/>
                      <w:color w:val="0000FF"/>
                    </w:rPr>
                    <w:t>20ul</w:t>
                  </w:r>
                </w:p>
                <w:p>
                  <w:pPr>
                    <w:pStyle w:val="null3"/>
                  </w:pPr>
                  <w:r>
                    <w:rPr>
                      <w:rFonts w:ascii="宋体" w:hAnsi="宋体" w:cs="宋体" w:eastAsia="宋体"/>
                      <w:sz w:val="19"/>
                      <w:color w:val="0000FF"/>
                    </w:rPr>
                    <w:t>2.2</w:t>
                  </w:r>
                  <w:r>
                    <w:rPr>
                      <w:rFonts w:ascii="宋体" w:hAnsi="宋体" w:cs="宋体" w:eastAsia="宋体"/>
                      <w:sz w:val="19"/>
                      <w:color w:val="0000FF"/>
                    </w:rPr>
                    <w:t>光学系统</w:t>
                  </w:r>
                </w:p>
                <w:p>
                  <w:pPr>
                    <w:pStyle w:val="null3"/>
                  </w:pPr>
                  <w:r>
                    <w:rPr>
                      <w:rFonts w:ascii="宋体" w:hAnsi="宋体" w:cs="宋体" w:eastAsia="宋体"/>
                      <w:sz w:val="19"/>
                      <w:color w:val="0000FF"/>
                    </w:rPr>
                    <w:t>2.2.1</w:t>
                  </w:r>
                  <w:r>
                    <w:rPr>
                      <w:rFonts w:ascii="宋体" w:hAnsi="宋体" w:cs="宋体" w:eastAsia="宋体"/>
                      <w:sz w:val="19"/>
                      <w:color w:val="0000FF"/>
                    </w:rPr>
                    <w:t>光源：白色固态光源，光源寿命：</w:t>
                  </w:r>
                  <w:r>
                    <w:rPr>
                      <w:rFonts w:ascii="宋体" w:hAnsi="宋体" w:cs="宋体" w:eastAsia="宋体"/>
                      <w:sz w:val="19"/>
                      <w:color w:val="0000FF"/>
                    </w:rPr>
                    <w:t>&gt; 10000</w:t>
                  </w:r>
                  <w:r>
                    <w:rPr>
                      <w:rFonts w:ascii="宋体" w:hAnsi="宋体" w:cs="宋体" w:eastAsia="宋体"/>
                      <w:sz w:val="19"/>
                      <w:color w:val="0000FF"/>
                    </w:rPr>
                    <w:t>小时</w:t>
                  </w:r>
                </w:p>
                <w:p>
                  <w:pPr>
                    <w:pStyle w:val="null3"/>
                  </w:pPr>
                  <w:r>
                    <w:rPr>
                      <w:rFonts w:ascii="宋体" w:hAnsi="宋体" w:cs="宋体" w:eastAsia="宋体"/>
                      <w:sz w:val="19"/>
                      <w:color w:val="0000FF"/>
                    </w:rPr>
                    <w:t>2.2.2</w:t>
                  </w:r>
                  <w:r>
                    <w:rPr>
                      <w:rFonts w:ascii="宋体" w:hAnsi="宋体" w:cs="宋体" w:eastAsia="宋体"/>
                      <w:sz w:val="19"/>
                      <w:color w:val="0000FF"/>
                    </w:rPr>
                    <w:t>激发波长：</w:t>
                  </w:r>
                  <w:r>
                    <w:rPr>
                      <w:rFonts w:ascii="宋体" w:hAnsi="宋体" w:cs="宋体" w:eastAsia="宋体"/>
                      <w:sz w:val="19"/>
                      <w:color w:val="0000FF"/>
                    </w:rPr>
                    <w:t>390-710 nm</w:t>
                  </w:r>
                  <w:r>
                    <w:rPr>
                      <w:rFonts w:ascii="宋体" w:hAnsi="宋体" w:cs="宋体" w:eastAsia="宋体"/>
                      <w:sz w:val="19"/>
                      <w:color w:val="0000FF"/>
                    </w:rPr>
                    <w:t>，连续不间断</w:t>
                  </w:r>
                </w:p>
                <w:p>
                  <w:pPr>
                    <w:pStyle w:val="null3"/>
                  </w:pPr>
                  <w:r>
                    <w:rPr>
                      <w:rFonts w:ascii="宋体" w:hAnsi="宋体" w:cs="宋体" w:eastAsia="宋体"/>
                      <w:sz w:val="19"/>
                      <w:color w:val="0000FF"/>
                    </w:rPr>
                    <w:t>2.2.3</w:t>
                  </w:r>
                  <w:r>
                    <w:rPr>
                      <w:rFonts w:ascii="宋体" w:hAnsi="宋体" w:cs="宋体" w:eastAsia="宋体"/>
                      <w:sz w:val="19"/>
                      <w:color w:val="0000FF"/>
                    </w:rPr>
                    <w:t>光路设计：</w:t>
                  </w:r>
                </w:p>
                <w:p>
                  <w:pPr>
                    <w:pStyle w:val="null3"/>
                  </w:pPr>
                  <w:r>
                    <w:rPr>
                      <w:rFonts w:ascii="宋体" w:hAnsi="宋体" w:cs="宋体" w:eastAsia="宋体"/>
                      <w:sz w:val="19"/>
                      <w:color w:val="0000FF"/>
                    </w:rPr>
                    <w:t xml:space="preserve">2.2.3.1 </w:t>
                  </w:r>
                  <w:r>
                    <w:rPr>
                      <w:rFonts w:ascii="宋体" w:hAnsi="宋体" w:cs="宋体" w:eastAsia="宋体"/>
                      <w:sz w:val="19"/>
                      <w:color w:val="0000FF"/>
                    </w:rPr>
                    <w:t>激发滤光片与检测滤光片可自由组合，提供不少于</w:t>
                  </w:r>
                  <w:r>
                    <w:rPr>
                      <w:rFonts w:ascii="宋体" w:hAnsi="宋体" w:cs="宋体" w:eastAsia="宋体"/>
                      <w:sz w:val="19"/>
                      <w:color w:val="0000FF"/>
                    </w:rPr>
                    <w:t>10</w:t>
                  </w:r>
                  <w:r>
                    <w:rPr>
                      <w:rFonts w:ascii="宋体" w:hAnsi="宋体" w:cs="宋体" w:eastAsia="宋体"/>
                      <w:sz w:val="19"/>
                      <w:color w:val="0000FF"/>
                    </w:rPr>
                    <w:t>种不同的组合的检测模式</w:t>
                  </w:r>
                </w:p>
                <w:p>
                  <w:pPr>
                    <w:pStyle w:val="null3"/>
                  </w:pPr>
                  <w:r>
                    <w:rPr>
                      <w:rFonts w:ascii="宋体" w:hAnsi="宋体" w:cs="宋体" w:eastAsia="宋体"/>
                      <w:sz w:val="19"/>
                      <w:color w:val="0000FF"/>
                    </w:rPr>
                    <w:t xml:space="preserve">2.2.3.2 </w:t>
                  </w:r>
                  <w:r>
                    <w:rPr>
                      <w:rFonts w:ascii="宋体" w:hAnsi="宋体" w:cs="宋体" w:eastAsia="宋体"/>
                      <w:sz w:val="19"/>
                      <w:color w:val="0000FF"/>
                    </w:rPr>
                    <w:t>光路系统：五棱镜加长光路有效消除光学边缘效应</w:t>
                  </w:r>
                </w:p>
                <w:p>
                  <w:pPr>
                    <w:pStyle w:val="null3"/>
                  </w:pPr>
                  <w:r>
                    <w:rPr>
                      <w:rFonts w:ascii="宋体" w:hAnsi="宋体" w:cs="宋体" w:eastAsia="宋体"/>
                      <w:sz w:val="19"/>
                      <w:color w:val="0000FF"/>
                    </w:rPr>
                    <w:t>2.2.3.3</w:t>
                  </w:r>
                  <w:r>
                    <w:rPr>
                      <w:rFonts w:ascii="宋体" w:hAnsi="宋体" w:cs="宋体" w:eastAsia="宋体"/>
                      <w:sz w:val="19"/>
                      <w:color w:val="0000FF"/>
                    </w:rPr>
                    <w:t>全固定光路设计，无移动机械部件：激发光源与检测系统在工作中无需移动，保证系统稳定性</w:t>
                  </w:r>
                </w:p>
                <w:p>
                  <w:pPr>
                    <w:pStyle w:val="null3"/>
                  </w:pPr>
                  <w:r>
                    <w:rPr>
                      <w:rFonts w:ascii="宋体" w:hAnsi="宋体" w:cs="宋体" w:eastAsia="宋体"/>
                      <w:sz w:val="19"/>
                      <w:color w:val="0000FF"/>
                    </w:rPr>
                    <w:t>2.2.3.4</w:t>
                  </w:r>
                  <w:r>
                    <w:rPr>
                      <w:rFonts w:ascii="宋体" w:hAnsi="宋体" w:cs="宋体" w:eastAsia="宋体"/>
                      <w:sz w:val="19"/>
                      <w:color w:val="0000FF"/>
                    </w:rPr>
                    <w:t>所有样本同时检测：支持，所有样本同时激发并采集数据，孔间无时间差</w:t>
                  </w:r>
                </w:p>
                <w:p>
                  <w:pPr>
                    <w:pStyle w:val="null3"/>
                  </w:pPr>
                  <w:r>
                    <w:rPr>
                      <w:rFonts w:ascii="宋体" w:hAnsi="宋体" w:cs="宋体" w:eastAsia="宋体"/>
                      <w:sz w:val="19"/>
                      <w:color w:val="0000FF"/>
                    </w:rPr>
                    <w:t>3.</w:t>
                  </w:r>
                  <w:r>
                    <w:rPr>
                      <w:rFonts w:ascii="宋体" w:hAnsi="宋体" w:cs="宋体" w:eastAsia="宋体"/>
                      <w:sz w:val="19"/>
                      <w:color w:val="0000FF"/>
                    </w:rPr>
                    <w:t>分析软件功能</w:t>
                  </w:r>
                </w:p>
                <w:p>
                  <w:pPr>
                    <w:pStyle w:val="null3"/>
                  </w:pPr>
                  <w:r>
                    <w:rPr>
                      <w:rFonts w:ascii="宋体" w:hAnsi="宋体" w:cs="宋体" w:eastAsia="宋体"/>
                      <w:sz w:val="19"/>
                      <w:color w:val="0000FF"/>
                    </w:rPr>
                    <w:t>3.1</w:t>
                  </w:r>
                  <w:r>
                    <w:rPr>
                      <w:rFonts w:ascii="宋体" w:hAnsi="宋体" w:cs="宋体" w:eastAsia="宋体"/>
                      <w:sz w:val="19"/>
                      <w:color w:val="0000FF"/>
                    </w:rPr>
                    <w:t>支持的荧光染料种类：开放</w:t>
                  </w:r>
                </w:p>
                <w:p>
                  <w:pPr>
                    <w:pStyle w:val="null3"/>
                  </w:pPr>
                  <w:r>
                    <w:rPr>
                      <w:rFonts w:ascii="宋体" w:hAnsi="宋体" w:cs="宋体" w:eastAsia="宋体"/>
                      <w:sz w:val="19"/>
                      <w:color w:val="0000FF"/>
                    </w:rPr>
                    <w:t>3.2</w:t>
                  </w:r>
                  <w:r>
                    <w:rPr>
                      <w:rFonts w:ascii="宋体" w:hAnsi="宋体" w:cs="宋体" w:eastAsia="宋体"/>
                      <w:sz w:val="19"/>
                      <w:color w:val="0000FF"/>
                    </w:rPr>
                    <w:t>颜色补偿功能：具备</w:t>
                  </w:r>
                </w:p>
                <w:p>
                  <w:pPr>
                    <w:pStyle w:val="null3"/>
                  </w:pPr>
                  <w:r>
                    <w:rPr>
                      <w:rFonts w:ascii="宋体" w:hAnsi="宋体" w:cs="宋体" w:eastAsia="宋体"/>
                      <w:sz w:val="19"/>
                      <w:color w:val="0000FF"/>
                    </w:rPr>
                    <w:t>3.3</w:t>
                  </w:r>
                  <w:r>
                    <w:rPr>
                      <w:rFonts w:ascii="宋体" w:hAnsi="宋体" w:cs="宋体" w:eastAsia="宋体"/>
                      <w:sz w:val="19"/>
                      <w:color w:val="0000FF"/>
                    </w:rPr>
                    <w:t>软件：具有定性定量（绝对定量、相对定量）、自动报告熔解温度、自动报告基因分型结果、高分辨率熔解曲线分析等功能，配套的运行和结果分析软件，能够针对观察到的扩增情况随时增加循环数目，实时动态监测，扩增和检测同时进行</w:t>
                  </w:r>
                </w:p>
                <w:p>
                  <w:pPr>
                    <w:pStyle w:val="null3"/>
                  </w:pPr>
                  <w:r>
                    <w:rPr>
                      <w:rFonts w:ascii="宋体" w:hAnsi="宋体" w:cs="宋体" w:eastAsia="宋体"/>
                      <w:sz w:val="19"/>
                      <w:color w:val="0000FF"/>
                    </w:rPr>
                    <w:t>3.4</w:t>
                  </w:r>
                  <w:r>
                    <w:rPr>
                      <w:rFonts w:ascii="宋体" w:hAnsi="宋体" w:cs="宋体" w:eastAsia="宋体"/>
                      <w:sz w:val="19"/>
                      <w:color w:val="0000FF"/>
                    </w:rPr>
                    <w:t>高分辨率熔解曲线</w:t>
                  </w:r>
                  <w:r>
                    <w:rPr>
                      <w:rFonts w:ascii="宋体" w:hAnsi="宋体" w:cs="宋体" w:eastAsia="宋体"/>
                      <w:sz w:val="19"/>
                      <w:color w:val="0000FF"/>
                    </w:rPr>
                    <w:t>HRM</w:t>
                  </w:r>
                  <w:r>
                    <w:rPr>
                      <w:rFonts w:ascii="宋体" w:hAnsi="宋体" w:cs="宋体" w:eastAsia="宋体"/>
                      <w:sz w:val="19"/>
                      <w:color w:val="0000FF"/>
                    </w:rPr>
                    <w:t>分析：</w:t>
                  </w:r>
                  <w:r>
                    <w:rPr>
                      <w:rFonts w:ascii="宋体" w:hAnsi="宋体" w:cs="宋体" w:eastAsia="宋体"/>
                      <w:sz w:val="19"/>
                      <w:color w:val="0000FF"/>
                    </w:rPr>
                    <w:t>标配</w:t>
                  </w:r>
                </w:p>
                <w:p>
                  <w:pPr>
                    <w:pStyle w:val="null3"/>
                  </w:pPr>
                  <w:r>
                    <w:rPr>
                      <w:rFonts w:ascii="宋体" w:hAnsi="宋体" w:cs="宋体" w:eastAsia="宋体"/>
                      <w:sz w:val="19"/>
                      <w:color w:val="0000FF"/>
                    </w:rPr>
                    <w:t>3.5</w:t>
                  </w:r>
                  <w:r>
                    <w:rPr>
                      <w:rFonts w:ascii="宋体" w:hAnsi="宋体" w:cs="宋体" w:eastAsia="宋体"/>
                      <w:sz w:val="19"/>
                      <w:color w:val="0000FF"/>
                    </w:rPr>
                    <w:t>数据导出：</w:t>
                  </w:r>
                  <w:r>
                    <w:rPr>
                      <w:rFonts w:ascii="宋体" w:hAnsi="宋体" w:cs="宋体" w:eastAsia="宋体"/>
                      <w:sz w:val="19"/>
                      <w:color w:val="0000FF"/>
                    </w:rPr>
                    <w:t>TXT, PDF, XML, GIF, PNG, BMP, JPEG等</w:t>
                  </w:r>
                </w:p>
                <w:p>
                  <w:pPr>
                    <w:pStyle w:val="null3"/>
                  </w:pPr>
                  <w:r>
                    <w:rPr>
                      <w:rFonts w:ascii="宋体" w:hAnsi="宋体" w:cs="宋体" w:eastAsia="宋体"/>
                      <w:sz w:val="19"/>
                      <w:color w:val="0000FF"/>
                    </w:rPr>
                    <w:t>4.</w:t>
                  </w:r>
                  <w:r>
                    <w:rPr>
                      <w:rFonts w:ascii="宋体" w:hAnsi="宋体" w:cs="宋体" w:eastAsia="宋体"/>
                      <w:sz w:val="19"/>
                      <w:color w:val="0000FF"/>
                    </w:rPr>
                    <w:t>试剂和耗材支持：开放平台，可使用市面上国产或进口的各品牌试剂及第三方提供的</w:t>
                  </w:r>
                  <w:r>
                    <w:rPr>
                      <w:rFonts w:ascii="宋体" w:hAnsi="宋体" w:cs="宋体" w:eastAsia="宋体"/>
                      <w:sz w:val="19"/>
                      <w:color w:val="0000FF"/>
                    </w:rPr>
                    <w:t>8</w:t>
                  </w:r>
                  <w:r>
                    <w:rPr>
                      <w:rFonts w:ascii="宋体" w:hAnsi="宋体" w:cs="宋体" w:eastAsia="宋体"/>
                      <w:sz w:val="19"/>
                      <w:color w:val="0000FF"/>
                    </w:rPr>
                    <w:t>连板、</w:t>
                  </w:r>
                  <w:r>
                    <w:rPr>
                      <w:rFonts w:ascii="宋体" w:hAnsi="宋体" w:cs="宋体" w:eastAsia="宋体"/>
                      <w:sz w:val="19"/>
                      <w:color w:val="0000FF"/>
                    </w:rPr>
                    <w:t>96</w:t>
                  </w:r>
                  <w:r>
                    <w:rPr>
                      <w:rFonts w:ascii="宋体" w:hAnsi="宋体" w:cs="宋体" w:eastAsia="宋体"/>
                      <w:sz w:val="19"/>
                      <w:color w:val="0000FF"/>
                    </w:rPr>
                    <w:t>孔板等耗材。</w:t>
                  </w:r>
                </w:p>
                <w:p>
                  <w:pPr>
                    <w:pStyle w:val="null3"/>
                  </w:pPr>
                  <w:r>
                    <w:rPr>
                      <w:rFonts w:ascii="宋体" w:hAnsi="宋体" w:cs="宋体" w:eastAsia="宋体"/>
                      <w:sz w:val="19"/>
                      <w:color w:val="0000FF"/>
                    </w:rPr>
                    <w:t>5.配置：</w:t>
                  </w:r>
                </w:p>
                <w:p>
                  <w:pPr>
                    <w:pStyle w:val="null3"/>
                  </w:pPr>
                  <w:r>
                    <w:rPr>
                      <w:rFonts w:ascii="宋体" w:hAnsi="宋体" w:cs="宋体" w:eastAsia="宋体"/>
                      <w:sz w:val="19"/>
                      <w:color w:val="0000FF"/>
                    </w:rPr>
                    <w:t>5.1实时荧光定量PCR系统主机：1台</w:t>
                  </w:r>
                </w:p>
                <w:p>
                  <w:pPr>
                    <w:pStyle w:val="null3"/>
                  </w:pPr>
                  <w:r>
                    <w:rPr>
                      <w:rFonts w:ascii="宋体" w:hAnsi="宋体" w:cs="宋体" w:eastAsia="宋体"/>
                      <w:sz w:val="19"/>
                      <w:color w:val="0000FF"/>
                    </w:rPr>
                    <w:t>5.2电脑配置：酷睿i7或以上，16G内存，2TB 硬盘，27吋液晶显示器或以上</w:t>
                  </w:r>
                </w:p>
                <w:p>
                  <w:pPr>
                    <w:pStyle w:val="null3"/>
                  </w:pPr>
                  <w:r>
                    <w:rPr>
                      <w:rFonts w:ascii="宋体" w:hAnsi="宋体" w:cs="宋体" w:eastAsia="宋体"/>
                      <w:sz w:val="19"/>
                      <w:color w:val="0000FF"/>
                    </w:rPr>
                    <w:t>5.3分析软件：1套</w:t>
                  </w:r>
                </w:p>
                <w:p>
                  <w:pPr>
                    <w:pStyle w:val="null3"/>
                  </w:pPr>
                  <w:r>
                    <w:rPr>
                      <w:rFonts w:ascii="宋体" w:hAnsi="宋体" w:cs="宋体" w:eastAsia="宋体"/>
                      <w:sz w:val="19"/>
                      <w:color w:val="0000FF"/>
                    </w:rPr>
                    <w:t>5.4</w:t>
                  </w:r>
                  <w:r>
                    <w:rPr>
                      <w:rFonts w:ascii="宋体" w:hAnsi="宋体" w:cs="宋体" w:eastAsia="宋体"/>
                      <w:sz w:val="19"/>
                      <w:color w:val="0000FF"/>
                    </w:rPr>
                    <w:t>控制单元</w:t>
                  </w:r>
                  <w:r>
                    <w:rPr>
                      <w:rFonts w:ascii="宋体" w:hAnsi="宋体" w:cs="宋体" w:eastAsia="宋体"/>
                      <w:sz w:val="19"/>
                      <w:color w:val="0000FF"/>
                    </w:rPr>
                    <w:t>：</w:t>
                  </w:r>
                  <w:r>
                    <w:rPr>
                      <w:rFonts w:ascii="宋体" w:hAnsi="宋体" w:cs="宋体" w:eastAsia="宋体"/>
                      <w:sz w:val="19"/>
                      <w:color w:val="0000FF"/>
                    </w:rPr>
                    <w:t>1套</w:t>
                  </w:r>
                </w:p>
                <w:p>
                  <w:pPr>
                    <w:pStyle w:val="null3"/>
                  </w:pPr>
                  <w:r>
                    <w:rPr>
                      <w:rFonts w:ascii="宋体" w:hAnsi="宋体" w:cs="宋体" w:eastAsia="宋体"/>
                      <w:sz w:val="19"/>
                      <w:color w:val="0000FF"/>
                    </w:rPr>
                    <w:t>5.5水平电泳：1套</w:t>
                  </w:r>
                </w:p>
                <w:p>
                  <w:pPr>
                    <w:pStyle w:val="null3"/>
                  </w:pPr>
                  <w:r>
                    <w:rPr>
                      <w:rFonts w:ascii="宋体" w:hAnsi="宋体" w:cs="宋体" w:eastAsia="宋体"/>
                      <w:sz w:val="19"/>
                      <w:color w:val="0000FF"/>
                    </w:rPr>
                    <w:t>5.6垂直电泳：1套</w:t>
                  </w:r>
                </w:p>
                <w:p>
                  <w:pPr>
                    <w:pStyle w:val="null3"/>
                  </w:pPr>
                  <w:r>
                    <w:rPr>
                      <w:rFonts w:ascii="宋体" w:hAnsi="宋体" w:cs="宋体" w:eastAsia="宋体"/>
                      <w:sz w:val="19"/>
                      <w:color w:val="0000FF"/>
                    </w:rPr>
                    <w:t>5.7 96孔普通PCR仪：2台</w:t>
                  </w:r>
                </w:p>
                <w:p>
                  <w:pPr>
                    <w:pStyle w:val="null3"/>
                  </w:pPr>
                  <w:r>
                    <w:rPr>
                      <w:rFonts w:ascii="宋体" w:hAnsi="宋体" w:cs="宋体" w:eastAsia="宋体"/>
                      <w:sz w:val="19"/>
                      <w:color w:val="0000FF"/>
                    </w:rPr>
                    <w:t>（注：所有技术参数均需满足采购需求，不得负偏离；所有技术参数提供佐证资料（不限于官方截图或产品彩页或技术白皮书等任意一种，不提供视为负偏离））</w:t>
                  </w:r>
                </w:p>
              </w:tc>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color w:val="0000FF"/>
                    </w:rPr>
                    <w:t>1</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color w:val="0000FF"/>
                    </w:rPr>
                    <w:t>台</w:t>
                  </w:r>
                </w:p>
              </w:tc>
            </w:tr>
          </w:tbl>
          <w:p/>
        </w:tc>
      </w:tr>
    </w:tbl>
    <w:p>
      <w:pPr>
        <w:pStyle w:val="null3"/>
      </w:pPr>
      <w:r>
        <w:rPr/>
        <w:t>采购包2：</w:t>
      </w:r>
    </w:p>
    <w:p>
      <w:pPr>
        <w:pStyle w:val="null3"/>
      </w:pPr>
      <w:r>
        <w:rPr/>
        <w:t>供应商报价不允许超过标的金额</w:t>
      </w:r>
    </w:p>
    <w:p>
      <w:pPr>
        <w:pStyle w:val="null3"/>
      </w:pPr>
      <w:r>
        <w:rPr/>
        <w:t>（招单价的）供应商报价不允许超过标的单价</w:t>
      </w:r>
    </w:p>
    <w:p>
      <w:pPr>
        <w:pStyle w:val="null3"/>
      </w:pPr>
      <w:r>
        <w:rPr/>
        <w:t>标的名称：超灵敏全自动成像分析系统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380"/>
            </w:pPr>
            <w:r>
              <w:rPr>
                <w:rFonts w:ascii="宋体" w:hAnsi="宋体" w:cs="宋体" w:eastAsia="宋体"/>
                <w:sz w:val="19"/>
                <w:color w:val="0000FF"/>
              </w:rPr>
              <w:t>（一）采购标的需实现的功能或者目标：</w:t>
            </w:r>
          </w:p>
          <w:p>
            <w:pPr>
              <w:pStyle w:val="null3"/>
              <w:ind w:firstLine="380"/>
            </w:pPr>
            <w:r>
              <w:rPr>
                <w:rFonts w:ascii="宋体" w:hAnsi="宋体" w:cs="宋体" w:eastAsia="宋体"/>
                <w:sz w:val="19"/>
                <w:color w:val="0000FF"/>
              </w:rPr>
              <w:t>用于食品及相关教学与科研中，用于灵敏的定量成像凝胶、膜和菌落，包括可见光、化学发光、紫外、五色荧光成像等。</w:t>
            </w:r>
          </w:p>
          <w:p>
            <w:pPr>
              <w:pStyle w:val="null3"/>
              <w:ind w:left="495" w:right="1920"/>
            </w:pPr>
            <w:r>
              <w:rPr>
                <w:rFonts w:ascii="宋体" w:hAnsi="宋体" w:cs="宋体" w:eastAsia="宋体"/>
                <w:sz w:val="19"/>
                <w:color w:val="0000FF"/>
              </w:rPr>
              <w:t>（二）技术要求：</w:t>
            </w:r>
          </w:p>
          <w:tbl>
            <w:tblPr>
              <w:tblBorders>
                <w:top w:val="none" w:color="000000" w:sz="4"/>
                <w:left w:val="none" w:color="000000" w:sz="4"/>
                <w:bottom w:val="none" w:color="000000" w:sz="4"/>
                <w:right w:val="none" w:color="000000" w:sz="4"/>
                <w:insideH w:val="none"/>
                <w:insideV w:val="none"/>
              </w:tblBorders>
            </w:tblPr>
            <w:tblGrid>
              <w:gridCol w:w="117"/>
              <w:gridCol w:w="371"/>
              <w:gridCol w:w="1803"/>
              <w:gridCol w:w="129"/>
              <w:gridCol w:w="133"/>
            </w:tblGrid>
            <w:tr>
              <w:tc>
                <w:tcPr>
                  <w:tcW w:type="dxa" w:w="1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color w:val="0000FF"/>
                    </w:rPr>
                    <w:t>序号</w:t>
                  </w:r>
                </w:p>
              </w:tc>
              <w:tc>
                <w:tcPr>
                  <w:tcW w:type="dxa" w:w="3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color w:val="0000FF"/>
                    </w:rPr>
                    <w:t>货物名称</w:t>
                  </w:r>
                </w:p>
              </w:tc>
              <w:tc>
                <w:tcPr>
                  <w:tcW w:type="dxa" w:w="18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9"/>
                      <w:color w:val="0000FF"/>
                    </w:rPr>
                    <w:t>技术参数</w:t>
                  </w:r>
                </w:p>
              </w:tc>
              <w:tc>
                <w:tcPr>
                  <w:tcW w:type="dxa" w:w="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color w:val="0000FF"/>
                    </w:rPr>
                    <w:t>数量</w:t>
                  </w:r>
                </w:p>
              </w:tc>
              <w:tc>
                <w:tcPr>
                  <w:tcW w:type="dxa" w:w="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color w:val="0000FF"/>
                    </w:rPr>
                    <w:t>单位</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color w:val="0000FF"/>
                    </w:rPr>
                    <w:t>1</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color w:val="0000FF"/>
                    </w:rPr>
                    <w:t>超灵敏全自动成像分析系统</w:t>
                  </w:r>
                </w:p>
              </w:tc>
              <w:tc>
                <w:tcPr>
                  <w:tcW w:type="dxa" w:w="1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19"/>
                      <w:color w:val="0000FF"/>
                    </w:rPr>
                    <w:t>1)定焦镜头：不低于F0.75的配置；</w:t>
                  </w:r>
                </w:p>
                <w:p>
                  <w:pPr>
                    <w:pStyle w:val="null3"/>
                    <w:jc w:val="left"/>
                  </w:pPr>
                  <w:r>
                    <w:rPr>
                      <w:rFonts w:ascii="宋体" w:hAnsi="宋体" w:cs="宋体" w:eastAsia="宋体"/>
                      <w:sz w:val="19"/>
                      <w:color w:val="0000FF"/>
                    </w:rPr>
                    <w:t>2)镜头口径：不小于50mm；</w:t>
                  </w:r>
                </w:p>
                <w:p>
                  <w:pPr>
                    <w:pStyle w:val="null3"/>
                    <w:jc w:val="left"/>
                  </w:pPr>
                  <w:r>
                    <w:rPr>
                      <w:rFonts w:ascii="宋体" w:hAnsi="宋体" w:cs="宋体" w:eastAsia="宋体"/>
                      <w:sz w:val="19"/>
                      <w:color w:val="0000FF"/>
                    </w:rPr>
                    <w:t>3）聚焦和光圈调节：光圈按照光源类型全自动调节；自动聚焦或记忆聚焦，手动调焦时全程可视，随时调整样品位置；</w:t>
                  </w:r>
                </w:p>
                <w:p>
                  <w:pPr>
                    <w:pStyle w:val="null3"/>
                    <w:jc w:val="left"/>
                  </w:pPr>
                  <w:r>
                    <w:rPr>
                      <w:rFonts w:ascii="宋体" w:hAnsi="宋体" w:cs="宋体" w:eastAsia="宋体"/>
                      <w:sz w:val="19"/>
                      <w:color w:val="0000FF"/>
                    </w:rPr>
                    <w:t>4)CCD物理像素：≥</w:t>
                  </w:r>
                  <w:r>
                    <w:rPr>
                      <w:rFonts w:ascii="宋体" w:hAnsi="宋体" w:cs="宋体" w:eastAsia="宋体"/>
                      <w:sz w:val="19"/>
                      <w:color w:val="0000FF"/>
                    </w:rPr>
                    <w:t>800万；</w:t>
                  </w:r>
                </w:p>
                <w:p>
                  <w:pPr>
                    <w:pStyle w:val="null3"/>
                    <w:jc w:val="left"/>
                  </w:pPr>
                  <w:r>
                    <w:rPr>
                      <w:rFonts w:ascii="宋体" w:hAnsi="宋体" w:cs="宋体" w:eastAsia="宋体"/>
                      <w:sz w:val="19"/>
                      <w:color w:val="0000FF"/>
                    </w:rPr>
                    <w:t>5)CCD冷却方式：空气循环二级热电模块；</w:t>
                  </w:r>
                </w:p>
                <w:p>
                  <w:pPr>
                    <w:pStyle w:val="null3"/>
                    <w:jc w:val="left"/>
                  </w:pPr>
                  <w:r>
                    <w:rPr>
                      <w:rFonts w:ascii="宋体" w:hAnsi="宋体" w:cs="宋体" w:eastAsia="宋体"/>
                      <w:sz w:val="19"/>
                      <w:color w:val="0000FF"/>
                    </w:rPr>
                    <w:t>6)CCD冷却时间和温度：时间小于5分钟，可达到绝对温度–25ºC；CCD冷却期间，系统进入保护功能，保证每位操作者在任何季节，获取图像时的CCD的状态始终稳定，不会受室温变化影响；</w:t>
                  </w:r>
                </w:p>
                <w:p>
                  <w:pPr>
                    <w:pStyle w:val="null3"/>
                    <w:jc w:val="left"/>
                  </w:pPr>
                  <w:r>
                    <w:rPr>
                      <w:rFonts w:ascii="宋体" w:hAnsi="宋体" w:cs="宋体" w:eastAsia="宋体"/>
                      <w:sz w:val="19"/>
                      <w:color w:val="0000FF"/>
                    </w:rPr>
                    <w:t>7)像素合并方式：1×1、2×2、3×3、4×4、5×5、8×8及16×16，共7种像素合并方式；动态范围16-bit；</w:t>
                  </w:r>
                </w:p>
                <w:p>
                  <w:pPr>
                    <w:pStyle w:val="null3"/>
                    <w:jc w:val="left"/>
                  </w:pPr>
                  <w:r>
                    <w:rPr>
                      <w:rFonts w:ascii="宋体" w:hAnsi="宋体" w:cs="宋体" w:eastAsia="宋体"/>
                      <w:sz w:val="19"/>
                      <w:color w:val="0000FF"/>
                    </w:rPr>
                    <w:t>8)捕获图像模式：全自动（带预曝光功能）、手动、累加、信噪比优化等4种模式，每种模式下都可以自动获取真彩色的Marker条带，展示并保存重叠的结果；</w:t>
                  </w:r>
                </w:p>
                <w:p>
                  <w:pPr>
                    <w:pStyle w:val="null3"/>
                    <w:jc w:val="left"/>
                  </w:pPr>
                  <w:r>
                    <w:rPr>
                      <w:rFonts w:ascii="宋体" w:hAnsi="宋体" w:cs="宋体" w:eastAsia="宋体"/>
                      <w:sz w:val="19"/>
                      <w:color w:val="0000FF"/>
                    </w:rPr>
                    <w:t>9)具备信噪比优化模式：对图像进行实时叠加处理，平均背景噪音以提高信噪比，提升弱信号检测能力，避免长时间曝光造成的图像过饱和；</w:t>
                  </w:r>
                </w:p>
                <w:p>
                  <w:pPr>
                    <w:pStyle w:val="null3"/>
                    <w:jc w:val="left"/>
                  </w:pPr>
                  <w:r>
                    <w:rPr>
                      <w:rFonts w:ascii="宋体" w:hAnsi="宋体" w:cs="宋体" w:eastAsia="宋体"/>
                      <w:sz w:val="19"/>
                      <w:color w:val="0000FF"/>
                    </w:rPr>
                    <w:t>10)图像保存格式：默认格式为16bit tif，自动或手动调节对比度，可将最佳显示效果自动另存为314DPI的jpg图片；</w:t>
                  </w:r>
                </w:p>
                <w:p>
                  <w:pPr>
                    <w:pStyle w:val="null3"/>
                    <w:jc w:val="left"/>
                  </w:pPr>
                  <w:r>
                    <w:rPr>
                      <w:rFonts w:ascii="宋体" w:hAnsi="宋体" w:cs="宋体" w:eastAsia="宋体"/>
                      <w:sz w:val="19"/>
                      <w:color w:val="0000FF"/>
                    </w:rPr>
                    <w:t>11)可以获取真彩色Marker图像，合并成像结果并保存，拍照结束即可对比目标条带；</w:t>
                  </w:r>
                </w:p>
                <w:p>
                  <w:pPr>
                    <w:pStyle w:val="null3"/>
                    <w:jc w:val="left"/>
                  </w:pPr>
                  <w:r>
                    <w:rPr>
                      <w:rFonts w:ascii="宋体" w:hAnsi="宋体" w:cs="宋体" w:eastAsia="宋体"/>
                      <w:sz w:val="19"/>
                      <w:color w:val="0000FF"/>
                    </w:rPr>
                    <w:t>12)独特的预曝光模式，5秒内展示预览图像，并根据所选目的区域，预测最佳曝光时间；</w:t>
                  </w:r>
                </w:p>
                <w:p>
                  <w:pPr>
                    <w:pStyle w:val="null3"/>
                    <w:jc w:val="left"/>
                  </w:pPr>
                  <w:r>
                    <w:rPr>
                      <w:rFonts w:ascii="宋体" w:hAnsi="宋体" w:cs="宋体" w:eastAsia="宋体"/>
                      <w:sz w:val="19"/>
                      <w:color w:val="0000FF"/>
                    </w:rPr>
                    <w:t>13)累加模式可连续拍照50张图片，结果图可以自动叠加真彩色Marker，全自动切换光源和计算曝光时间；</w:t>
                  </w:r>
                </w:p>
                <w:p>
                  <w:pPr>
                    <w:pStyle w:val="null3"/>
                    <w:jc w:val="left"/>
                  </w:pPr>
                  <w:r>
                    <w:rPr>
                      <w:rFonts w:ascii="宋体" w:hAnsi="宋体" w:cs="宋体" w:eastAsia="宋体"/>
                      <w:sz w:val="19"/>
                      <w:color w:val="0000FF"/>
                    </w:rPr>
                    <w:t>14)曝光时间：0.01s-10h；</w:t>
                  </w:r>
                </w:p>
                <w:p>
                  <w:pPr>
                    <w:pStyle w:val="null3"/>
                    <w:jc w:val="left"/>
                  </w:pPr>
                  <w:r>
                    <w:rPr>
                      <w:rFonts w:ascii="宋体" w:hAnsi="宋体" w:cs="宋体" w:eastAsia="宋体"/>
                      <w:sz w:val="19"/>
                      <w:color w:val="0000FF"/>
                    </w:rPr>
                    <w:t>15)成像面积四种可选：8×11cm,10.7×14.7cm,13.3×18.3cm,16×22cm，保存时可优化图像范围；</w:t>
                  </w:r>
                </w:p>
                <w:p>
                  <w:pPr>
                    <w:pStyle w:val="null3"/>
                    <w:jc w:val="left"/>
                  </w:pPr>
                  <w:r>
                    <w:rPr>
                      <w:rFonts w:ascii="宋体" w:hAnsi="宋体" w:cs="宋体" w:eastAsia="宋体"/>
                      <w:sz w:val="19"/>
                      <w:color w:val="0000FF"/>
                    </w:rPr>
                    <w:t>16)图像校正方式：暗场校正、平场校正、变形校正及蓝光切换校正；</w:t>
                  </w:r>
                </w:p>
                <w:p>
                  <w:pPr>
                    <w:pStyle w:val="null3"/>
                    <w:jc w:val="left"/>
                  </w:pPr>
                  <w:r>
                    <w:rPr>
                      <w:rFonts w:ascii="宋体" w:hAnsi="宋体" w:cs="宋体" w:eastAsia="宋体"/>
                      <w:sz w:val="19"/>
                      <w:color w:val="0000FF"/>
                    </w:rPr>
                    <w:t>17)一体机设计：≥12英寸高分辨率内置触摸屏，触屏控制机器，亦可使用鼠标、键盘控制仪器；</w:t>
                  </w:r>
                </w:p>
                <w:p>
                  <w:pPr>
                    <w:pStyle w:val="null3"/>
                    <w:jc w:val="left"/>
                  </w:pPr>
                  <w:r>
                    <w:rPr>
                      <w:rFonts w:ascii="宋体" w:hAnsi="宋体" w:cs="宋体" w:eastAsia="宋体"/>
                      <w:sz w:val="19"/>
                      <w:color w:val="0000FF"/>
                    </w:rPr>
                    <w:t>18)样品盘：金属盘，样品盘可清洗，防止化学试剂残留，影响成像效果；</w:t>
                  </w:r>
                </w:p>
                <w:p>
                  <w:pPr>
                    <w:pStyle w:val="null3"/>
                    <w:jc w:val="left"/>
                  </w:pPr>
                  <w:r>
                    <w:rPr>
                      <w:rFonts w:ascii="宋体" w:hAnsi="宋体" w:cs="宋体" w:eastAsia="宋体"/>
                      <w:sz w:val="19"/>
                      <w:color w:val="0000FF"/>
                    </w:rPr>
                    <w:t>19)全自动控制软件，可对系统进行自动控制，包括成像、优化、定量及结果保存；可远程查看连接到相同局域网的所有仪器的状态，复制结果图像，并预约上机时间；</w:t>
                  </w:r>
                </w:p>
                <w:p>
                  <w:pPr>
                    <w:pStyle w:val="null3"/>
                    <w:jc w:val="left"/>
                  </w:pPr>
                  <w:r>
                    <w:rPr>
                      <w:rFonts w:ascii="宋体" w:hAnsi="宋体" w:cs="宋体" w:eastAsia="宋体"/>
                      <w:sz w:val="19"/>
                      <w:color w:val="0000FF"/>
                    </w:rPr>
                    <w:t>20)所有成像过程均保持自动对焦；</w:t>
                  </w:r>
                </w:p>
                <w:p>
                  <w:pPr>
                    <w:pStyle w:val="null3"/>
                    <w:jc w:val="left"/>
                  </w:pPr>
                  <w:r>
                    <w:rPr>
                      <w:rFonts w:ascii="宋体" w:hAnsi="宋体" w:cs="宋体" w:eastAsia="宋体"/>
                      <w:sz w:val="19"/>
                      <w:color w:val="0000FF"/>
                    </w:rPr>
                    <w:t>21)光源：反射LED白光光源、透射LED白光光源、UV光源、红、绿、蓝三色荧光光源；</w:t>
                  </w:r>
                </w:p>
                <w:p>
                  <w:pPr>
                    <w:pStyle w:val="null3"/>
                    <w:jc w:val="left"/>
                  </w:pPr>
                  <w:r>
                    <w:rPr>
                      <w:rFonts w:ascii="宋体" w:hAnsi="宋体" w:cs="宋体" w:eastAsia="宋体"/>
                      <w:sz w:val="19"/>
                      <w:color w:val="0000FF"/>
                    </w:rPr>
                    <w:t>22)滤光片：Cy2（525BP20）、Cy3/EtBr（605BP40）、Cy5（705BP40）滤光片；</w:t>
                  </w:r>
                </w:p>
                <w:p>
                  <w:pPr>
                    <w:pStyle w:val="null3"/>
                    <w:jc w:val="left"/>
                  </w:pPr>
                  <w:r>
                    <w:rPr>
                      <w:rFonts w:ascii="宋体" w:hAnsi="宋体" w:cs="宋体" w:eastAsia="宋体"/>
                      <w:sz w:val="19"/>
                      <w:color w:val="0000FF"/>
                    </w:rPr>
                    <w:t>23)8位滤光片轮设计，包含两个定制滤光片放置位置，可通过打开机器侧门，轻松放置定制滤光片，实现定制染料成像；</w:t>
                  </w:r>
                </w:p>
                <w:p>
                  <w:pPr>
                    <w:pStyle w:val="null3"/>
                    <w:jc w:val="left"/>
                  </w:pPr>
                  <w:r>
                    <w:rPr>
                      <w:rFonts w:ascii="宋体" w:hAnsi="宋体" w:cs="宋体" w:eastAsia="宋体"/>
                      <w:sz w:val="19"/>
                      <w:color w:val="0000FF"/>
                    </w:rPr>
                    <w:t>24)数据输出方式：USB、WAN广域网口、远程传输、打印机等；</w:t>
                  </w:r>
                </w:p>
                <w:p>
                  <w:pPr>
                    <w:pStyle w:val="null3"/>
                    <w:jc w:val="left"/>
                  </w:pPr>
                  <w:r>
                    <w:rPr>
                      <w:rFonts w:ascii="宋体" w:hAnsi="宋体" w:cs="宋体" w:eastAsia="宋体"/>
                      <w:sz w:val="19"/>
                      <w:color w:val="0000FF"/>
                    </w:rPr>
                    <w:t>25）配置：</w:t>
                  </w:r>
                </w:p>
                <w:p>
                  <w:pPr>
                    <w:pStyle w:val="null3"/>
                    <w:jc w:val="left"/>
                  </w:pPr>
                  <w:r>
                    <w:rPr>
                      <w:rFonts w:ascii="宋体" w:hAnsi="宋体" w:cs="宋体" w:eastAsia="宋体"/>
                      <w:sz w:val="19"/>
                      <w:color w:val="0000FF"/>
                    </w:rPr>
                    <w:t>25.1)超灵敏全自动成像分析仪主机一台</w:t>
                  </w:r>
                </w:p>
                <w:p>
                  <w:pPr>
                    <w:pStyle w:val="null3"/>
                    <w:jc w:val="left"/>
                  </w:pPr>
                  <w:r>
                    <w:rPr>
                      <w:rFonts w:ascii="宋体" w:hAnsi="宋体" w:cs="宋体" w:eastAsia="宋体"/>
                      <w:sz w:val="19"/>
                      <w:color w:val="0000FF"/>
                    </w:rPr>
                    <w:t>25.2)操作软件：1套</w:t>
                  </w:r>
                </w:p>
                <w:p>
                  <w:pPr>
                    <w:pStyle w:val="null3"/>
                    <w:jc w:val="left"/>
                  </w:pPr>
                  <w:r>
                    <w:rPr>
                      <w:rFonts w:ascii="宋体" w:hAnsi="宋体" w:cs="宋体" w:eastAsia="宋体"/>
                      <w:sz w:val="19"/>
                      <w:color w:val="0000FF"/>
                    </w:rPr>
                    <w:t>25.3)如需配置电脑，其参数为：1台，酷睿i7或以上，16G内存，2TB 硬盘，27吋液晶显示器或以上</w:t>
                  </w:r>
                </w:p>
                <w:p>
                  <w:pPr>
                    <w:pStyle w:val="null3"/>
                    <w:jc w:val="left"/>
                  </w:pPr>
                  <w:r>
                    <w:rPr>
                      <w:rFonts w:ascii="宋体" w:hAnsi="宋体" w:cs="宋体" w:eastAsia="宋体"/>
                      <w:sz w:val="19"/>
                      <w:color w:val="0000FF"/>
                    </w:rPr>
                    <w:t>（注：所有技术参数均需满足采购需求，不得负偏离；所有技术参数提供佐证资料（不限于官方截图或产品彩页或技术白皮书等任意一种，不提供视为负偏离。）</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color w:val="0000FF"/>
                    </w:rPr>
                    <w:t>1</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color w:val="0000FF"/>
                    </w:rPr>
                    <w:t>台</w:t>
                  </w:r>
                </w:p>
              </w:tc>
            </w:tr>
          </w:tbl>
          <w:p/>
        </w:tc>
      </w:tr>
    </w:tbl>
    <w:p>
      <w:pPr>
        <w:pStyle w:val="null3"/>
      </w:pPr>
      <w:r>
        <w:rPr/>
        <w:t>采购包3：</w:t>
      </w:r>
    </w:p>
    <w:p>
      <w:pPr>
        <w:pStyle w:val="null3"/>
      </w:pPr>
      <w:r>
        <w:rPr/>
        <w:t>供应商报价不允许超过标的金额</w:t>
      </w:r>
    </w:p>
    <w:p>
      <w:pPr>
        <w:pStyle w:val="null3"/>
      </w:pPr>
      <w:r>
        <w:rPr/>
        <w:t>（招单价的）供应商报价不允许超过标的单价</w:t>
      </w:r>
    </w:p>
    <w:p>
      <w:pPr>
        <w:pStyle w:val="null3"/>
      </w:pPr>
      <w:r>
        <w:rPr/>
        <w:t>标的名称：X射线衍射仪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380"/>
            </w:pPr>
            <w:r>
              <w:rPr>
                <w:rFonts w:ascii="宋体" w:hAnsi="宋体" w:cs="宋体" w:eastAsia="宋体"/>
                <w:sz w:val="19"/>
                <w:color w:val="0000FF"/>
              </w:rPr>
              <w:t>（一）采购标的需实现的功能或者目标：用于食品及相关教学与科研中，有机化合物、无机化合物和高分子等的检测、鉴定、成分分析和结构确定等研究。</w:t>
            </w:r>
          </w:p>
          <w:p>
            <w:pPr>
              <w:pStyle w:val="null3"/>
              <w:ind w:firstLine="380"/>
            </w:pPr>
            <w:r>
              <w:rPr>
                <w:rFonts w:ascii="宋体" w:hAnsi="宋体" w:cs="宋体" w:eastAsia="宋体"/>
                <w:sz w:val="19"/>
                <w:color w:val="0000FF"/>
              </w:rPr>
              <w:t>（二）技术要求：</w:t>
            </w:r>
          </w:p>
          <w:tbl>
            <w:tblPr>
              <w:tblInd w:type="dxa" w:w="135"/>
              <w:tblBorders>
                <w:top w:val="none" w:color="000000" w:sz="4"/>
                <w:left w:val="none" w:color="000000" w:sz="4"/>
                <w:bottom w:val="none" w:color="000000" w:sz="4"/>
                <w:right w:val="none" w:color="000000" w:sz="4"/>
                <w:insideH w:val="none"/>
                <w:insideV w:val="none"/>
              </w:tblBorders>
            </w:tblPr>
            <w:tblGrid>
              <w:gridCol w:w="112"/>
              <w:gridCol w:w="337"/>
              <w:gridCol w:w="1798"/>
              <w:gridCol w:w="136"/>
              <w:gridCol w:w="170"/>
            </w:tblGrid>
            <w:tr>
              <w:tc>
                <w:tcPr>
                  <w:tcW w:type="dxa" w:w="1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color w:val="0000FF"/>
                    </w:rPr>
                    <w:t>序号</w:t>
                  </w:r>
                </w:p>
              </w:tc>
              <w:tc>
                <w:tcPr>
                  <w:tcW w:type="dxa" w:w="3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color w:val="0000FF"/>
                    </w:rPr>
                    <w:t>货物名称</w:t>
                  </w:r>
                </w:p>
              </w:tc>
              <w:tc>
                <w:tcPr>
                  <w:tcW w:type="dxa" w:w="17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color w:val="0000FF"/>
                    </w:rPr>
                    <w:t>技术参数</w:t>
                  </w:r>
                </w:p>
              </w:tc>
              <w:tc>
                <w:tcPr>
                  <w:tcW w:type="dxa" w:w="1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color w:val="0000FF"/>
                    </w:rPr>
                    <w:t>数量</w:t>
                  </w:r>
                </w:p>
              </w:tc>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color w:val="0000FF"/>
                    </w:rPr>
                    <w:t>单位</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color w:val="0000FF"/>
                    </w:rPr>
                    <w:t>1</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19"/>
                      <w:color w:val="0000FF"/>
                    </w:rPr>
                    <w:t>X射线衍射仪</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19"/>
                      <w:color w:val="0000FF"/>
                    </w:rPr>
                    <w:t>1. X射线光源</w:t>
                  </w:r>
                </w:p>
                <w:p>
                  <w:pPr>
                    <w:pStyle w:val="null3"/>
                    <w:jc w:val="left"/>
                  </w:pPr>
                  <w:r>
                    <w:rPr>
                      <w:rFonts w:ascii="宋体" w:hAnsi="宋体" w:cs="宋体" w:eastAsia="宋体"/>
                      <w:sz w:val="19"/>
                      <w:color w:val="0000FF"/>
                    </w:rPr>
                    <w:t>1.1. X射线发生器部分</w:t>
                  </w:r>
                </w:p>
                <w:p>
                  <w:pPr>
                    <w:pStyle w:val="null3"/>
                    <w:jc w:val="left"/>
                  </w:pPr>
                  <w:r>
                    <w:rPr>
                      <w:rFonts w:ascii="宋体" w:hAnsi="宋体" w:cs="宋体" w:eastAsia="宋体"/>
                      <w:sz w:val="19"/>
                      <w:color w:val="0000FF"/>
                    </w:rPr>
                    <w:t>1.1.1 输出功率：≥ 3kW</w:t>
                  </w:r>
                </w:p>
                <w:p>
                  <w:pPr>
                    <w:pStyle w:val="null3"/>
                    <w:jc w:val="left"/>
                  </w:pPr>
                  <w:r>
                    <w:rPr>
                      <w:rFonts w:ascii="宋体" w:hAnsi="宋体" w:cs="宋体" w:eastAsia="宋体"/>
                      <w:sz w:val="19"/>
                      <w:color w:val="0000FF"/>
                    </w:rPr>
                    <w:t>1.1.2 额定电压：≥60kV</w:t>
                  </w:r>
                </w:p>
                <w:p>
                  <w:pPr>
                    <w:pStyle w:val="null3"/>
                    <w:jc w:val="left"/>
                  </w:pPr>
                  <w:r>
                    <w:rPr>
                      <w:rFonts w:ascii="宋体" w:hAnsi="宋体" w:cs="宋体" w:eastAsia="宋体"/>
                      <w:sz w:val="19"/>
                      <w:color w:val="0000FF"/>
                    </w:rPr>
                    <w:t>1.1.3 额定电流：≥50mA</w:t>
                  </w:r>
                </w:p>
                <w:p>
                  <w:pPr>
                    <w:pStyle w:val="null3"/>
                    <w:jc w:val="left"/>
                  </w:pPr>
                  <w:r>
                    <w:rPr>
                      <w:rFonts w:ascii="宋体" w:hAnsi="宋体" w:cs="宋体" w:eastAsia="宋体"/>
                      <w:sz w:val="19"/>
                      <w:color w:val="0000FF"/>
                    </w:rPr>
                    <w:t>1.2 X射线光管部分</w:t>
                  </w:r>
                </w:p>
                <w:p>
                  <w:pPr>
                    <w:pStyle w:val="null3"/>
                    <w:jc w:val="left"/>
                  </w:pPr>
                  <w:r>
                    <w:rPr>
                      <w:rFonts w:ascii="宋体" w:hAnsi="宋体" w:cs="宋体" w:eastAsia="宋体"/>
                      <w:sz w:val="19"/>
                      <w:color w:val="0000FF"/>
                    </w:rPr>
                    <w:t>1.2.1 X射线光管：Cu靶，陶瓷X光管</w:t>
                  </w:r>
                </w:p>
                <w:p>
                  <w:pPr>
                    <w:pStyle w:val="null3"/>
                    <w:jc w:val="left"/>
                  </w:pPr>
                  <w:r>
                    <w:rPr>
                      <w:rFonts w:ascii="宋体" w:hAnsi="宋体" w:cs="宋体" w:eastAsia="宋体"/>
                      <w:sz w:val="19"/>
                      <w:color w:val="0000FF"/>
                    </w:rPr>
                    <w:t>1.2.2 光管最大功率：≥2.2 kW</w:t>
                  </w:r>
                </w:p>
                <w:p>
                  <w:pPr>
                    <w:pStyle w:val="null3"/>
                    <w:jc w:val="left"/>
                  </w:pPr>
                  <w:r>
                    <w:rPr>
                      <w:rFonts w:ascii="宋体" w:hAnsi="宋体" w:cs="宋体" w:eastAsia="宋体"/>
                      <w:sz w:val="19"/>
                      <w:color w:val="0000FF"/>
                    </w:rPr>
                    <w:t>1.2.3焦斑大小：≥0.4 x 12 mm</w:t>
                  </w:r>
                </w:p>
                <w:p>
                  <w:pPr>
                    <w:pStyle w:val="null3"/>
                    <w:jc w:val="left"/>
                  </w:pPr>
                  <w:r>
                    <w:rPr>
                      <w:rFonts w:ascii="宋体" w:hAnsi="宋体" w:cs="宋体" w:eastAsia="宋体"/>
                      <w:sz w:val="19"/>
                      <w:color w:val="0000FF"/>
                    </w:rPr>
                    <w:t>1.3 电流电压稳定度：优于</w:t>
                  </w:r>
                  <w:r>
                    <w:rPr>
                      <w:rFonts w:ascii="宋体" w:hAnsi="宋体" w:cs="宋体" w:eastAsia="宋体"/>
                      <w:sz w:val="19"/>
                      <w:color w:val="0000FF"/>
                    </w:rPr>
                    <w:t>±</w:t>
                  </w:r>
                  <w:r>
                    <w:rPr>
                      <w:rFonts w:ascii="宋体" w:hAnsi="宋体" w:cs="宋体" w:eastAsia="宋体"/>
                      <w:sz w:val="19"/>
                      <w:color w:val="0000FF"/>
                    </w:rPr>
                    <w:t>0.005% (外电压波动10%)时</w:t>
                  </w:r>
                </w:p>
                <w:p>
                  <w:pPr>
                    <w:pStyle w:val="null3"/>
                  </w:pPr>
                  <w:r>
                    <w:rPr>
                      <w:rFonts w:ascii="宋体" w:hAnsi="宋体" w:cs="宋体" w:eastAsia="宋体"/>
                      <w:sz w:val="19"/>
                      <w:color w:val="0000FF"/>
                    </w:rPr>
                    <w:t>1.4 辐射豁免：提供国家环保部门认可的辐射豁免</w:t>
                  </w:r>
                </w:p>
                <w:p>
                  <w:pPr>
                    <w:pStyle w:val="null3"/>
                    <w:jc w:val="left"/>
                  </w:pPr>
                  <w:r>
                    <w:rPr>
                      <w:rFonts w:ascii="宋体" w:hAnsi="宋体" w:cs="宋体" w:eastAsia="宋体"/>
                      <w:sz w:val="19"/>
                      <w:color w:val="0000FF"/>
                    </w:rPr>
                    <w:t>2. 测角仪部分</w:t>
                  </w:r>
                </w:p>
                <w:p>
                  <w:pPr>
                    <w:pStyle w:val="null3"/>
                    <w:jc w:val="left"/>
                  </w:pPr>
                  <w:r>
                    <w:rPr>
                      <w:rFonts w:ascii="宋体" w:hAnsi="宋体" w:cs="宋体" w:eastAsia="宋体"/>
                      <w:sz w:val="19"/>
                      <w:color w:val="0000FF"/>
                    </w:rPr>
                    <w:t>2.1 测角仪：采用光学编码器技术与步进马达双重定位</w:t>
                  </w:r>
                </w:p>
                <w:p>
                  <w:pPr>
                    <w:pStyle w:val="null3"/>
                  </w:pPr>
                  <w:r>
                    <w:rPr>
                      <w:rFonts w:ascii="宋体" w:hAnsi="宋体" w:cs="宋体" w:eastAsia="宋体"/>
                      <w:sz w:val="19"/>
                      <w:color w:val="0000FF"/>
                    </w:rPr>
                    <w:t>2.2 扫描方式：</w:t>
                  </w:r>
                  <w:r>
                    <w:rPr>
                      <w:rFonts w:ascii="宋体" w:hAnsi="宋体" w:cs="宋体" w:eastAsia="宋体"/>
                      <w:sz w:val="19"/>
                      <w:color w:val="0000FF"/>
                    </w:rPr>
                    <w:t>q</w:t>
                  </w:r>
                  <w:r>
                    <w:rPr>
                      <w:rFonts w:ascii="宋体" w:hAnsi="宋体" w:cs="宋体" w:eastAsia="宋体"/>
                      <w:sz w:val="19"/>
                      <w:color w:val="0000FF"/>
                    </w:rPr>
                    <w:t>/</w:t>
                  </w:r>
                  <w:r>
                    <w:rPr>
                      <w:rFonts w:ascii="宋体" w:hAnsi="宋体" w:cs="宋体" w:eastAsia="宋体"/>
                      <w:sz w:val="19"/>
                      <w:color w:val="0000FF"/>
                    </w:rPr>
                    <w:t>q</w:t>
                  </w:r>
                  <w:r>
                    <w:rPr>
                      <w:rFonts w:ascii="宋体" w:hAnsi="宋体" w:cs="宋体" w:eastAsia="宋体"/>
                      <w:sz w:val="19"/>
                      <w:color w:val="0000FF"/>
                    </w:rPr>
                    <w:t>测角仪，测角仪垂直放置</w:t>
                  </w:r>
                </w:p>
                <w:p>
                  <w:pPr>
                    <w:pStyle w:val="null3"/>
                    <w:jc w:val="left"/>
                  </w:pPr>
                  <w:r>
                    <w:rPr>
                      <w:rFonts w:ascii="宋体" w:hAnsi="宋体" w:cs="宋体" w:eastAsia="宋体"/>
                      <w:sz w:val="19"/>
                      <w:color w:val="0000FF"/>
                    </w:rPr>
                    <w:t>2.3 2</w:t>
                  </w:r>
                  <w:r>
                    <w:rPr>
                      <w:rFonts w:ascii="宋体" w:hAnsi="宋体" w:cs="宋体" w:eastAsia="宋体"/>
                      <w:sz w:val="19"/>
                      <w:color w:val="0000FF"/>
                    </w:rPr>
                    <w:t>q</w:t>
                  </w:r>
                  <w:r>
                    <w:rPr>
                      <w:rFonts w:ascii="宋体" w:hAnsi="宋体" w:cs="宋体" w:eastAsia="宋体"/>
                      <w:sz w:val="19"/>
                      <w:color w:val="0000FF"/>
                    </w:rPr>
                    <w:t>转动范围：</w:t>
                  </w:r>
                  <w:r>
                    <w:rPr>
                      <w:rFonts w:ascii="宋体" w:hAnsi="宋体" w:cs="宋体" w:eastAsia="宋体"/>
                      <w:sz w:val="19"/>
                      <w:color w:val="0000FF"/>
                    </w:rPr>
                    <w:t>-10</w:t>
                  </w:r>
                  <w:r>
                    <w:rPr>
                      <w:rFonts w:ascii="宋体" w:hAnsi="宋体" w:cs="宋体" w:eastAsia="宋体"/>
                      <w:sz w:val="19"/>
                      <w:color w:val="0000FF"/>
                    </w:rPr>
                    <w:t>°</w:t>
                  </w:r>
                  <w:r>
                    <w:rPr>
                      <w:rFonts w:ascii="宋体" w:hAnsi="宋体" w:cs="宋体" w:eastAsia="宋体"/>
                      <w:sz w:val="19"/>
                      <w:color w:val="0000FF"/>
                    </w:rPr>
                    <w:t>~168</w:t>
                  </w:r>
                  <w:r>
                    <w:rPr>
                      <w:rFonts w:ascii="宋体" w:hAnsi="宋体" w:cs="宋体" w:eastAsia="宋体"/>
                      <w:sz w:val="19"/>
                      <w:color w:val="0000FF"/>
                    </w:rPr>
                    <w:t>°</w:t>
                  </w:r>
                </w:p>
                <w:p>
                  <w:pPr>
                    <w:pStyle w:val="null3"/>
                    <w:jc w:val="left"/>
                  </w:pPr>
                  <w:r>
                    <w:rPr>
                      <w:rFonts w:ascii="宋体" w:hAnsi="宋体" w:cs="宋体" w:eastAsia="宋体"/>
                      <w:sz w:val="19"/>
                      <w:color w:val="0000FF"/>
                    </w:rPr>
                    <w:t>2.4角度分辨率≤0.02</w:t>
                  </w:r>
                </w:p>
                <w:p>
                  <w:pPr>
                    <w:pStyle w:val="null3"/>
                    <w:jc w:val="left"/>
                  </w:pPr>
                  <w:r>
                    <w:rPr>
                      <w:rFonts w:ascii="宋体" w:hAnsi="宋体" w:cs="宋体" w:eastAsia="宋体"/>
                      <w:sz w:val="19"/>
                      <w:color w:val="0000FF"/>
                    </w:rPr>
                    <w:t>2.5 测角仪半径：</w:t>
                  </w:r>
                  <w:r>
                    <w:rPr>
                      <w:rFonts w:ascii="宋体" w:hAnsi="宋体" w:cs="宋体" w:eastAsia="宋体"/>
                      <w:sz w:val="19"/>
                      <w:color w:val="0000FF"/>
                    </w:rPr>
                    <w:t>≥</w:t>
                  </w:r>
                  <w:r>
                    <w:rPr>
                      <w:rFonts w:ascii="宋体" w:hAnsi="宋体" w:cs="宋体" w:eastAsia="宋体"/>
                      <w:sz w:val="19"/>
                      <w:color w:val="0000FF"/>
                    </w:rPr>
                    <w:t>280 mm，测角圆直径可连续改变</w:t>
                  </w:r>
                </w:p>
                <w:p>
                  <w:pPr>
                    <w:pStyle w:val="null3"/>
                    <w:jc w:val="left"/>
                  </w:pPr>
                  <w:r>
                    <w:rPr>
                      <w:rFonts w:ascii="宋体" w:hAnsi="宋体" w:cs="宋体" w:eastAsia="宋体"/>
                      <w:sz w:val="19"/>
                      <w:color w:val="0000FF"/>
                    </w:rPr>
                    <w:t>2.6 可读最小步长：0.0001</w:t>
                  </w:r>
                  <w:r>
                    <w:rPr>
                      <w:rFonts w:ascii="宋体" w:hAnsi="宋体" w:cs="宋体" w:eastAsia="宋体"/>
                      <w:sz w:val="19"/>
                      <w:color w:val="0000FF"/>
                    </w:rPr>
                    <w:t>°</w:t>
                  </w:r>
                </w:p>
                <w:p>
                  <w:pPr>
                    <w:pStyle w:val="null3"/>
                  </w:pPr>
                  <w:r>
                    <w:rPr>
                      <w:rFonts w:ascii="宋体" w:hAnsi="宋体" w:cs="宋体" w:eastAsia="宋体"/>
                      <w:sz w:val="19"/>
                      <w:color w:val="0000FF"/>
                    </w:rPr>
                    <w:t>3. 探测器部分：</w:t>
                  </w:r>
                </w:p>
                <w:p>
                  <w:pPr>
                    <w:pStyle w:val="null3"/>
                  </w:pPr>
                  <w:r>
                    <w:rPr>
                      <w:rFonts w:ascii="宋体" w:hAnsi="宋体" w:cs="宋体" w:eastAsia="宋体"/>
                      <w:sz w:val="19"/>
                      <w:color w:val="0000FF"/>
                    </w:rPr>
                    <w:t>3.1 探测器类型：二维功能探测器</w:t>
                  </w:r>
                </w:p>
                <w:p>
                  <w:pPr>
                    <w:pStyle w:val="null3"/>
                  </w:pPr>
                  <w:r>
                    <w:rPr>
                      <w:rFonts w:ascii="宋体" w:hAnsi="宋体" w:cs="宋体" w:eastAsia="宋体"/>
                      <w:sz w:val="19"/>
                      <w:color w:val="0000FF"/>
                    </w:rPr>
                    <w:t>3.2 探测器芯片长宽比：≥1.1</w:t>
                  </w:r>
                </w:p>
                <w:p>
                  <w:pPr>
                    <w:pStyle w:val="null3"/>
                  </w:pPr>
                  <w:r>
                    <w:rPr>
                      <w:rFonts w:ascii="宋体" w:hAnsi="宋体" w:cs="宋体" w:eastAsia="宋体"/>
                      <w:sz w:val="19"/>
                      <w:color w:val="0000FF"/>
                    </w:rPr>
                    <w:t>3.3探测器背景≤0.1cps。</w:t>
                  </w:r>
                </w:p>
                <w:p>
                  <w:pPr>
                    <w:pStyle w:val="null3"/>
                  </w:pPr>
                  <w:r>
                    <w:rPr>
                      <w:rFonts w:ascii="宋体" w:hAnsi="宋体" w:cs="宋体" w:eastAsia="宋体"/>
                      <w:sz w:val="19"/>
                      <w:color w:val="0000FF"/>
                    </w:rPr>
                    <w:t>4. 光路部分</w:t>
                  </w:r>
                </w:p>
                <w:p>
                  <w:pPr>
                    <w:pStyle w:val="null3"/>
                  </w:pPr>
                  <w:r>
                    <w:rPr>
                      <w:rFonts w:ascii="宋体" w:hAnsi="宋体" w:cs="宋体" w:eastAsia="宋体"/>
                      <w:sz w:val="19"/>
                      <w:color w:val="0000FF"/>
                    </w:rPr>
                    <w:t>4.1 所有光学附件均采用模块化设计，采用无工具安装、拆卸方式</w:t>
                  </w:r>
                </w:p>
                <w:p>
                  <w:pPr>
                    <w:pStyle w:val="null3"/>
                  </w:pPr>
                  <w:r>
                    <w:rPr>
                      <w:rFonts w:ascii="宋体" w:hAnsi="宋体" w:cs="宋体" w:eastAsia="宋体"/>
                      <w:sz w:val="19"/>
                      <w:color w:val="0000FF"/>
                    </w:rPr>
                    <w:t>4.2 所有光学附件智能芯片识别、自动精确定位</w:t>
                  </w:r>
                </w:p>
                <w:p>
                  <w:pPr>
                    <w:pStyle w:val="null3"/>
                  </w:pPr>
                  <w:r>
                    <w:rPr>
                      <w:rFonts w:ascii="宋体" w:hAnsi="宋体" w:cs="宋体" w:eastAsia="宋体"/>
                      <w:sz w:val="19"/>
                      <w:color w:val="0000FF"/>
                    </w:rPr>
                    <w:t>4.3 配备点光源</w:t>
                  </w:r>
                </w:p>
                <w:p>
                  <w:pPr>
                    <w:pStyle w:val="null3"/>
                  </w:pPr>
                  <w:r>
                    <w:rPr>
                      <w:rFonts w:ascii="宋体" w:hAnsi="宋体" w:cs="宋体" w:eastAsia="宋体"/>
                      <w:sz w:val="19"/>
                      <w:color w:val="0000FF"/>
                    </w:rPr>
                    <w:t>5.样品台</w:t>
                  </w:r>
                </w:p>
                <w:p>
                  <w:pPr>
                    <w:pStyle w:val="null3"/>
                    <w:jc w:val="left"/>
                  </w:pPr>
                  <w:r>
                    <w:rPr>
                      <w:rFonts w:ascii="宋体" w:hAnsi="宋体" w:cs="宋体" w:eastAsia="宋体"/>
                      <w:sz w:val="19"/>
                      <w:color w:val="0000FF"/>
                    </w:rPr>
                    <w:t>5.1 标准粉末样品台</w:t>
                  </w:r>
                </w:p>
                <w:p>
                  <w:pPr>
                    <w:pStyle w:val="null3"/>
                    <w:jc w:val="left"/>
                  </w:pPr>
                  <w:r>
                    <w:rPr>
                      <w:rFonts w:ascii="宋体" w:hAnsi="宋体" w:cs="宋体" w:eastAsia="宋体"/>
                      <w:sz w:val="19"/>
                      <w:color w:val="0000FF"/>
                    </w:rPr>
                    <w:t>5.2 旋转反射透射多功能样品台</w:t>
                  </w:r>
                </w:p>
                <w:p>
                  <w:pPr>
                    <w:pStyle w:val="null3"/>
                    <w:jc w:val="left"/>
                  </w:pPr>
                  <w:r>
                    <w:rPr>
                      <w:rFonts w:ascii="宋体" w:hAnsi="宋体" w:cs="宋体" w:eastAsia="宋体"/>
                      <w:sz w:val="19"/>
                      <w:color w:val="0000FF"/>
                    </w:rPr>
                    <w:t>5.2.1 样品台可拓展透射模式</w:t>
                  </w:r>
                </w:p>
                <w:p>
                  <w:pPr>
                    <w:pStyle w:val="null3"/>
                    <w:jc w:val="left"/>
                  </w:pPr>
                  <w:r>
                    <w:rPr>
                      <w:rFonts w:ascii="宋体" w:hAnsi="宋体" w:cs="宋体" w:eastAsia="宋体"/>
                      <w:sz w:val="19"/>
                      <w:color w:val="0000FF"/>
                    </w:rPr>
                    <w:t>5.2.2 样品台具备PHI轴自转功能，转速可调</w:t>
                  </w:r>
                </w:p>
                <w:p>
                  <w:pPr>
                    <w:pStyle w:val="null3"/>
                    <w:jc w:val="left"/>
                  </w:pPr>
                  <w:r>
                    <w:rPr>
                      <w:rFonts w:ascii="宋体" w:hAnsi="宋体" w:cs="宋体" w:eastAsia="宋体"/>
                      <w:sz w:val="19"/>
                      <w:color w:val="0000FF"/>
                    </w:rPr>
                    <w:t>6. 仪器控制和数据采集系统</w:t>
                  </w:r>
                </w:p>
                <w:p>
                  <w:pPr>
                    <w:pStyle w:val="null3"/>
                    <w:jc w:val="left"/>
                  </w:pPr>
                  <w:r>
                    <w:rPr>
                      <w:rFonts w:ascii="宋体" w:hAnsi="宋体" w:cs="宋体" w:eastAsia="宋体"/>
                      <w:sz w:val="19"/>
                      <w:color w:val="0000FF"/>
                    </w:rPr>
                    <w:t>6.1 酷睿i7或以上，16 G 内存或以上，2TB 硬盘或以上，27”液晶显示器或以上</w:t>
                  </w:r>
                </w:p>
                <w:p>
                  <w:pPr>
                    <w:pStyle w:val="null3"/>
                    <w:jc w:val="left"/>
                  </w:pPr>
                  <w:r>
                    <w:rPr>
                      <w:rFonts w:ascii="宋体" w:hAnsi="宋体" w:cs="宋体" w:eastAsia="宋体"/>
                      <w:sz w:val="19"/>
                      <w:color w:val="0000FF"/>
                    </w:rPr>
                    <w:t>6.2 仪器控制和数据采集软件</w:t>
                  </w:r>
                </w:p>
                <w:p>
                  <w:pPr>
                    <w:pStyle w:val="null3"/>
                    <w:jc w:val="left"/>
                  </w:pPr>
                  <w:r>
                    <w:rPr>
                      <w:rFonts w:ascii="宋体" w:hAnsi="宋体" w:cs="宋体" w:eastAsia="宋体"/>
                      <w:sz w:val="19"/>
                      <w:color w:val="0000FF"/>
                    </w:rPr>
                    <w:t>7. 其它应用软件：</w:t>
                  </w:r>
                </w:p>
                <w:p>
                  <w:pPr>
                    <w:pStyle w:val="null3"/>
                  </w:pPr>
                  <w:r>
                    <w:rPr>
                      <w:rFonts w:ascii="宋体" w:hAnsi="宋体" w:cs="宋体" w:eastAsia="宋体"/>
                      <w:sz w:val="19"/>
                      <w:color w:val="0000FF"/>
                    </w:rPr>
                    <w:t>7.1 物相检索软件：含原始数据直接检索功能</w:t>
                  </w:r>
                </w:p>
                <w:p>
                  <w:pPr>
                    <w:pStyle w:val="null3"/>
                  </w:pPr>
                  <w:r>
                    <w:rPr>
                      <w:rFonts w:ascii="宋体" w:hAnsi="宋体" w:cs="宋体" w:eastAsia="宋体"/>
                      <w:sz w:val="19"/>
                      <w:color w:val="0000FF"/>
                    </w:rPr>
                    <w:t>7.2 物相定量分析：可编程定量分析软件</w:t>
                  </w:r>
                </w:p>
                <w:p>
                  <w:pPr>
                    <w:pStyle w:val="null3"/>
                  </w:pPr>
                  <w:r>
                    <w:rPr>
                      <w:rFonts w:ascii="宋体" w:hAnsi="宋体" w:cs="宋体" w:eastAsia="宋体"/>
                      <w:sz w:val="19"/>
                      <w:color w:val="0000FF"/>
                    </w:rPr>
                    <w:t>7.3 无标样晶粒大小分析及微观应力分析</w:t>
                  </w:r>
                </w:p>
                <w:p>
                  <w:pPr>
                    <w:pStyle w:val="null3"/>
                  </w:pPr>
                  <w:r>
                    <w:rPr>
                      <w:rFonts w:ascii="宋体" w:hAnsi="宋体" w:cs="宋体" w:eastAsia="宋体"/>
                      <w:sz w:val="19"/>
                      <w:color w:val="0000FF"/>
                    </w:rPr>
                    <w:t>7.4 粉末数据指标化、结构精修、从头结构解析以及无标样定量分析软件</w:t>
                  </w:r>
                </w:p>
                <w:p>
                  <w:pPr>
                    <w:pStyle w:val="null3"/>
                    <w:jc w:val="left"/>
                  </w:pPr>
                  <w:r>
                    <w:rPr>
                      <w:rFonts w:ascii="宋体" w:hAnsi="宋体" w:cs="宋体" w:eastAsia="宋体"/>
                      <w:sz w:val="19"/>
                      <w:color w:val="0000FF"/>
                    </w:rPr>
                    <w:t>8. 循环水冷系统：满足相应系统连续满功率运行（国内供货）</w:t>
                  </w:r>
                </w:p>
                <w:p>
                  <w:pPr>
                    <w:pStyle w:val="null3"/>
                    <w:jc w:val="left"/>
                  </w:pPr>
                  <w:r>
                    <w:rPr>
                      <w:rFonts w:ascii="宋体" w:hAnsi="宋体" w:cs="宋体" w:eastAsia="宋体"/>
                      <w:sz w:val="19"/>
                      <w:color w:val="0000FF"/>
                    </w:rPr>
                    <w:t>9. 不间断电源UPS：满足相应系统对电源稳压需求，市电中断后可继续供电2h（国内供货）</w:t>
                  </w:r>
                </w:p>
                <w:p>
                  <w:pPr>
                    <w:pStyle w:val="null3"/>
                    <w:jc w:val="left"/>
                  </w:pPr>
                  <w:r>
                    <w:rPr>
                      <w:rFonts w:ascii="宋体" w:hAnsi="宋体" w:cs="宋体" w:eastAsia="宋体"/>
                      <w:sz w:val="19"/>
                      <w:color w:val="0000FF"/>
                    </w:rPr>
                    <w:t>（注：所有技术参数均需满足采购需求，不得负偏离；所有技术参数提供佐证资料（不限于官方截图或产品彩页或技术白皮书等任意一种，不提供视为负偏离））</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19"/>
                      <w:color w:val="0000FF"/>
                    </w:rPr>
                    <w:t>1</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19"/>
                      <w:color w:val="0000FF"/>
                    </w:rPr>
                    <w:t>台</w:t>
                  </w:r>
                </w:p>
              </w:tc>
            </w:tr>
          </w:tbl>
          <w:p/>
        </w:tc>
      </w:tr>
    </w:tbl>
    <w:p>
      <w:pPr>
        <w:pStyle w:val="null3"/>
        <w:outlineLvl w:val="2"/>
      </w:pPr>
      <w:r>
        <w:rPr>
          <w:sz w:val="28"/>
          <w:b/>
        </w:rPr>
        <w:t>3.4商务要求</w:t>
      </w:r>
    </w:p>
    <w:p>
      <w:pPr>
        <w:pStyle w:val="null3"/>
        <w:outlineLvl w:val="3"/>
      </w:pPr>
      <w:r>
        <w:rPr>
          <w:sz w:val="24"/>
          <w:b/>
        </w:rPr>
        <w:t>3.4.1交货时间</w:t>
      </w:r>
    </w:p>
    <w:p>
      <w:pPr>
        <w:pStyle w:val="null3"/>
      </w:pPr>
      <w:r>
        <w:rPr/>
        <w:t>采购包1：</w:t>
      </w:r>
    </w:p>
    <w:p>
      <w:pPr>
        <w:pStyle w:val="null3"/>
      </w:pPr>
      <w:r>
        <w:rPr/>
        <w:t>自合同签订后120日历日。</w:t>
      </w:r>
    </w:p>
    <w:p>
      <w:pPr>
        <w:pStyle w:val="null3"/>
      </w:pPr>
      <w:r>
        <w:rPr/>
        <w:t>采购包2：</w:t>
      </w:r>
    </w:p>
    <w:p>
      <w:pPr>
        <w:pStyle w:val="null3"/>
      </w:pPr>
      <w:r>
        <w:rPr/>
        <w:t>自合同签订后120日历日。</w:t>
      </w:r>
    </w:p>
    <w:p>
      <w:pPr>
        <w:pStyle w:val="null3"/>
      </w:pPr>
      <w:r>
        <w:rPr/>
        <w:t>采购包3：</w:t>
      </w:r>
    </w:p>
    <w:p>
      <w:pPr>
        <w:pStyle w:val="null3"/>
      </w:pPr>
      <w:r>
        <w:rPr/>
        <w:t>自合同签订后240日历日。</w:t>
      </w:r>
    </w:p>
    <w:p>
      <w:pPr>
        <w:pStyle w:val="null3"/>
        <w:outlineLvl w:val="3"/>
      </w:pPr>
      <w:r>
        <w:rPr>
          <w:sz w:val="24"/>
          <w:b/>
        </w:rPr>
        <w:t>3.4.2交货地点和方式</w:t>
      </w:r>
    </w:p>
    <w:p>
      <w:pPr>
        <w:pStyle w:val="null3"/>
      </w:pPr>
      <w:r>
        <w:rPr/>
        <w:t>采购包1：</w:t>
      </w:r>
    </w:p>
    <w:p>
      <w:pPr>
        <w:pStyle w:val="null3"/>
      </w:pPr>
      <w:r>
        <w:rPr/>
        <w:t>西北大学指定地点。</w:t>
      </w:r>
    </w:p>
    <w:p>
      <w:pPr>
        <w:pStyle w:val="null3"/>
      </w:pPr>
      <w:r>
        <w:rPr/>
        <w:t>采购包2：</w:t>
      </w:r>
    </w:p>
    <w:p>
      <w:pPr>
        <w:pStyle w:val="null3"/>
      </w:pPr>
      <w:r>
        <w:rPr/>
        <w:t>西北大学指定地点。</w:t>
      </w:r>
    </w:p>
    <w:p>
      <w:pPr>
        <w:pStyle w:val="null3"/>
      </w:pPr>
      <w:r>
        <w:rPr/>
        <w:t>采购包3：</w:t>
      </w:r>
    </w:p>
    <w:p>
      <w:pPr>
        <w:pStyle w:val="null3"/>
      </w:pPr>
      <w:r>
        <w:rPr/>
        <w:t>西北大学指定地点。</w:t>
      </w:r>
    </w:p>
    <w:p>
      <w:pPr>
        <w:pStyle w:val="null3"/>
        <w:outlineLvl w:val="3"/>
      </w:pPr>
      <w:r>
        <w:rPr>
          <w:sz w:val="24"/>
          <w:b/>
        </w:rPr>
        <w:t>3.4.3支付方式</w:t>
      </w:r>
    </w:p>
    <w:p>
      <w:pPr>
        <w:pStyle w:val="null3"/>
      </w:pPr>
      <w:r>
        <w:rPr/>
        <w:t>采购包1：</w:t>
      </w:r>
    </w:p>
    <w:p>
      <w:pPr>
        <w:pStyle w:val="null3"/>
      </w:pPr>
      <w:r>
        <w:rPr/>
        <w:t>一次付清</w:t>
      </w:r>
    </w:p>
    <w:p>
      <w:pPr>
        <w:pStyle w:val="null3"/>
      </w:pPr>
      <w:r>
        <w:rPr/>
        <w:t>采购包2：</w:t>
      </w:r>
    </w:p>
    <w:p>
      <w:pPr>
        <w:pStyle w:val="null3"/>
      </w:pPr>
      <w:r>
        <w:rPr/>
        <w:t>一次付清</w:t>
      </w:r>
    </w:p>
    <w:p>
      <w:pPr>
        <w:pStyle w:val="null3"/>
      </w:pPr>
      <w:r>
        <w:rPr/>
        <w:t>采购包3：</w:t>
      </w:r>
    </w:p>
    <w:p>
      <w:pPr>
        <w:pStyle w:val="null3"/>
      </w:pPr>
      <w:r>
        <w:rPr/>
        <w:t>一次付清</w:t>
      </w:r>
    </w:p>
    <w:p>
      <w:pPr>
        <w:pStyle w:val="null3"/>
        <w:outlineLvl w:val="3"/>
      </w:pPr>
      <w:r>
        <w:rPr>
          <w:sz w:val="24"/>
          <w:b/>
        </w:rPr>
        <w:t>3.4.4支付约定</w:t>
      </w:r>
    </w:p>
    <w:p>
      <w:pPr>
        <w:pStyle w:val="null3"/>
      </w:pPr>
      <w:r>
        <w:rPr/>
        <w:t>采购包1：</w:t>
      </w:r>
      <w:r>
        <w:rPr/>
        <w:t xml:space="preserve"> 付款条件说明： </w:t>
      </w:r>
      <w:r>
        <w:rPr/>
        <w:t>国产设备：合同生效后，中标供应商开具合同金额等额银行保函，采购人收到银行保函正本后预付合同货款，待货物到达指定地点、安装调试验收合格后，采购人退还银行保函正本。 进口设备：合同生效后，由采购人通过进出口业务代理公司向中标供应商开出100％信用证，待货物到货、安装调试、并经学校组织验收合格后，由采购人通知进出口业务代理公司向中标供应商解付，</w:t>
      </w:r>
      <w:r>
        <w:rPr/>
        <w:t xml:space="preserve"> ，达到付款条件起 </w:t>
      </w:r>
      <w:r>
        <w:rPr/>
        <w:t>30</w:t>
      </w:r>
      <w:r>
        <w:rPr/>
        <w:t xml:space="preserve"> 日内，支付合同总金额的 </w:t>
      </w:r>
      <w:r>
        <w:rPr/>
        <w:t>100.00</w:t>
      </w:r>
      <w:r>
        <w:rPr/>
        <w:t>%。</w:t>
      </w:r>
    </w:p>
    <w:p>
      <w:pPr>
        <w:pStyle w:val="null3"/>
      </w:pPr>
      <w:r>
        <w:rPr/>
        <w:t>采购包2：</w:t>
      </w:r>
      <w:r>
        <w:rPr/>
        <w:t xml:space="preserve"> 付款条件说明： </w:t>
      </w:r>
      <w:r>
        <w:rPr/>
        <w:t>国产设备：合同生效后，中标供应商开具合同金额等额银行保函，采购人收到银行保函正本后预付合同货款，待货物到达指定地点、安装调试验收合格后，采购人退还银行保函正本。 进口设备：合同生效后，由采购人通过进出口业务代理公司向中标供应商开出100％信用证，待货物到货、安装调试、并经学校组织验收合格后，由采购人通知进出口业务代理公司向中标供应商解付，</w:t>
      </w:r>
      <w:r>
        <w:rPr/>
        <w:t xml:space="preserve"> ，达到付款条件起 </w:t>
      </w:r>
      <w:r>
        <w:rPr/>
        <w:t>30</w:t>
      </w:r>
      <w:r>
        <w:rPr/>
        <w:t xml:space="preserve"> 日内，支付合同总金额的 </w:t>
      </w:r>
      <w:r>
        <w:rPr/>
        <w:t>100.00</w:t>
      </w:r>
      <w:r>
        <w:rPr/>
        <w:t>%。</w:t>
      </w:r>
    </w:p>
    <w:p>
      <w:pPr>
        <w:pStyle w:val="null3"/>
      </w:pPr>
      <w:r>
        <w:rPr/>
        <w:t>采购包3：</w:t>
      </w:r>
      <w:r>
        <w:rPr/>
        <w:t xml:space="preserve"> 付款条件说明： </w:t>
      </w:r>
      <w:r>
        <w:rPr/>
        <w:t>国产设备：合同生效后，中标供应商开具合同金额等额银行保函，采购人收到银行保函正本后预付合同货款，待货物到达指定地点、安装调试验收合格后，采购人退还银行保函正本。 进口设备：合同生效后，由采购人通过进出口业务代理公司向中标供应商开出100％信用证，待货物到货、安装调试、并经学校组织验收合格后，由采购人通知进出口业务代理公司向中标供应商解付</w:t>
      </w:r>
      <w:r>
        <w:rPr/>
        <w:t xml:space="preserve"> ，达到付款条件起 </w:t>
      </w:r>
      <w:r>
        <w:rPr/>
        <w:t>30</w:t>
      </w:r>
      <w:r>
        <w:rPr/>
        <w:t xml:space="preserve"> 日内，支付合同总金额的 </w:t>
      </w:r>
      <w:r>
        <w:rPr/>
        <w:t>100.00</w:t>
      </w:r>
      <w:r>
        <w:rPr/>
        <w:t>%。</w:t>
      </w:r>
    </w:p>
    <w:p>
      <w:pPr>
        <w:pStyle w:val="null3"/>
        <w:outlineLvl w:val="3"/>
      </w:pPr>
      <w:r>
        <w:rPr>
          <w:sz w:val="24"/>
          <w:b/>
        </w:rPr>
        <w:t>3.4.5验收标准和方法</w:t>
      </w:r>
    </w:p>
    <w:p>
      <w:pPr>
        <w:pStyle w:val="null3"/>
      </w:pPr>
      <w:r>
        <w:rPr/>
        <w:t>采购包1：</w:t>
      </w:r>
    </w:p>
    <w:p>
      <w:pPr>
        <w:pStyle w:val="null3"/>
      </w:pPr>
      <w:r>
        <w:rPr/>
        <w:t>（1）验收分初次开箱验收和学校最终验收两个阶段，以最终验收为准； （2）货物到货后，甲、乙双方共同开箱验收。如属于检验检疫法检目录内货物，由甲乙双方会同海关共同开箱验收。在检查货物原产地、型号、规格、配置符合合同要求后，由乙方负责安装调试、甲方负责技术验收（乙方协助），验收以国内行业标准或合同文本货物供货配置清单中描述的有关技术要求为准； （3）在货物安装调试运行正常后，甲方（采购单位）按学校相关业务部门规定提交验收申请，学校根据采购单位技术验收结果，组织有关专家进行货物的最终验收。</w:t>
      </w:r>
    </w:p>
    <w:p>
      <w:pPr>
        <w:pStyle w:val="null3"/>
      </w:pPr>
      <w:r>
        <w:rPr/>
        <w:t>采购包2：</w:t>
      </w:r>
    </w:p>
    <w:p>
      <w:pPr>
        <w:pStyle w:val="null3"/>
      </w:pPr>
      <w:r>
        <w:rPr/>
        <w:t>（1）验收分初次开箱验收和学校最终验收两个阶段，以最终验收为准； （2）货物到货后，甲、乙双方共同开箱验收。如属于检验检疫法检目录内货物，由甲乙双方会同海关共同开箱验收。在检查货物原产地、型号、规格、配置符合合同要求后，由乙方负责安装调试、甲方负责技术验收（乙方协助），验收以国内行业标准或合同文本货物供货配置清单中描述的有关技术要求为准； （3）在货物安装调试运行正常后，甲方（采购单位）按学校相关业务部门规定提交验收申请，学校根据采购单位技术验收结果，组织有关专家进行货物的最终验收。</w:t>
      </w:r>
    </w:p>
    <w:p>
      <w:pPr>
        <w:pStyle w:val="null3"/>
      </w:pPr>
      <w:r>
        <w:rPr/>
        <w:t>采购包3：</w:t>
      </w:r>
    </w:p>
    <w:p>
      <w:pPr>
        <w:pStyle w:val="null3"/>
      </w:pPr>
      <w:r>
        <w:rPr/>
        <w:t>（1）验收分初次开箱验收和学校最终验收两个阶段，以最终验收为准； （2）货物到货后，甲、乙双方共同开箱验收。如属于检验检疫法检目录内货物，由甲乙双方会同海关共同开箱验收。在检查货物原产地、型号、规格、配置符合合同要求后，由乙方负责安装调试、甲方负责技术验收（乙方协助），验收以国内行业标准或合同文本货物供货配置清单中描述的有关技术要求为准； （3）在货物安装调试运行正常后，甲方（采购单位）按学校相关业务部门规定提交验收申请，学校根据采购单位技术验收结果，组织有关专家进行货物的最终验收。</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采购包2：</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采购包3：</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质保期：2年。 响应时效：即时响应（包括电话响应）；电话响应无法解决时，4小时内到达现场。修复时间 24小时内；如48小时内无法修复，应提供相应解决方案。</w:t>
      </w:r>
    </w:p>
    <w:p>
      <w:pPr>
        <w:pStyle w:val="null3"/>
      </w:pPr>
      <w:r>
        <w:rPr/>
        <w:t>采购包2：</w:t>
      </w:r>
    </w:p>
    <w:p>
      <w:pPr>
        <w:pStyle w:val="null3"/>
      </w:pPr>
      <w:r>
        <w:rPr/>
        <w:t>质保期：2年。 响应时效：即时响应（包括电话响应）；电话响应无法解决时，4小时内到达现场。修复时间 24小时内；如48小时内无法修复，应提供相应解决方案。</w:t>
      </w:r>
    </w:p>
    <w:p>
      <w:pPr>
        <w:pStyle w:val="null3"/>
      </w:pPr>
      <w:r>
        <w:rPr/>
        <w:t>采购包3：</w:t>
      </w:r>
    </w:p>
    <w:p>
      <w:pPr>
        <w:pStyle w:val="null3"/>
      </w:pPr>
      <w:r>
        <w:rPr/>
        <w:t>质保期：1年。 响应时效：即时响应（包括电话响应）；电话响应无法解决时，4小时内到达现场。修复时间 24小时内；如48小时内无法修复，应提供相应解决方案。</w:t>
      </w:r>
    </w:p>
    <w:p>
      <w:pPr>
        <w:pStyle w:val="null3"/>
        <w:outlineLvl w:val="3"/>
      </w:pPr>
      <w:r>
        <w:rPr>
          <w:sz w:val="24"/>
          <w:b/>
        </w:rPr>
        <w:t>3.4.8违约责任及解决争议的方法</w:t>
      </w:r>
    </w:p>
    <w:p>
      <w:pPr>
        <w:pStyle w:val="null3"/>
      </w:pPr>
      <w:r>
        <w:rPr/>
        <w:t>采购包1：</w:t>
      </w:r>
    </w:p>
    <w:p>
      <w:pPr>
        <w:pStyle w:val="null3"/>
      </w:pPr>
      <w:r>
        <w:rPr/>
        <w:t>依照采购方要求。</w:t>
      </w:r>
    </w:p>
    <w:p>
      <w:pPr>
        <w:pStyle w:val="null3"/>
      </w:pPr>
      <w:r>
        <w:rPr/>
        <w:t>采购包2：</w:t>
      </w:r>
    </w:p>
    <w:p>
      <w:pPr>
        <w:pStyle w:val="null3"/>
      </w:pPr>
      <w:r>
        <w:rPr/>
        <w:t>依照采购方要求。</w:t>
      </w:r>
    </w:p>
    <w:p>
      <w:pPr>
        <w:pStyle w:val="null3"/>
      </w:pPr>
      <w:r>
        <w:rPr/>
        <w:t>采购包3：</w:t>
      </w:r>
    </w:p>
    <w:p>
      <w:pPr>
        <w:pStyle w:val="null3"/>
      </w:pPr>
      <w:r>
        <w:rPr/>
        <w:t>依照采购方要求。</w:t>
      </w:r>
    </w:p>
    <w:p>
      <w:pPr>
        <w:pStyle w:val="null3"/>
        <w:jc w:val="left"/>
        <w:outlineLvl w:val="3"/>
      </w:pPr>
      <w:r>
        <w:rPr>
          <w:sz w:val="24"/>
          <w:b/>
        </w:rPr>
        <w:t>3.5其他要求</w:t>
      </w:r>
    </w:p>
    <w:p>
      <w:pPr>
        <w:pStyle w:val="null3"/>
      </w:pPr>
      <w:r>
        <w:rPr/>
        <w:t>采购包1：</w:t>
      </w:r>
    </w:p>
    <w:p>
      <w:pPr>
        <w:pStyle w:val="null3"/>
      </w:pPr>
      <w:r>
        <w:rPr/>
        <w:t>（一）售后服务要求： 1.设备的质保期为设备验收合格后2年。 2.质保期内，若发生产品质量问题，乙方应免费解决。质保期外，乙方终身维护设备。 3.免费为甲方在货物使用地提供不少于10人的操作、保养及维修培训。 （二）违约责任：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pPr>
      <w:r>
        <w:rPr/>
        <w:t>采购包2：</w:t>
      </w:r>
    </w:p>
    <w:p>
      <w:pPr>
        <w:pStyle w:val="null3"/>
      </w:pPr>
      <w:r>
        <w:rPr/>
        <w:t>（一）售后服务要求： 1.设备的质保期为设备验收合格后2年。 2.质保期内，若发生产品质量问题，乙方应免费解决。质保期外，乙方终身维护设备。 3.免费为甲方在货物使用地提供不少于10人的操作、保养及维修培训。 （二）违约责任：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pPr>
      <w:r>
        <w:rPr/>
        <w:t>采购包3：</w:t>
      </w:r>
    </w:p>
    <w:p>
      <w:pPr>
        <w:pStyle w:val="null3"/>
      </w:pPr>
      <w:r>
        <w:rPr/>
        <w:t>（一）售后服务要求： 1.设备的质保期为设备验收合格后1年。 2.质保期内，若发生产品质量问题，乙方应免费解决；质保期外，乙方终身维护设备。 3.免费为甲方在货物使用地提供1—3人的操作、保养及维修培训。 （二）违约责任：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资格证明材料 响应函</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资格证明材料 响应函</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资格证明材料 响应函</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落实政府采购政策需满足的资格要求</w:t>
            </w:r>
          </w:p>
        </w:tc>
        <w:tc>
          <w:tcPr>
            <w:tcW w:type="dxa" w:w="3322"/>
          </w:tcPr>
          <w:p>
            <w:pPr>
              <w:pStyle w:val="null3"/>
            </w:pPr>
            <w:r>
              <w:rPr/>
              <w:t>①《关于在政府采购活动中查询及使用信用记录有关问题的通知》（财库〔2016〕125号）； ②《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③国务院办公厅《关于建立政府强制采购节能产品制度的通知》（国办发〔2007〕51号）、财政部、国家发改委、生态环境部、市场监督总局联合印发《关于调整优化节能产品、环境标志产品政府采购执行机制的通知》（财库〔2019〕9号）； ④《陕西省财政厅关于加快推进我省中小企业政府采购信用融资工作的通知》（陕财办采〔2020〕15号）、陕西省财政厅关于印发《陕西省中小企业政府采购信用融资办法》（陕财办采〔2018〕23号）； ⑤其他需要落实的政府采购政策；</w:t>
            </w:r>
          </w:p>
        </w:tc>
        <w:tc>
          <w:tcPr>
            <w:tcW w:type="dxa" w:w="1661"/>
          </w:tcPr>
          <w:p>
            <w:pPr>
              <w:pStyle w:val="null3"/>
            </w:pPr>
            <w:r>
              <w:rPr/>
              <w:t>中小企业声明函 残疾人福利性单位声明函 监狱企业的证明文件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落实政府采购政策需满足的资格要求</w:t>
            </w:r>
          </w:p>
        </w:tc>
        <w:tc>
          <w:tcPr>
            <w:tcW w:type="dxa" w:w="3322"/>
          </w:tcPr>
          <w:p>
            <w:pPr>
              <w:pStyle w:val="null3"/>
            </w:pPr>
            <w:r>
              <w:rPr/>
              <w:t>①《关于在政府采购活动中查询及使用信用记录有关问题的通知》（财库〔2016〕125号）； ②《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③国务院办公厅《关于建立政府强制采购节能产品制度的通知》（国办发〔2007〕51号）、财政部、国家发改委、生态环境部、市场监督总局联合印发《关于调整优化节能产品、环境标志产品政府采购执行机制的通知》（财库〔2019〕9号）； ④《陕西省财政厅关于加快推进我省中小企业政府采购信用融资工作的通知》（陕财办采〔2020〕15号）、陕西省财政厅关于印发《陕西省中小企业政府采购信用融资办法》（陕财办采〔2018〕23号）； ⑤其他需要落实的政府采购政策；</w:t>
            </w:r>
          </w:p>
        </w:tc>
        <w:tc>
          <w:tcPr>
            <w:tcW w:type="dxa" w:w="1661"/>
          </w:tcPr>
          <w:p>
            <w:pPr>
              <w:pStyle w:val="null3"/>
            </w:pPr>
            <w:r>
              <w:rPr/>
              <w:t>中小企业声明函 残疾人福利性单位声明函 监狱企业的证明文件</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落实政府采购政策需满足的资格要求</w:t>
            </w:r>
          </w:p>
        </w:tc>
        <w:tc>
          <w:tcPr>
            <w:tcW w:type="dxa" w:w="3322"/>
          </w:tcPr>
          <w:p>
            <w:pPr>
              <w:pStyle w:val="null3"/>
            </w:pPr>
            <w:r>
              <w:rPr/>
              <w:t>①《关于在政府采购活动中查询及使用信用记录有关问题的通知》（财库〔2016〕125号）； ②《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③国务院办公厅《关于建立政府强制采购节能产品制度的通知》（国办发〔2007〕51号）、财政部、国家发改委、生态环境部、市场监督总局联合印发《关于调整优化节能产品、环境标志产品政府采购执行机制的通知》（财库〔2019〕9号）； ④《陕西省财政厅关于加快推进我省中小企业政府采购信用融资工作的通知》（陕财办采〔2020〕15号）、陕西省财政厅关于印发《陕西省中小企业政府采购信用融资办法》（陕财办采〔2018〕23号）； ⑤其他需要落实的政府采购政策；</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具有独立承担民事责任的能力</w:t>
            </w:r>
          </w:p>
        </w:tc>
        <w:tc>
          <w:tcPr>
            <w:tcW w:type="dxa" w:w="3322"/>
          </w:tcPr>
          <w:p>
            <w:pPr>
              <w:pStyle w:val="null3"/>
            </w:pPr>
            <w:r>
              <w:rPr/>
              <w:t>具有独立承担民事责任能力的法人、其他组织或自然人，提供合法有效的统一社会信用代码营业执照（事业单位提供法人证书，自然人提供身份证）；</w:t>
            </w:r>
          </w:p>
        </w:tc>
        <w:tc>
          <w:tcPr>
            <w:tcW w:type="dxa" w:w="1661"/>
          </w:tcPr>
          <w:p>
            <w:pPr>
              <w:pStyle w:val="null3"/>
            </w:pPr>
            <w:r>
              <w:rPr/>
              <w:t>资格证明材料</w:t>
            </w:r>
          </w:p>
        </w:tc>
      </w:tr>
      <w:tr>
        <w:tc>
          <w:tcPr>
            <w:tcW w:type="dxa" w:w="831"/>
          </w:tcPr>
          <w:p>
            <w:pPr>
              <w:pStyle w:val="null3"/>
            </w:pPr>
            <w:r>
              <w:rPr/>
              <w:t>2</w:t>
            </w:r>
          </w:p>
        </w:tc>
        <w:tc>
          <w:tcPr>
            <w:tcW w:type="dxa" w:w="2492"/>
          </w:tcPr>
          <w:p>
            <w:pPr>
              <w:pStyle w:val="null3"/>
            </w:pPr>
            <w:r>
              <w:rPr/>
              <w:t>具有良好的商业信誉和健全的财务会计制度</w:t>
            </w:r>
          </w:p>
        </w:tc>
        <w:tc>
          <w:tcPr>
            <w:tcW w:type="dxa" w:w="3322"/>
          </w:tcPr>
          <w:p>
            <w:pPr>
              <w:pStyle w:val="null3"/>
            </w:pPr>
            <w:r>
              <w:rPr/>
              <w:t>法人提供经审计的2023年度完整的财务报告（成立时间至响应文件递交截止时间不足一年的可提供成立后任意时段的资产负债表）或响应文件递交截止时间前六个月内银行出具的资信证明；其他组织和自然人提供银行出具的资信证明或 财务报表。注：①提供财务报告的，内容至少包括审计报告、附注。②提供资信证明的，必须提 供资信证明全部页以及基本户信息（提供开户许可证或提供基本银行账户信息），银行出具的存 款证明不能代替资信证明，存款证明无效；</w:t>
            </w:r>
          </w:p>
        </w:tc>
        <w:tc>
          <w:tcPr>
            <w:tcW w:type="dxa" w:w="1661"/>
          </w:tcPr>
          <w:p>
            <w:pPr>
              <w:pStyle w:val="null3"/>
            </w:pPr>
            <w:r>
              <w:rPr/>
              <w:t>资格证明材料</w:t>
            </w:r>
          </w:p>
        </w:tc>
      </w:tr>
      <w:tr>
        <w:tc>
          <w:tcPr>
            <w:tcW w:type="dxa" w:w="831"/>
          </w:tcPr>
          <w:p>
            <w:pPr>
              <w:pStyle w:val="null3"/>
            </w:pPr>
            <w:r>
              <w:rPr/>
              <w:t>3</w:t>
            </w:r>
          </w:p>
        </w:tc>
        <w:tc>
          <w:tcPr>
            <w:tcW w:type="dxa" w:w="2492"/>
          </w:tcPr>
          <w:p>
            <w:pPr>
              <w:pStyle w:val="null3"/>
            </w:pPr>
            <w:r>
              <w:rPr/>
              <w:t>有依法缴纳税收的良好记录</w:t>
            </w:r>
          </w:p>
        </w:tc>
        <w:tc>
          <w:tcPr>
            <w:tcW w:type="dxa" w:w="3322"/>
          </w:tcPr>
          <w:p>
            <w:pPr>
              <w:pStyle w:val="null3"/>
            </w:pPr>
            <w:r>
              <w:rPr/>
              <w:t>提供响应文件递交截止时间前一年内任意一个月依法缴纳税收的相关凭据（时间以税款所属日期为准，税种须包含增值税或企业所得税，凭据应有税务机关或 代收机关的公章或业务专用章）；其他组织和自然人提供缴纳税收的凭据；依法免税的供应商应 提供相关文件证明（成立不足一个月的提供依法纳税的承诺书，格式自拟；零报税的提供申报成 功的凭证）；</w:t>
            </w:r>
          </w:p>
        </w:tc>
        <w:tc>
          <w:tcPr>
            <w:tcW w:type="dxa" w:w="1661"/>
          </w:tcPr>
          <w:p>
            <w:pPr>
              <w:pStyle w:val="null3"/>
            </w:pPr>
            <w:r>
              <w:rPr/>
              <w:t>资格证明材料</w:t>
            </w:r>
          </w:p>
        </w:tc>
      </w:tr>
      <w:tr>
        <w:tc>
          <w:tcPr>
            <w:tcW w:type="dxa" w:w="831"/>
          </w:tcPr>
          <w:p>
            <w:pPr>
              <w:pStyle w:val="null3"/>
            </w:pPr>
            <w:r>
              <w:rPr/>
              <w:t>4</w:t>
            </w:r>
          </w:p>
        </w:tc>
        <w:tc>
          <w:tcPr>
            <w:tcW w:type="dxa" w:w="2492"/>
          </w:tcPr>
          <w:p>
            <w:pPr>
              <w:pStyle w:val="null3"/>
            </w:pPr>
            <w:r>
              <w:rPr/>
              <w:t>有依法缴纳社会保障资金的良好记录</w:t>
            </w:r>
          </w:p>
        </w:tc>
        <w:tc>
          <w:tcPr>
            <w:tcW w:type="dxa" w:w="3322"/>
          </w:tcPr>
          <w:p>
            <w:pPr>
              <w:pStyle w:val="null3"/>
            </w:pPr>
            <w:r>
              <w:rPr/>
              <w:t>供响应文件递交截止时间前一年内任意一个月已缴纳的社会保障资金的凭据（带有社保机构公章的缴存凭证或银行交纳单据，单据应显示社保缴存项（任一项）；通过代缴方式缴存的，需提供链条完整的证明材料，证明材料至少包括代缴方的缴存凭证、供应商向代缴方用于缴存社保的银行转账单据）；依法不需要缴纳社会保障资金的 供应商应提供相关文件证明（成立不足一个月的提供将依法交纳社会保障资金的承诺书，格式自拟）；</w:t>
            </w:r>
          </w:p>
        </w:tc>
        <w:tc>
          <w:tcPr>
            <w:tcW w:type="dxa" w:w="1661"/>
          </w:tcPr>
          <w:p>
            <w:pPr>
              <w:pStyle w:val="null3"/>
            </w:pPr>
            <w:r>
              <w:rPr/>
              <w:t>资格证明材料</w:t>
            </w:r>
          </w:p>
        </w:tc>
      </w:tr>
      <w:tr>
        <w:tc>
          <w:tcPr>
            <w:tcW w:type="dxa" w:w="831"/>
          </w:tcPr>
          <w:p>
            <w:pPr>
              <w:pStyle w:val="null3"/>
            </w:pPr>
            <w:r>
              <w:rPr/>
              <w:t>5</w:t>
            </w:r>
          </w:p>
        </w:tc>
        <w:tc>
          <w:tcPr>
            <w:tcW w:type="dxa" w:w="2492"/>
          </w:tcPr>
          <w:p>
            <w:pPr>
              <w:pStyle w:val="null3"/>
            </w:pPr>
            <w:r>
              <w:rPr/>
              <w:t>具有履行合同所必需的设备和专业技术能力</w:t>
            </w:r>
          </w:p>
        </w:tc>
        <w:tc>
          <w:tcPr>
            <w:tcW w:type="dxa" w:w="3322"/>
          </w:tcPr>
          <w:p>
            <w:pPr>
              <w:pStyle w:val="null3"/>
            </w:pPr>
            <w:r>
              <w:rPr/>
              <w:t>提供具有履行合同所必需的设备和专业技术能力的承诺；</w:t>
            </w:r>
          </w:p>
        </w:tc>
        <w:tc>
          <w:tcPr>
            <w:tcW w:type="dxa" w:w="1661"/>
          </w:tcPr>
          <w:p>
            <w:pPr>
              <w:pStyle w:val="null3"/>
            </w:pPr>
            <w:r>
              <w:rPr/>
              <w:t>资格证明材料</w:t>
            </w:r>
          </w:p>
        </w:tc>
      </w:tr>
      <w:tr>
        <w:tc>
          <w:tcPr>
            <w:tcW w:type="dxa" w:w="831"/>
          </w:tcPr>
          <w:p>
            <w:pPr>
              <w:pStyle w:val="null3"/>
            </w:pPr>
            <w:r>
              <w:rPr/>
              <w:t>6</w:t>
            </w:r>
          </w:p>
        </w:tc>
        <w:tc>
          <w:tcPr>
            <w:tcW w:type="dxa" w:w="2492"/>
          </w:tcPr>
          <w:p>
            <w:pPr>
              <w:pStyle w:val="null3"/>
            </w:pPr>
            <w:r>
              <w:rPr/>
              <w:t>参加政府采购活动前三年内，在经营活动中没有重大违法记录</w:t>
            </w:r>
          </w:p>
        </w:tc>
        <w:tc>
          <w:tcPr>
            <w:tcW w:type="dxa" w:w="3322"/>
          </w:tcPr>
          <w:p>
            <w:pPr>
              <w:pStyle w:val="null3"/>
            </w:pPr>
            <w:r>
              <w:rPr/>
              <w:t>提供参加政府采购活动前三年内，在经营活动中没有重大违法记录的书面声明；</w:t>
            </w:r>
          </w:p>
        </w:tc>
        <w:tc>
          <w:tcPr>
            <w:tcW w:type="dxa" w:w="1661"/>
          </w:tcPr>
          <w:p>
            <w:pPr>
              <w:pStyle w:val="null3"/>
            </w:pPr>
            <w:r>
              <w:rPr/>
              <w:t>资格证明材料</w:t>
            </w:r>
          </w:p>
        </w:tc>
      </w:tr>
      <w:tr>
        <w:tc>
          <w:tcPr>
            <w:tcW w:type="dxa" w:w="831"/>
          </w:tcPr>
          <w:p>
            <w:pPr>
              <w:pStyle w:val="null3"/>
            </w:pPr>
            <w:r>
              <w:rPr/>
              <w:t>7</w:t>
            </w:r>
          </w:p>
        </w:tc>
        <w:tc>
          <w:tcPr>
            <w:tcW w:type="dxa" w:w="2492"/>
          </w:tcPr>
          <w:p>
            <w:pPr>
              <w:pStyle w:val="null3"/>
            </w:pPr>
            <w:r>
              <w:rPr/>
              <w:t>法定代表人授权书、法定代表人身份证明合格</w:t>
            </w:r>
          </w:p>
        </w:tc>
        <w:tc>
          <w:tcPr>
            <w:tcW w:type="dxa" w:w="3322"/>
          </w:tcPr>
          <w:p>
            <w:pPr>
              <w:pStyle w:val="null3"/>
            </w:pPr>
            <w:r>
              <w:rPr/>
              <w:t>提供合格的法定代表人授权书（附法定代表人、被授权人身份证复印件）或法定代表人身份证明（法定代表人直接参加响应的）；</w:t>
            </w:r>
          </w:p>
        </w:tc>
        <w:tc>
          <w:tcPr>
            <w:tcW w:type="dxa" w:w="1661"/>
          </w:tcPr>
          <w:p>
            <w:pPr>
              <w:pStyle w:val="null3"/>
            </w:pPr>
            <w:r>
              <w:rPr/>
              <w:t>资格证明材料</w:t>
            </w:r>
          </w:p>
        </w:tc>
      </w:tr>
      <w:tr>
        <w:tc>
          <w:tcPr>
            <w:tcW w:type="dxa" w:w="831"/>
          </w:tcPr>
          <w:p>
            <w:pPr>
              <w:pStyle w:val="null3"/>
            </w:pPr>
            <w:r>
              <w:rPr/>
              <w:t>8</w:t>
            </w:r>
          </w:p>
        </w:tc>
        <w:tc>
          <w:tcPr>
            <w:tcW w:type="dxa" w:w="2492"/>
          </w:tcPr>
          <w:p>
            <w:pPr>
              <w:pStyle w:val="null3"/>
            </w:pPr>
            <w:r>
              <w:rPr/>
              <w:t>信用承诺</w:t>
            </w:r>
          </w:p>
        </w:tc>
        <w:tc>
          <w:tcPr>
            <w:tcW w:type="dxa" w:w="3322"/>
          </w:tcPr>
          <w:p>
            <w:pPr>
              <w:pStyle w:val="null3"/>
            </w:pPr>
            <w:r>
              <w:rPr/>
              <w:t>提供未被“信用中国”网站（www.creditchina.gov.cn）列入失信被执行人或重大税收违法失信主体名单，未被财政部门在中国政府采购网（www.ccgp.gov.cn）政府采购严重违 法失信行为记录名单中禁止参加政府采购活动的承诺；</w:t>
            </w:r>
          </w:p>
        </w:tc>
        <w:tc>
          <w:tcPr>
            <w:tcW w:type="dxa" w:w="1661"/>
          </w:tcPr>
          <w:p>
            <w:pPr>
              <w:pStyle w:val="null3"/>
            </w:pPr>
            <w:r>
              <w:rPr/>
              <w:t>资格证明材料</w:t>
            </w:r>
          </w:p>
        </w:tc>
      </w:tr>
      <w:tr>
        <w:tc>
          <w:tcPr>
            <w:tcW w:type="dxa" w:w="831"/>
          </w:tcPr>
          <w:p>
            <w:pPr>
              <w:pStyle w:val="null3"/>
            </w:pPr>
            <w:r>
              <w:rPr/>
              <w:t>9</w:t>
            </w:r>
          </w:p>
        </w:tc>
        <w:tc>
          <w:tcPr>
            <w:tcW w:type="dxa" w:w="2492"/>
          </w:tcPr>
          <w:p>
            <w:pPr>
              <w:pStyle w:val="null3"/>
            </w:pPr>
            <w:r>
              <w:rPr/>
              <w:t>进口产品授权书</w:t>
            </w:r>
          </w:p>
        </w:tc>
        <w:tc>
          <w:tcPr>
            <w:tcW w:type="dxa" w:w="3322"/>
          </w:tcPr>
          <w:p>
            <w:pPr>
              <w:pStyle w:val="null3"/>
            </w:pPr>
            <w:r>
              <w:rPr/>
              <w:t>若所响应产品为进口产品的，供应商须提供产品厂家授权书或总代理商授权书或具有授权权限的供应商对所响应进口产品的授权书。（如提供总代理商授权的须同时提供具有有效授权权限的相关证明文件，证明文件需能显示产品制造厂家对所响应产品授权链条的完整性）。</w:t>
            </w:r>
          </w:p>
        </w:tc>
        <w:tc>
          <w:tcPr>
            <w:tcW w:type="dxa" w:w="1661"/>
          </w:tcPr>
          <w:p>
            <w:pPr>
              <w:pStyle w:val="null3"/>
            </w:pPr>
            <w:r>
              <w:rPr/>
              <w:t>资格证明材料</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具有独立承担民事责任的能力</w:t>
            </w:r>
          </w:p>
        </w:tc>
        <w:tc>
          <w:tcPr>
            <w:tcW w:type="dxa" w:w="3322"/>
          </w:tcPr>
          <w:p>
            <w:pPr>
              <w:pStyle w:val="null3"/>
            </w:pPr>
            <w:r>
              <w:rPr/>
              <w:t>具有独立承担民事责任能力的法人、其他组织或自然人，提供合法有效的统一社会信用代码营业执照（事业单位提供法人证书，自然人提供身份证）；</w:t>
            </w:r>
          </w:p>
        </w:tc>
        <w:tc>
          <w:tcPr>
            <w:tcW w:type="dxa" w:w="1661"/>
          </w:tcPr>
          <w:p>
            <w:pPr>
              <w:pStyle w:val="null3"/>
            </w:pPr>
            <w:r>
              <w:rPr/>
              <w:t>资格证明材料</w:t>
            </w:r>
          </w:p>
        </w:tc>
      </w:tr>
      <w:tr>
        <w:tc>
          <w:tcPr>
            <w:tcW w:type="dxa" w:w="831"/>
          </w:tcPr>
          <w:p>
            <w:pPr>
              <w:pStyle w:val="null3"/>
            </w:pPr>
            <w:r>
              <w:rPr/>
              <w:t>2</w:t>
            </w:r>
          </w:p>
        </w:tc>
        <w:tc>
          <w:tcPr>
            <w:tcW w:type="dxa" w:w="2492"/>
          </w:tcPr>
          <w:p>
            <w:pPr>
              <w:pStyle w:val="null3"/>
            </w:pPr>
            <w:r>
              <w:rPr/>
              <w:t>具有良好的商业信誉和健全的财务会计制度</w:t>
            </w:r>
          </w:p>
        </w:tc>
        <w:tc>
          <w:tcPr>
            <w:tcW w:type="dxa" w:w="3322"/>
          </w:tcPr>
          <w:p>
            <w:pPr>
              <w:pStyle w:val="null3"/>
            </w:pPr>
            <w:r>
              <w:rPr/>
              <w:t>法人提供经审计的2023年度完整的财务报告（成立时间至响应文件递交截止时间不足一年的可提供成立后任意时段的资产负债表）或响应文件递交截止时间前六个月内银行出具的资信证明；其他组织和自然人提供银行出具的资信证明或 财务报表。注：①提供财务报告的，内容至少包括审计报告、附注。②提供资信证明的，必须提 供资信证明全部页以及基本户信息（提供开户许可证或提供基本银行账户信息），银行出具的存 款证明不能代替资信证明，存款证明无效；</w:t>
            </w:r>
          </w:p>
        </w:tc>
        <w:tc>
          <w:tcPr>
            <w:tcW w:type="dxa" w:w="1661"/>
          </w:tcPr>
          <w:p>
            <w:pPr>
              <w:pStyle w:val="null3"/>
            </w:pPr>
            <w:r>
              <w:rPr/>
              <w:t>资格证明材料</w:t>
            </w:r>
          </w:p>
        </w:tc>
      </w:tr>
      <w:tr>
        <w:tc>
          <w:tcPr>
            <w:tcW w:type="dxa" w:w="831"/>
          </w:tcPr>
          <w:p>
            <w:pPr>
              <w:pStyle w:val="null3"/>
            </w:pPr>
            <w:r>
              <w:rPr/>
              <w:t>3</w:t>
            </w:r>
          </w:p>
        </w:tc>
        <w:tc>
          <w:tcPr>
            <w:tcW w:type="dxa" w:w="2492"/>
          </w:tcPr>
          <w:p>
            <w:pPr>
              <w:pStyle w:val="null3"/>
            </w:pPr>
            <w:r>
              <w:rPr/>
              <w:t>有依法缴纳税收的良好记录</w:t>
            </w:r>
          </w:p>
        </w:tc>
        <w:tc>
          <w:tcPr>
            <w:tcW w:type="dxa" w:w="3322"/>
          </w:tcPr>
          <w:p>
            <w:pPr>
              <w:pStyle w:val="null3"/>
            </w:pPr>
            <w:r>
              <w:rPr/>
              <w:t>提供响应文件递交截止时间前一年内任意一个月依法缴纳税收的相关凭据（时间以税款所属日期为准，税种须包含增值税或企业所得税，凭据应有税务机关或 代收机关的公章或业务专用章）；其他组织和自然人提供缴纳税收的凭据；依法免税的供应商应 提供相关文件证明（成立不足一个月的提供依法纳税的承诺书，格式自拟；零报税的提供申报成 功的凭证）；</w:t>
            </w:r>
          </w:p>
        </w:tc>
        <w:tc>
          <w:tcPr>
            <w:tcW w:type="dxa" w:w="1661"/>
          </w:tcPr>
          <w:p>
            <w:pPr>
              <w:pStyle w:val="null3"/>
            </w:pPr>
            <w:r>
              <w:rPr/>
              <w:t>资格证明材料</w:t>
            </w:r>
          </w:p>
        </w:tc>
      </w:tr>
      <w:tr>
        <w:tc>
          <w:tcPr>
            <w:tcW w:type="dxa" w:w="831"/>
          </w:tcPr>
          <w:p>
            <w:pPr>
              <w:pStyle w:val="null3"/>
            </w:pPr>
            <w:r>
              <w:rPr/>
              <w:t>4</w:t>
            </w:r>
          </w:p>
        </w:tc>
        <w:tc>
          <w:tcPr>
            <w:tcW w:type="dxa" w:w="2492"/>
          </w:tcPr>
          <w:p>
            <w:pPr>
              <w:pStyle w:val="null3"/>
            </w:pPr>
            <w:r>
              <w:rPr/>
              <w:t>有依法缴纳社会保障资金的良好记录</w:t>
            </w:r>
          </w:p>
        </w:tc>
        <w:tc>
          <w:tcPr>
            <w:tcW w:type="dxa" w:w="3322"/>
          </w:tcPr>
          <w:p>
            <w:pPr>
              <w:pStyle w:val="null3"/>
            </w:pPr>
            <w:r>
              <w:rPr/>
              <w:t>提供响应文件递交截止时间前一年内任意一个月已缴纳的社会保障资金的凭据（带有社保机构公章的缴存凭证或银行交纳单据，单据应显示社保缴存项（任一项）；通过代缴方式缴存的，需提供链条完整的证明材料，证明材料至少包括代缴方的缴存凭证、供应商向代缴方用于缴存社保的银行转账单据）；依法不需要缴纳社会保障资金的 供应商应提供相关文件证明（成立不足一个月的提供将依法交纳社会保障资金的承诺书，格式自拟）；</w:t>
            </w:r>
          </w:p>
        </w:tc>
        <w:tc>
          <w:tcPr>
            <w:tcW w:type="dxa" w:w="1661"/>
          </w:tcPr>
          <w:p>
            <w:pPr>
              <w:pStyle w:val="null3"/>
            </w:pPr>
            <w:r>
              <w:rPr/>
              <w:t>资格证明材料</w:t>
            </w:r>
          </w:p>
        </w:tc>
      </w:tr>
      <w:tr>
        <w:tc>
          <w:tcPr>
            <w:tcW w:type="dxa" w:w="831"/>
          </w:tcPr>
          <w:p>
            <w:pPr>
              <w:pStyle w:val="null3"/>
            </w:pPr>
            <w:r>
              <w:rPr/>
              <w:t>5</w:t>
            </w:r>
          </w:p>
        </w:tc>
        <w:tc>
          <w:tcPr>
            <w:tcW w:type="dxa" w:w="2492"/>
          </w:tcPr>
          <w:p>
            <w:pPr>
              <w:pStyle w:val="null3"/>
            </w:pPr>
            <w:r>
              <w:rPr/>
              <w:t>具有履行合同所必需的设备和专业技术能力</w:t>
            </w:r>
          </w:p>
        </w:tc>
        <w:tc>
          <w:tcPr>
            <w:tcW w:type="dxa" w:w="3322"/>
          </w:tcPr>
          <w:p>
            <w:pPr>
              <w:pStyle w:val="null3"/>
            </w:pPr>
            <w:r>
              <w:rPr/>
              <w:t>提供具有履行合同所必需的设备和专业技术能力的承诺；</w:t>
            </w:r>
          </w:p>
        </w:tc>
        <w:tc>
          <w:tcPr>
            <w:tcW w:type="dxa" w:w="1661"/>
          </w:tcPr>
          <w:p>
            <w:pPr>
              <w:pStyle w:val="null3"/>
            </w:pPr>
            <w:r>
              <w:rPr/>
              <w:t>资格证明材料</w:t>
            </w:r>
          </w:p>
        </w:tc>
      </w:tr>
      <w:tr>
        <w:tc>
          <w:tcPr>
            <w:tcW w:type="dxa" w:w="831"/>
          </w:tcPr>
          <w:p>
            <w:pPr>
              <w:pStyle w:val="null3"/>
            </w:pPr>
            <w:r>
              <w:rPr/>
              <w:t>6</w:t>
            </w:r>
          </w:p>
        </w:tc>
        <w:tc>
          <w:tcPr>
            <w:tcW w:type="dxa" w:w="2492"/>
          </w:tcPr>
          <w:p>
            <w:pPr>
              <w:pStyle w:val="null3"/>
            </w:pPr>
            <w:r>
              <w:rPr/>
              <w:t>参加政府采购活动前三年内，在经营活动中没有重大违法记录</w:t>
            </w:r>
          </w:p>
        </w:tc>
        <w:tc>
          <w:tcPr>
            <w:tcW w:type="dxa" w:w="3322"/>
          </w:tcPr>
          <w:p>
            <w:pPr>
              <w:pStyle w:val="null3"/>
            </w:pPr>
            <w:r>
              <w:rPr/>
              <w:t>提供参加政府采购活动前三年内，在经营活动中没有重大违法记录的书面声明；</w:t>
            </w:r>
          </w:p>
        </w:tc>
        <w:tc>
          <w:tcPr>
            <w:tcW w:type="dxa" w:w="1661"/>
          </w:tcPr>
          <w:p>
            <w:pPr>
              <w:pStyle w:val="null3"/>
            </w:pPr>
            <w:r>
              <w:rPr/>
              <w:t>资格证明材料</w:t>
            </w:r>
          </w:p>
        </w:tc>
      </w:tr>
      <w:tr>
        <w:tc>
          <w:tcPr>
            <w:tcW w:type="dxa" w:w="831"/>
          </w:tcPr>
          <w:p>
            <w:pPr>
              <w:pStyle w:val="null3"/>
            </w:pPr>
            <w:r>
              <w:rPr/>
              <w:t>7</w:t>
            </w:r>
          </w:p>
        </w:tc>
        <w:tc>
          <w:tcPr>
            <w:tcW w:type="dxa" w:w="2492"/>
          </w:tcPr>
          <w:p>
            <w:pPr>
              <w:pStyle w:val="null3"/>
            </w:pPr>
            <w:r>
              <w:rPr/>
              <w:t>法定代表人授权书、法定代表人身份证明合格</w:t>
            </w:r>
          </w:p>
        </w:tc>
        <w:tc>
          <w:tcPr>
            <w:tcW w:type="dxa" w:w="3322"/>
          </w:tcPr>
          <w:p>
            <w:pPr>
              <w:pStyle w:val="null3"/>
            </w:pPr>
            <w:r>
              <w:rPr/>
              <w:t>提供合格的法定代表人授权书（附法定代表人、被授权人身份证复印件）或法定代表人身份证明（法定代表人直接参加响应的）；</w:t>
            </w:r>
          </w:p>
        </w:tc>
        <w:tc>
          <w:tcPr>
            <w:tcW w:type="dxa" w:w="1661"/>
          </w:tcPr>
          <w:p>
            <w:pPr>
              <w:pStyle w:val="null3"/>
            </w:pPr>
            <w:r>
              <w:rPr/>
              <w:t>资格证明材料</w:t>
            </w:r>
          </w:p>
        </w:tc>
      </w:tr>
      <w:tr>
        <w:tc>
          <w:tcPr>
            <w:tcW w:type="dxa" w:w="831"/>
          </w:tcPr>
          <w:p>
            <w:pPr>
              <w:pStyle w:val="null3"/>
            </w:pPr>
            <w:r>
              <w:rPr/>
              <w:t>8</w:t>
            </w:r>
          </w:p>
        </w:tc>
        <w:tc>
          <w:tcPr>
            <w:tcW w:type="dxa" w:w="2492"/>
          </w:tcPr>
          <w:p>
            <w:pPr>
              <w:pStyle w:val="null3"/>
            </w:pPr>
            <w:r>
              <w:rPr/>
              <w:t>信用承诺</w:t>
            </w:r>
          </w:p>
        </w:tc>
        <w:tc>
          <w:tcPr>
            <w:tcW w:type="dxa" w:w="3322"/>
          </w:tcPr>
          <w:p>
            <w:pPr>
              <w:pStyle w:val="null3"/>
            </w:pPr>
            <w:r>
              <w:rPr/>
              <w:t>提供未被“信用中国”网站（www.creditchina.gov.cn）列入失信被执行人或重大税收违法失信主体名单，未被财政部门在中国政府采购网（www.ccgp.gov.cn）政府采购严重违 法失信行为记录名单中禁止参加政府采购活动的承诺；</w:t>
            </w:r>
          </w:p>
        </w:tc>
        <w:tc>
          <w:tcPr>
            <w:tcW w:type="dxa" w:w="1661"/>
          </w:tcPr>
          <w:p>
            <w:pPr>
              <w:pStyle w:val="null3"/>
            </w:pPr>
            <w:r>
              <w:rPr/>
              <w:t>资格证明材料</w:t>
            </w:r>
          </w:p>
        </w:tc>
      </w:tr>
      <w:tr>
        <w:tc>
          <w:tcPr>
            <w:tcW w:type="dxa" w:w="831"/>
          </w:tcPr>
          <w:p>
            <w:pPr>
              <w:pStyle w:val="null3"/>
            </w:pPr>
            <w:r>
              <w:rPr/>
              <w:t>9</w:t>
            </w:r>
          </w:p>
        </w:tc>
        <w:tc>
          <w:tcPr>
            <w:tcW w:type="dxa" w:w="2492"/>
          </w:tcPr>
          <w:p>
            <w:pPr>
              <w:pStyle w:val="null3"/>
            </w:pPr>
            <w:r>
              <w:rPr/>
              <w:t>进口产品授权书</w:t>
            </w:r>
          </w:p>
        </w:tc>
        <w:tc>
          <w:tcPr>
            <w:tcW w:type="dxa" w:w="3322"/>
          </w:tcPr>
          <w:p>
            <w:pPr>
              <w:pStyle w:val="null3"/>
            </w:pPr>
            <w:r>
              <w:rPr/>
              <w:t>若所响应产品为进口产品的，供应商须提供产品厂家授权书或总代理商授权书或具有授权权限的供应商对所响应进口产品的授权书。（如提供总代理商授权的须同时提供具有有效授权权限的相关证明文件，证明文件需能显示产品制造厂家对所响应产品授权链条的完整性）。</w:t>
            </w:r>
          </w:p>
        </w:tc>
        <w:tc>
          <w:tcPr>
            <w:tcW w:type="dxa" w:w="1661"/>
          </w:tcPr>
          <w:p>
            <w:pPr>
              <w:pStyle w:val="null3"/>
            </w:pPr>
            <w:r>
              <w:rPr/>
              <w:t>资格证明材料</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具有独立承担民事责任的能力</w:t>
            </w:r>
          </w:p>
        </w:tc>
        <w:tc>
          <w:tcPr>
            <w:tcW w:type="dxa" w:w="3322"/>
          </w:tcPr>
          <w:p>
            <w:pPr>
              <w:pStyle w:val="null3"/>
            </w:pPr>
            <w:r>
              <w:rPr/>
              <w:t>具有独立承担民事责任能力的法人、其他组织或自然人，提供合法有效的统一社会信用代码营业执照（事业单位提供法人证书，自然人提供身份证）；</w:t>
            </w:r>
          </w:p>
        </w:tc>
        <w:tc>
          <w:tcPr>
            <w:tcW w:type="dxa" w:w="1661"/>
          </w:tcPr>
          <w:p>
            <w:pPr>
              <w:pStyle w:val="null3"/>
            </w:pPr>
            <w:r>
              <w:rPr/>
              <w:t>资格证明材料</w:t>
            </w:r>
          </w:p>
        </w:tc>
      </w:tr>
      <w:tr>
        <w:tc>
          <w:tcPr>
            <w:tcW w:type="dxa" w:w="831"/>
          </w:tcPr>
          <w:p>
            <w:pPr>
              <w:pStyle w:val="null3"/>
            </w:pPr>
            <w:r>
              <w:rPr/>
              <w:t>2</w:t>
            </w:r>
          </w:p>
        </w:tc>
        <w:tc>
          <w:tcPr>
            <w:tcW w:type="dxa" w:w="2492"/>
          </w:tcPr>
          <w:p>
            <w:pPr>
              <w:pStyle w:val="null3"/>
            </w:pPr>
            <w:r>
              <w:rPr/>
              <w:t>具有良好的商业信誉和健全的财务会计制度</w:t>
            </w:r>
          </w:p>
        </w:tc>
        <w:tc>
          <w:tcPr>
            <w:tcW w:type="dxa" w:w="3322"/>
          </w:tcPr>
          <w:p>
            <w:pPr>
              <w:pStyle w:val="null3"/>
            </w:pPr>
            <w:r>
              <w:rPr/>
              <w:t>法人提供经审计的2023年度完整的财务报告（成立时间至响应文件递交截止时间不足一年的可提供成立后任意时段的资产负债表）或响应文件递交截止时间前六个月内银行出具的资信证明；其他组织和自然人提供银行出具的资信证明或 财务报表。注：①提供财务报告的，内容至少包括审计报告、附注。②提供资信证明的，必须提 供资信证明全部页以及基本户信息（提供开户许可证或提供基本银行账户信息），银行出具的存 款证明不能代替资信证明，存款证明无效；</w:t>
            </w:r>
          </w:p>
        </w:tc>
        <w:tc>
          <w:tcPr>
            <w:tcW w:type="dxa" w:w="1661"/>
          </w:tcPr>
          <w:p>
            <w:pPr>
              <w:pStyle w:val="null3"/>
            </w:pPr>
            <w:r>
              <w:rPr/>
              <w:t>资格证明材料</w:t>
            </w:r>
          </w:p>
        </w:tc>
      </w:tr>
      <w:tr>
        <w:tc>
          <w:tcPr>
            <w:tcW w:type="dxa" w:w="831"/>
          </w:tcPr>
          <w:p>
            <w:pPr>
              <w:pStyle w:val="null3"/>
            </w:pPr>
            <w:r>
              <w:rPr/>
              <w:t>3</w:t>
            </w:r>
          </w:p>
        </w:tc>
        <w:tc>
          <w:tcPr>
            <w:tcW w:type="dxa" w:w="2492"/>
          </w:tcPr>
          <w:p>
            <w:pPr>
              <w:pStyle w:val="null3"/>
            </w:pPr>
            <w:r>
              <w:rPr/>
              <w:t>有依法缴纳税收的良好记录</w:t>
            </w:r>
          </w:p>
        </w:tc>
        <w:tc>
          <w:tcPr>
            <w:tcW w:type="dxa" w:w="3322"/>
          </w:tcPr>
          <w:p>
            <w:pPr>
              <w:pStyle w:val="null3"/>
            </w:pPr>
            <w:r>
              <w:rPr/>
              <w:t>提供响应文件递交截止时间前一年内任意一个月依法缴纳税收的相关凭据（时间以税款所属日期为准，税种须包含增值税或企业所得税，凭据应有税务机关或 代收机关的公章或业务专用章）；其他组织和自然人提供缴纳税收的凭据；依法免税的供应商应 提供相关文件证明（成立不足一个月的提供依法纳税的承诺书，格式自拟；零报税的提供申报成 功的凭证）；</w:t>
            </w:r>
          </w:p>
        </w:tc>
        <w:tc>
          <w:tcPr>
            <w:tcW w:type="dxa" w:w="1661"/>
          </w:tcPr>
          <w:p>
            <w:pPr>
              <w:pStyle w:val="null3"/>
            </w:pPr>
            <w:r>
              <w:rPr/>
              <w:t>资格证明材料</w:t>
            </w:r>
          </w:p>
        </w:tc>
      </w:tr>
      <w:tr>
        <w:tc>
          <w:tcPr>
            <w:tcW w:type="dxa" w:w="831"/>
          </w:tcPr>
          <w:p>
            <w:pPr>
              <w:pStyle w:val="null3"/>
            </w:pPr>
            <w:r>
              <w:rPr/>
              <w:t>4</w:t>
            </w:r>
          </w:p>
        </w:tc>
        <w:tc>
          <w:tcPr>
            <w:tcW w:type="dxa" w:w="2492"/>
          </w:tcPr>
          <w:p>
            <w:pPr>
              <w:pStyle w:val="null3"/>
            </w:pPr>
            <w:r>
              <w:rPr/>
              <w:t>有依法缴纳社会保障资金的良好记录</w:t>
            </w:r>
          </w:p>
        </w:tc>
        <w:tc>
          <w:tcPr>
            <w:tcW w:type="dxa" w:w="3322"/>
          </w:tcPr>
          <w:p>
            <w:pPr>
              <w:pStyle w:val="null3"/>
            </w:pPr>
            <w:r>
              <w:rPr/>
              <w:t>提供响应文件递交截止时间前一年内任意一个月已缴纳的社会保障资金的凭据（带有社保机构公章的缴存凭证或银行交纳单据，单据应显示社保缴存项（任一项）；通过代缴方式缴存的，需提供链条完整的证明材料，证明材料至少包括代缴方的缴存凭证、供应商向代缴方用于缴存社保的银行转账单据）；依法不需要缴纳社会保障资金的 供应商应提供相关文件证明（成立不足一个月的提供将依法交纳社会保障资金的承诺书，格式自拟）；</w:t>
            </w:r>
          </w:p>
        </w:tc>
        <w:tc>
          <w:tcPr>
            <w:tcW w:type="dxa" w:w="1661"/>
          </w:tcPr>
          <w:p>
            <w:pPr>
              <w:pStyle w:val="null3"/>
            </w:pPr>
            <w:r>
              <w:rPr/>
              <w:t>资格证明材料</w:t>
            </w:r>
          </w:p>
        </w:tc>
      </w:tr>
      <w:tr>
        <w:tc>
          <w:tcPr>
            <w:tcW w:type="dxa" w:w="831"/>
          </w:tcPr>
          <w:p>
            <w:pPr>
              <w:pStyle w:val="null3"/>
            </w:pPr>
            <w:r>
              <w:rPr/>
              <w:t>5</w:t>
            </w:r>
          </w:p>
        </w:tc>
        <w:tc>
          <w:tcPr>
            <w:tcW w:type="dxa" w:w="2492"/>
          </w:tcPr>
          <w:p>
            <w:pPr>
              <w:pStyle w:val="null3"/>
            </w:pPr>
            <w:r>
              <w:rPr/>
              <w:t>具有履行合同所必需的设备和专业技术能力</w:t>
            </w:r>
          </w:p>
        </w:tc>
        <w:tc>
          <w:tcPr>
            <w:tcW w:type="dxa" w:w="3322"/>
          </w:tcPr>
          <w:p>
            <w:pPr>
              <w:pStyle w:val="null3"/>
            </w:pPr>
            <w:r>
              <w:rPr/>
              <w:t>提供具有履行合同所必需的设备和专业技术能力的承诺；</w:t>
            </w:r>
          </w:p>
        </w:tc>
        <w:tc>
          <w:tcPr>
            <w:tcW w:type="dxa" w:w="1661"/>
          </w:tcPr>
          <w:p>
            <w:pPr>
              <w:pStyle w:val="null3"/>
            </w:pPr>
            <w:r>
              <w:rPr/>
              <w:t>资格证明材料</w:t>
            </w:r>
          </w:p>
        </w:tc>
      </w:tr>
      <w:tr>
        <w:tc>
          <w:tcPr>
            <w:tcW w:type="dxa" w:w="831"/>
          </w:tcPr>
          <w:p>
            <w:pPr>
              <w:pStyle w:val="null3"/>
            </w:pPr>
            <w:r>
              <w:rPr/>
              <w:t>6</w:t>
            </w:r>
          </w:p>
        </w:tc>
        <w:tc>
          <w:tcPr>
            <w:tcW w:type="dxa" w:w="2492"/>
          </w:tcPr>
          <w:p>
            <w:pPr>
              <w:pStyle w:val="null3"/>
            </w:pPr>
            <w:r>
              <w:rPr/>
              <w:t>参加政府采购活动前三年内，在经营活动中没有重大违法记录</w:t>
            </w:r>
          </w:p>
        </w:tc>
        <w:tc>
          <w:tcPr>
            <w:tcW w:type="dxa" w:w="3322"/>
          </w:tcPr>
          <w:p>
            <w:pPr>
              <w:pStyle w:val="null3"/>
            </w:pPr>
            <w:r>
              <w:rPr/>
              <w:t>提供参加政府采购活动前三年内，在经营活动中没有重大违法记录的书面声明；</w:t>
            </w:r>
          </w:p>
        </w:tc>
        <w:tc>
          <w:tcPr>
            <w:tcW w:type="dxa" w:w="1661"/>
          </w:tcPr>
          <w:p>
            <w:pPr>
              <w:pStyle w:val="null3"/>
            </w:pPr>
            <w:r>
              <w:rPr/>
              <w:t>资格证明材料</w:t>
            </w:r>
          </w:p>
        </w:tc>
      </w:tr>
      <w:tr>
        <w:tc>
          <w:tcPr>
            <w:tcW w:type="dxa" w:w="831"/>
          </w:tcPr>
          <w:p>
            <w:pPr>
              <w:pStyle w:val="null3"/>
            </w:pPr>
            <w:r>
              <w:rPr/>
              <w:t>7</w:t>
            </w:r>
          </w:p>
        </w:tc>
        <w:tc>
          <w:tcPr>
            <w:tcW w:type="dxa" w:w="2492"/>
          </w:tcPr>
          <w:p>
            <w:pPr>
              <w:pStyle w:val="null3"/>
            </w:pPr>
            <w:r>
              <w:rPr/>
              <w:t>法定代表人授权书、法定代表人身份证明合格</w:t>
            </w:r>
          </w:p>
        </w:tc>
        <w:tc>
          <w:tcPr>
            <w:tcW w:type="dxa" w:w="3322"/>
          </w:tcPr>
          <w:p>
            <w:pPr>
              <w:pStyle w:val="null3"/>
            </w:pPr>
            <w:r>
              <w:rPr/>
              <w:t>供合格的法定代表人授权书（附法定代表人、被授权人身份证复印件）或法定代表人身份证明（法定代表人直接参加响应的）；</w:t>
            </w:r>
          </w:p>
        </w:tc>
        <w:tc>
          <w:tcPr>
            <w:tcW w:type="dxa" w:w="1661"/>
          </w:tcPr>
          <w:p>
            <w:pPr>
              <w:pStyle w:val="null3"/>
            </w:pPr>
            <w:r>
              <w:rPr/>
              <w:t>资格证明材料</w:t>
            </w:r>
          </w:p>
        </w:tc>
      </w:tr>
      <w:tr>
        <w:tc>
          <w:tcPr>
            <w:tcW w:type="dxa" w:w="831"/>
          </w:tcPr>
          <w:p>
            <w:pPr>
              <w:pStyle w:val="null3"/>
            </w:pPr>
            <w:r>
              <w:rPr/>
              <w:t>8</w:t>
            </w:r>
          </w:p>
        </w:tc>
        <w:tc>
          <w:tcPr>
            <w:tcW w:type="dxa" w:w="2492"/>
          </w:tcPr>
          <w:p>
            <w:pPr>
              <w:pStyle w:val="null3"/>
            </w:pPr>
            <w:r>
              <w:rPr/>
              <w:t>信用承诺</w:t>
            </w:r>
          </w:p>
        </w:tc>
        <w:tc>
          <w:tcPr>
            <w:tcW w:type="dxa" w:w="3322"/>
          </w:tcPr>
          <w:p>
            <w:pPr>
              <w:pStyle w:val="null3"/>
            </w:pPr>
            <w:r>
              <w:rPr/>
              <w:t>提供未被“信用中国”网站（www.creditchina.gov.cn）列入失信被执行人或重大税收违法失信主体名单，未被财政部门在中国政府采购网（www.ccgp.gov.cn）政府采购严重违 法失信行为记录名单中禁止参加政府采购活动的承诺；</w:t>
            </w:r>
          </w:p>
        </w:tc>
        <w:tc>
          <w:tcPr>
            <w:tcW w:type="dxa" w:w="1661"/>
          </w:tcPr>
          <w:p>
            <w:pPr>
              <w:pStyle w:val="null3"/>
            </w:pPr>
            <w:r>
              <w:rPr/>
              <w:t>资格证明材料</w:t>
            </w:r>
          </w:p>
        </w:tc>
      </w:tr>
      <w:tr>
        <w:tc>
          <w:tcPr>
            <w:tcW w:type="dxa" w:w="831"/>
          </w:tcPr>
          <w:p>
            <w:pPr>
              <w:pStyle w:val="null3"/>
            </w:pPr>
            <w:r>
              <w:rPr/>
              <w:t>9</w:t>
            </w:r>
          </w:p>
        </w:tc>
        <w:tc>
          <w:tcPr>
            <w:tcW w:type="dxa" w:w="2492"/>
          </w:tcPr>
          <w:p>
            <w:pPr>
              <w:pStyle w:val="null3"/>
            </w:pPr>
            <w:r>
              <w:rPr/>
              <w:t>进口产品授权书</w:t>
            </w:r>
          </w:p>
        </w:tc>
        <w:tc>
          <w:tcPr>
            <w:tcW w:type="dxa" w:w="3322"/>
          </w:tcPr>
          <w:p>
            <w:pPr>
              <w:pStyle w:val="null3"/>
            </w:pPr>
            <w:r>
              <w:rPr/>
              <w:t>若所响应产品为进口产品的，供应商须提供产品厂家授权书或总代理商授权书或具有授权权限的供应商对所响应进口产品的授权书。（如提供总代理商授权的须同时提供具有有效授权权限的相关证明文件，证明文件需能显示产品制造厂家对所响应产品授权链条的完整性）。</w:t>
            </w:r>
          </w:p>
        </w:tc>
        <w:tc>
          <w:tcPr>
            <w:tcW w:type="dxa" w:w="1661"/>
          </w:tcPr>
          <w:p>
            <w:pPr>
              <w:pStyle w:val="null3"/>
            </w:pPr>
            <w:r>
              <w:rPr/>
              <w:t>资格证明材料</w:t>
            </w:r>
          </w:p>
        </w:tc>
      </w:tr>
    </w:tbl>
    <w:p>
      <w:pPr>
        <w:pStyle w:val="null3"/>
      </w:pPr>
      <w:r>
        <w:rPr/>
        <w:t xml:space="preserve"> </w:t>
        <w:br/>
        <w:br w:type="page"/>
      </w:r>
    </w:p>
    <w:p>
      <w:pPr>
        <w:pStyle w:val="null3"/>
        <w:jc w:val="center"/>
        <w:outlineLvl w:val="1"/>
      </w:pPr>
      <w:r>
        <w:rPr>
          <w:sz w:val="36"/>
          <w:b/>
        </w:rPr>
        <w:t>第五章 谈判过程中可实质性变动的内容</w:t>
      </w:r>
    </w:p>
    <w:p>
      <w:pPr>
        <w:pStyle w:val="null3"/>
        <w:ind w:firstLine="480"/>
      </w:pPr>
      <w:r>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t xml:space="preserve"> </w:t>
        <w:br/>
        <w:br w:type="page"/>
      </w:r>
    </w:p>
    <w:p>
      <w:pPr>
        <w:pStyle w:val="null3"/>
        <w:jc w:val="center"/>
        <w:outlineLvl w:val="1"/>
      </w:pPr>
      <w:r>
        <w:rPr>
          <w:sz w:val="36"/>
          <w:b/>
        </w:rPr>
        <w:t>第六章 谈判办法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t>二、评审工作由代理机构组织，具体评审事务由依法组建的谈判小组负责。</w:t>
      </w:r>
    </w:p>
    <w:p>
      <w:pPr>
        <w:pStyle w:val="null3"/>
        <w:ind w:firstLine="480"/>
      </w:pPr>
      <w:r>
        <w:rPr/>
        <w:t>三、评审工作应遵循客观、公正、审慎的原则，并以相同的谈判程序和标准对待所有的供应商。</w:t>
      </w:r>
    </w:p>
    <w:p>
      <w:pPr>
        <w:pStyle w:val="null3"/>
        <w:ind w:firstLine="480"/>
      </w:pPr>
      <w:r>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6.2谈判小组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t>三、谈判小组按照谈判文件规定的谈判程序、评审方法和标准进行评审，并独立履行下列职责：</w:t>
      </w:r>
    </w:p>
    <w:p>
      <w:pPr>
        <w:pStyle w:val="null3"/>
        <w:ind w:firstLine="480"/>
      </w:pPr>
      <w:r>
        <w:rPr/>
        <w:t>（一）熟悉和理解谈判文件；</w:t>
      </w:r>
    </w:p>
    <w:p>
      <w:pPr>
        <w:pStyle w:val="null3"/>
        <w:ind w:firstLine="480"/>
      </w:pPr>
      <w:r>
        <w:rPr/>
        <w:t>（二）审查供应商响应文件等是否满足谈判文件要求，并作出评价；</w:t>
      </w:r>
    </w:p>
    <w:p>
      <w:pPr>
        <w:pStyle w:val="null3"/>
        <w:ind w:firstLine="480"/>
      </w:pPr>
      <w:r>
        <w:rPr/>
        <w:t xml:space="preserve"> （三）根据需要要求采购组织单位对谈判文件作出解释；根据需要要求供应商对响应文件有关事项作出澄清、说明或者更正；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6.3.1审查谈判文件和停止评审</w:t>
      </w:r>
    </w:p>
    <w:p>
      <w:pPr>
        <w:pStyle w:val="null3"/>
        <w:ind w:firstLine="480"/>
      </w:pPr>
      <w:r>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t>二、本谈判文件有下列情形之一的，谈判小组应当停止评审：</w:t>
      </w:r>
    </w:p>
    <w:p>
      <w:pPr>
        <w:pStyle w:val="null3"/>
        <w:ind w:firstLine="480"/>
      </w:pPr>
      <w:r>
        <w:rPr/>
        <w:t>（一）谈判文件的规定存在歧义、重大缺陷的；</w:t>
      </w:r>
    </w:p>
    <w:p>
      <w:pPr>
        <w:pStyle w:val="null3"/>
        <w:ind w:firstLine="480"/>
      </w:pPr>
      <w:r>
        <w:rPr/>
        <w:t>（二）谈判文件明显以不合理条件对供应商实行差别待遇或者歧视待遇的；</w:t>
      </w:r>
    </w:p>
    <w:p>
      <w:pPr>
        <w:pStyle w:val="null3"/>
        <w:ind w:firstLine="480"/>
      </w:pPr>
      <w:r>
        <w:rPr/>
        <w:t>（三）采购项目属于国家规定的优先、强制采购范围，但是谈判文件未依法体现优先、强制采购相关规定的；</w:t>
      </w:r>
    </w:p>
    <w:p>
      <w:pPr>
        <w:pStyle w:val="null3"/>
        <w:ind w:firstLine="480"/>
      </w:pPr>
      <w:r>
        <w:rPr/>
        <w:t>（四）采购项目属于政府采购促进中小企业发展的范围，但是谈判文件未依法体现促进中小企业发展相关规定的；</w:t>
      </w:r>
    </w:p>
    <w:p>
      <w:pPr>
        <w:pStyle w:val="null3"/>
        <w:ind w:firstLine="480"/>
      </w:pPr>
      <w:r>
        <w:rPr/>
        <w:t>（五）谈判文件将供应商的资格条件列为评分因素的；</w:t>
      </w:r>
    </w:p>
    <w:p>
      <w:pPr>
        <w:pStyle w:val="null3"/>
        <w:ind w:firstLine="480"/>
      </w:pPr>
      <w:r>
        <w:rPr/>
        <w:t>（六）谈判文件载明的成交原则不合法的；</w:t>
      </w:r>
    </w:p>
    <w:p>
      <w:pPr>
        <w:pStyle w:val="null3"/>
        <w:ind w:firstLine="480"/>
        <w:jc w:val="left"/>
      </w:pPr>
      <w:r>
        <w:rPr/>
        <w:t>（七）谈判文件有违反国家其他有关强制性规定的情形。</w:t>
      </w:r>
    </w:p>
    <w:p>
      <w:pPr>
        <w:pStyle w:val="null3"/>
        <w:ind w:firstLine="480"/>
      </w:pPr>
      <w:r>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sz w:val="24"/>
          <w:b/>
        </w:rPr>
        <w:t>6.3.2符合性审查</w:t>
      </w:r>
    </w:p>
    <w:p>
      <w:pPr>
        <w:pStyle w:val="null3"/>
        <w:ind w:firstLine="480"/>
      </w:pPr>
      <w:r>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t xml:space="preserve"> 二、在符合性审查过程中，如果出现谈判小组成员意见不一致的情况，按照少数服从多数的原则确定，但不得违背政府采购基本原则和谈判文件规定。</w:t>
      </w:r>
    </w:p>
    <w:p>
      <w:pPr>
        <w:pStyle w:val="null3"/>
        <w:ind w:firstLine="480"/>
      </w:pPr>
      <w:r>
        <w:rPr/>
        <w:t>三、谈判小组对所有响应文件进行审查后，确定参加谈判的供应商名单。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最高限价</w:t>
            </w:r>
          </w:p>
        </w:tc>
        <w:tc>
          <w:tcPr>
            <w:tcW w:type="dxa" w:w="3322"/>
          </w:tcPr>
          <w:p>
            <w:pPr>
              <w:pStyle w:val="null3"/>
            </w:pPr>
            <w:r>
              <w:rPr/>
              <w:t>报价须不超过招标文件中规定的预算金额或者最高限价</w:t>
            </w:r>
          </w:p>
        </w:tc>
        <w:tc>
          <w:tcPr>
            <w:tcW w:type="dxa" w:w="1661"/>
          </w:tcPr>
          <w:p>
            <w:pPr>
              <w:pStyle w:val="null3"/>
            </w:pPr>
            <w:r>
              <w:rPr/>
              <w:t>商务应答表 标的清单 报价表</w:t>
            </w:r>
          </w:p>
        </w:tc>
      </w:tr>
      <w:tr>
        <w:tc>
          <w:tcPr>
            <w:tcW w:type="dxa" w:w="831"/>
          </w:tcPr>
          <w:p>
            <w:pPr>
              <w:pStyle w:val="null3"/>
            </w:pPr>
            <w:r>
              <w:rPr/>
              <w:t>3</w:t>
            </w:r>
          </w:p>
        </w:tc>
        <w:tc>
          <w:tcPr>
            <w:tcW w:type="dxa" w:w="2492"/>
          </w:tcPr>
          <w:p>
            <w:pPr>
              <w:pStyle w:val="null3"/>
            </w:pPr>
            <w:r>
              <w:rPr/>
              <w:t>签字盖章</w:t>
            </w:r>
          </w:p>
        </w:tc>
        <w:tc>
          <w:tcPr>
            <w:tcW w:type="dxa" w:w="3322"/>
          </w:tcPr>
          <w:p>
            <w:pPr>
              <w:pStyle w:val="null3"/>
            </w:pPr>
            <w:r>
              <w:rPr/>
              <w:t>响应文件须按照招标文件要求签署、盖章</w:t>
            </w:r>
          </w:p>
        </w:tc>
        <w:tc>
          <w:tcPr>
            <w:tcW w:type="dxa" w:w="1661"/>
          </w:tcPr>
          <w:p>
            <w:pPr>
              <w:pStyle w:val="null3"/>
            </w:pPr>
            <w:r>
              <w:rPr/>
              <w:t>响应文件封面 产品技术参数表 中小企业声明函 残疾人福利性单位声明函 商务应答表 资格证明材料 标的清单 报价表 响应函 监狱企业的证明文件</w:t>
            </w:r>
          </w:p>
        </w:tc>
      </w:tr>
      <w:tr>
        <w:tc>
          <w:tcPr>
            <w:tcW w:type="dxa" w:w="831"/>
          </w:tcPr>
          <w:p>
            <w:pPr>
              <w:pStyle w:val="null3"/>
            </w:pPr>
            <w:r>
              <w:rPr/>
              <w:t>4</w:t>
            </w:r>
          </w:p>
        </w:tc>
        <w:tc>
          <w:tcPr>
            <w:tcW w:type="dxa" w:w="2492"/>
          </w:tcPr>
          <w:p>
            <w:pPr>
              <w:pStyle w:val="null3"/>
            </w:pPr>
            <w:r>
              <w:rPr/>
              <w:t>其他条件</w:t>
            </w:r>
          </w:p>
        </w:tc>
        <w:tc>
          <w:tcPr>
            <w:tcW w:type="dxa" w:w="3322"/>
          </w:tcPr>
          <w:p>
            <w:pPr>
              <w:pStyle w:val="null3"/>
            </w:pPr>
            <w:r>
              <w:rPr/>
              <w:t>响应文件未含有采购人不能接受的附加条件</w:t>
            </w:r>
          </w:p>
        </w:tc>
        <w:tc>
          <w:tcPr>
            <w:tcW w:type="dxa" w:w="1661"/>
          </w:tcPr>
          <w:p>
            <w:pPr>
              <w:pStyle w:val="null3"/>
            </w:pPr>
            <w:r>
              <w:rPr/>
              <w:t>响应文件封面 产品技术参数表 中小企业声明函 残疾人福利性单位声明函 商务应答表 资格证明材料 标的清单 报价表 响应函 监狱企业的证明文件</w:t>
            </w:r>
          </w:p>
        </w:tc>
      </w:tr>
      <w:tr>
        <w:tc>
          <w:tcPr>
            <w:tcW w:type="dxa" w:w="831"/>
          </w:tcPr>
          <w:p>
            <w:pPr>
              <w:pStyle w:val="null3"/>
            </w:pPr>
            <w:r>
              <w:rPr/>
              <w:t>5</w:t>
            </w:r>
          </w:p>
        </w:tc>
        <w:tc>
          <w:tcPr>
            <w:tcW w:type="dxa" w:w="2492"/>
          </w:tcPr>
          <w:p>
            <w:pPr>
              <w:pStyle w:val="null3"/>
            </w:pPr>
            <w:r>
              <w:rPr/>
              <w:t>技术、服务、商务及其他要求</w:t>
            </w:r>
          </w:p>
        </w:tc>
        <w:tc>
          <w:tcPr>
            <w:tcW w:type="dxa" w:w="3322"/>
          </w:tcPr>
          <w:p>
            <w:pPr>
              <w:pStyle w:val="null3"/>
            </w:pPr>
            <w:r>
              <w:rPr/>
              <w:t>须满足谈判文件第三章各包的谈判项目技术、服务、商务及其他要求的全部内容</w:t>
            </w:r>
          </w:p>
        </w:tc>
        <w:tc>
          <w:tcPr>
            <w:tcW w:type="dxa" w:w="1661"/>
          </w:tcPr>
          <w:p>
            <w:pPr>
              <w:pStyle w:val="null3"/>
            </w:pPr>
            <w:r>
              <w:rPr/>
              <w:t>响应文件封面 产品技术参数表 中小企业声明函 残疾人福利性单位声明函 商务应答表 资格证明材料 标的清单 报价表 响应函 监狱企业的证明文件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最高限价</w:t>
            </w:r>
          </w:p>
        </w:tc>
        <w:tc>
          <w:tcPr>
            <w:tcW w:type="dxa" w:w="3322"/>
          </w:tcPr>
          <w:p>
            <w:pPr>
              <w:pStyle w:val="null3"/>
            </w:pPr>
            <w:r>
              <w:rPr/>
              <w:t>报价须不超过招标文件中规定的预算金额或者最高限价</w:t>
            </w:r>
          </w:p>
        </w:tc>
        <w:tc>
          <w:tcPr>
            <w:tcW w:type="dxa" w:w="1661"/>
          </w:tcPr>
          <w:p>
            <w:pPr>
              <w:pStyle w:val="null3"/>
            </w:pPr>
            <w:r>
              <w:rPr/>
              <w:t>商务应答表 标的清单 报价表</w:t>
            </w:r>
          </w:p>
        </w:tc>
      </w:tr>
      <w:tr>
        <w:tc>
          <w:tcPr>
            <w:tcW w:type="dxa" w:w="831"/>
          </w:tcPr>
          <w:p>
            <w:pPr>
              <w:pStyle w:val="null3"/>
            </w:pPr>
            <w:r>
              <w:rPr/>
              <w:t>3</w:t>
            </w:r>
          </w:p>
        </w:tc>
        <w:tc>
          <w:tcPr>
            <w:tcW w:type="dxa" w:w="2492"/>
          </w:tcPr>
          <w:p>
            <w:pPr>
              <w:pStyle w:val="null3"/>
            </w:pPr>
            <w:r>
              <w:rPr/>
              <w:t>签字盖章</w:t>
            </w:r>
          </w:p>
        </w:tc>
        <w:tc>
          <w:tcPr>
            <w:tcW w:type="dxa" w:w="3322"/>
          </w:tcPr>
          <w:p>
            <w:pPr>
              <w:pStyle w:val="null3"/>
            </w:pPr>
            <w:r>
              <w:rPr/>
              <w:t>响应文件须按照招标文件要求签署、盖章</w:t>
            </w:r>
          </w:p>
        </w:tc>
        <w:tc>
          <w:tcPr>
            <w:tcW w:type="dxa" w:w="1661"/>
          </w:tcPr>
          <w:p>
            <w:pPr>
              <w:pStyle w:val="null3"/>
            </w:pPr>
            <w:r>
              <w:rPr/>
              <w:t>响应文件封面 产品技术参数表 中小企业声明函 残疾人福利性单位声明函 商务应答表 资格证明材料 标的清单 报价表 响应函 监狱企业的证明文件</w:t>
            </w:r>
          </w:p>
        </w:tc>
      </w:tr>
      <w:tr>
        <w:tc>
          <w:tcPr>
            <w:tcW w:type="dxa" w:w="831"/>
          </w:tcPr>
          <w:p>
            <w:pPr>
              <w:pStyle w:val="null3"/>
            </w:pPr>
            <w:r>
              <w:rPr/>
              <w:t>4</w:t>
            </w:r>
          </w:p>
        </w:tc>
        <w:tc>
          <w:tcPr>
            <w:tcW w:type="dxa" w:w="2492"/>
          </w:tcPr>
          <w:p>
            <w:pPr>
              <w:pStyle w:val="null3"/>
            </w:pPr>
            <w:r>
              <w:rPr/>
              <w:t>其他条件</w:t>
            </w:r>
          </w:p>
        </w:tc>
        <w:tc>
          <w:tcPr>
            <w:tcW w:type="dxa" w:w="3322"/>
          </w:tcPr>
          <w:p>
            <w:pPr>
              <w:pStyle w:val="null3"/>
            </w:pPr>
            <w:r>
              <w:rPr/>
              <w:t>响应文件未含有采购人不能接受的附加条件</w:t>
            </w:r>
          </w:p>
        </w:tc>
        <w:tc>
          <w:tcPr>
            <w:tcW w:type="dxa" w:w="1661"/>
          </w:tcPr>
          <w:p>
            <w:pPr>
              <w:pStyle w:val="null3"/>
            </w:pPr>
            <w:r>
              <w:rPr/>
              <w:t>响应文件封面 产品技术参数表 中小企业声明函 残疾人福利性单位声明函 商务应答表 资格证明材料 标的清单 报价表 响应函 监狱企业的证明文件</w:t>
            </w:r>
          </w:p>
        </w:tc>
      </w:tr>
      <w:tr>
        <w:tc>
          <w:tcPr>
            <w:tcW w:type="dxa" w:w="831"/>
          </w:tcPr>
          <w:p>
            <w:pPr>
              <w:pStyle w:val="null3"/>
            </w:pPr>
            <w:r>
              <w:rPr/>
              <w:t>5</w:t>
            </w:r>
          </w:p>
        </w:tc>
        <w:tc>
          <w:tcPr>
            <w:tcW w:type="dxa" w:w="2492"/>
          </w:tcPr>
          <w:p>
            <w:pPr>
              <w:pStyle w:val="null3"/>
            </w:pPr>
            <w:r>
              <w:rPr/>
              <w:t>技术、服务、商务及其他要求</w:t>
            </w:r>
          </w:p>
        </w:tc>
        <w:tc>
          <w:tcPr>
            <w:tcW w:type="dxa" w:w="3322"/>
          </w:tcPr>
          <w:p>
            <w:pPr>
              <w:pStyle w:val="null3"/>
            </w:pPr>
            <w:r>
              <w:rPr/>
              <w:t>须满足谈判文件第三章各包的谈判项目技术、服务、商务及其他要求的全部内容</w:t>
            </w:r>
          </w:p>
        </w:tc>
        <w:tc>
          <w:tcPr>
            <w:tcW w:type="dxa" w:w="1661"/>
          </w:tcPr>
          <w:p>
            <w:pPr>
              <w:pStyle w:val="null3"/>
            </w:pPr>
            <w:r>
              <w:rPr/>
              <w:t>响应文件封面 产品技术参数表 中小企业声明函 残疾人福利性单位声明函 商务应答表 资格证明材料 标的清单 报价表 响应函 监狱企业的证明文件</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最高限价</w:t>
            </w:r>
          </w:p>
        </w:tc>
        <w:tc>
          <w:tcPr>
            <w:tcW w:type="dxa" w:w="3322"/>
          </w:tcPr>
          <w:p>
            <w:pPr>
              <w:pStyle w:val="null3"/>
            </w:pPr>
            <w:r>
              <w:rPr/>
              <w:t>报价须不超过招标文件中规定的预算金额或者最高限价</w:t>
            </w:r>
          </w:p>
        </w:tc>
        <w:tc>
          <w:tcPr>
            <w:tcW w:type="dxa" w:w="1661"/>
          </w:tcPr>
          <w:p>
            <w:pPr>
              <w:pStyle w:val="null3"/>
            </w:pPr>
            <w:r>
              <w:rPr/>
              <w:t>商务应答表 标的清单 报价表</w:t>
            </w:r>
          </w:p>
        </w:tc>
      </w:tr>
      <w:tr>
        <w:tc>
          <w:tcPr>
            <w:tcW w:type="dxa" w:w="831"/>
          </w:tcPr>
          <w:p>
            <w:pPr>
              <w:pStyle w:val="null3"/>
            </w:pPr>
            <w:r>
              <w:rPr/>
              <w:t>3</w:t>
            </w:r>
          </w:p>
        </w:tc>
        <w:tc>
          <w:tcPr>
            <w:tcW w:type="dxa" w:w="2492"/>
          </w:tcPr>
          <w:p>
            <w:pPr>
              <w:pStyle w:val="null3"/>
            </w:pPr>
            <w:r>
              <w:rPr/>
              <w:t>签字盖章</w:t>
            </w:r>
          </w:p>
        </w:tc>
        <w:tc>
          <w:tcPr>
            <w:tcW w:type="dxa" w:w="3322"/>
          </w:tcPr>
          <w:p>
            <w:pPr>
              <w:pStyle w:val="null3"/>
            </w:pPr>
            <w:r>
              <w:rPr/>
              <w:t>响应文件须按照招标文件要求签署、盖章</w:t>
            </w:r>
          </w:p>
        </w:tc>
        <w:tc>
          <w:tcPr>
            <w:tcW w:type="dxa" w:w="1661"/>
          </w:tcPr>
          <w:p>
            <w:pPr>
              <w:pStyle w:val="null3"/>
            </w:pPr>
            <w:r>
              <w:rPr/>
              <w:t>响应文件封面 产品技术参数表 中小企业声明函 残疾人福利性单位声明函 商务应答表 资格证明材料 标的清单 报价表 响应函 监狱企业的证明文件</w:t>
            </w:r>
          </w:p>
        </w:tc>
      </w:tr>
      <w:tr>
        <w:tc>
          <w:tcPr>
            <w:tcW w:type="dxa" w:w="831"/>
          </w:tcPr>
          <w:p>
            <w:pPr>
              <w:pStyle w:val="null3"/>
            </w:pPr>
            <w:r>
              <w:rPr/>
              <w:t>4</w:t>
            </w:r>
          </w:p>
        </w:tc>
        <w:tc>
          <w:tcPr>
            <w:tcW w:type="dxa" w:w="2492"/>
          </w:tcPr>
          <w:p>
            <w:pPr>
              <w:pStyle w:val="null3"/>
            </w:pPr>
            <w:r>
              <w:rPr/>
              <w:t>其他条件</w:t>
            </w:r>
          </w:p>
        </w:tc>
        <w:tc>
          <w:tcPr>
            <w:tcW w:type="dxa" w:w="3322"/>
          </w:tcPr>
          <w:p>
            <w:pPr>
              <w:pStyle w:val="null3"/>
            </w:pPr>
            <w:r>
              <w:rPr/>
              <w:t>响应文件未含有采购人不能接受的附加条件</w:t>
            </w:r>
          </w:p>
        </w:tc>
        <w:tc>
          <w:tcPr>
            <w:tcW w:type="dxa" w:w="1661"/>
          </w:tcPr>
          <w:p>
            <w:pPr>
              <w:pStyle w:val="null3"/>
            </w:pPr>
            <w:r>
              <w:rPr/>
              <w:t>响应文件封面 产品技术参数表 中小企业声明函 残疾人福利性单位声明函 商务应答表 资格证明材料 标的清单 报价表 响应函 监狱企业的证明文件</w:t>
            </w:r>
          </w:p>
        </w:tc>
      </w:tr>
      <w:tr>
        <w:tc>
          <w:tcPr>
            <w:tcW w:type="dxa" w:w="831"/>
          </w:tcPr>
          <w:p>
            <w:pPr>
              <w:pStyle w:val="null3"/>
            </w:pPr>
            <w:r>
              <w:rPr/>
              <w:t>5</w:t>
            </w:r>
          </w:p>
        </w:tc>
        <w:tc>
          <w:tcPr>
            <w:tcW w:type="dxa" w:w="2492"/>
          </w:tcPr>
          <w:p>
            <w:pPr>
              <w:pStyle w:val="null3"/>
            </w:pPr>
            <w:r>
              <w:rPr/>
              <w:t>技术、服务、商务及其他要求</w:t>
            </w:r>
          </w:p>
        </w:tc>
        <w:tc>
          <w:tcPr>
            <w:tcW w:type="dxa" w:w="3322"/>
          </w:tcPr>
          <w:p>
            <w:pPr>
              <w:pStyle w:val="null3"/>
            </w:pPr>
            <w:r>
              <w:rPr/>
              <w:t>须满足谈判文件第三章各包的谈判项目技术、服务、商务及其他要求的全部内容</w:t>
            </w:r>
          </w:p>
        </w:tc>
        <w:tc>
          <w:tcPr>
            <w:tcW w:type="dxa" w:w="1661"/>
          </w:tcPr>
          <w:p>
            <w:pPr>
              <w:pStyle w:val="null3"/>
            </w:pPr>
            <w:r>
              <w:rPr/>
              <w:t>响应文件封面 产品技术参数表 中小企业声明函 残疾人福利性单位声明函 商务应答表 资格证明材料 标的清单 报价表 响应函 监狱企业的证明文件</w:t>
            </w:r>
          </w:p>
        </w:tc>
      </w:tr>
    </w:tbl>
    <w:p>
      <w:pPr>
        <w:pStyle w:val="null3"/>
        <w:outlineLvl w:val="3"/>
      </w:pPr>
      <w:r>
        <w:rPr>
          <w:sz w:val="24"/>
          <w:b/>
        </w:rPr>
        <w:t>6.3.3谈判</w:t>
      </w:r>
    </w:p>
    <w:p>
      <w:pPr>
        <w:pStyle w:val="null3"/>
        <w:ind w:firstLine="480"/>
      </w:pPr>
      <w:r>
        <w:rPr/>
        <w:t>一、谈判小组按照谈判文件的规定与邀请参加谈判的供应商分别进行谈判，谈判顺序由谈判小组确定。</w:t>
      </w:r>
    </w:p>
    <w:p>
      <w:pPr>
        <w:pStyle w:val="null3"/>
        <w:ind w:firstLine="480"/>
      </w:pPr>
      <w:r>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t>六、经最终谈判后，响应文件仍有下列情况之一的，应按照无效响应处理：</w:t>
      </w:r>
    </w:p>
    <w:p>
      <w:pPr>
        <w:pStyle w:val="null3"/>
        <w:ind w:firstLine="480"/>
      </w:pPr>
      <w:r>
        <w:rPr/>
        <w:t>（一）响应文件仍不能实质响应谈判文件可实质性变动的实质性要求的；</w:t>
      </w:r>
    </w:p>
    <w:p>
      <w:pPr>
        <w:pStyle w:val="null3"/>
        <w:ind w:firstLine="480"/>
      </w:pPr>
      <w:r>
        <w:rPr/>
        <w:t>（二）响应文件中仍有谈判文件规定的其他无效响应情形的。</w:t>
      </w:r>
    </w:p>
    <w:p>
      <w:pPr>
        <w:pStyle w:val="null3"/>
        <w:ind w:firstLine="480"/>
      </w:pPr>
      <w:r>
        <w:rPr/>
        <w:t xml:space="preserve"> 七、谈判小组对供应商在谈判、评审过程中的书面交换材料，未按要求加盖电子印章或签字的，视同未提交书面交换材料。</w:t>
      </w:r>
    </w:p>
    <w:p>
      <w:pPr>
        <w:pStyle w:val="null3"/>
        <w:ind w:firstLine="480"/>
      </w:pPr>
      <w:r>
        <w:rPr/>
        <w:t xml:space="preserve"> 八、谈判小组在最终谈判后，对所有响应文件的有效性、完整性和响应程度进行审查后，确定最后报价的供应商名单。</w:t>
      </w:r>
    </w:p>
    <w:p>
      <w:pPr>
        <w:pStyle w:val="null3"/>
        <w:ind w:firstLine="480"/>
      </w:pPr>
      <w:r>
        <w:rPr/>
        <w:t xml:space="preserve"> 九、谈判过程中，谈判的任何一方不得透露与谈判有关的其他供应商的技术资料、价格和其他信息。</w:t>
      </w:r>
    </w:p>
    <w:p>
      <w:pPr>
        <w:pStyle w:val="null3"/>
        <w:ind w:firstLine="480"/>
      </w:pPr>
      <w:r>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二、谈判小组开启报价后，供应商应随时关注项目电子化交易系统信息提醒，登录项目电子化交易系统，通过“等候大厅”进行报价并签章后提交。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t>四、供应商最后报价属于明显低价不正当竞争的，谈判小组应按照“供应商须知前附表”第8项规定处理。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六、供应商未按谈判小组要求在规定时间内提交最后报价的，视为其退出谈判。</w:t>
      </w:r>
    </w:p>
    <w:p>
      <w:pPr>
        <w:pStyle w:val="null3"/>
        <w:ind w:firstLine="480"/>
      </w:pPr>
      <w:r>
        <w:rPr/>
        <w:t>七、最后报价一旦提交后，供应商不得以任何理由撤回。</w:t>
      </w:r>
    </w:p>
    <w:p>
      <w:pPr>
        <w:pStyle w:val="null3"/>
        <w:ind w:firstLine="480"/>
        <w:jc w:val="left"/>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（三）供应商的最后报价应符合谈判文件的要求。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6.3.5价格扣除</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 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t>中小企业声明函 残疾人福利性单位声明函 监狱企业的证明文件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 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t>中小企业声明函 残疾人福利性单位声明函 监狱企业的证明文件</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 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t>中小企业声明函 残疾人福利性单位声明函 监狱企业的证明文件</w:t>
            </w:r>
          </w:p>
        </w:tc>
      </w:tr>
    </w:tbl>
    <w:p>
      <w:pPr>
        <w:pStyle w:val="null3"/>
        <w:outlineLvl w:val="3"/>
      </w:pPr>
      <w:r>
        <w:rPr>
          <w:sz w:val="24"/>
          <w:b/>
        </w:rPr>
        <w:t>6.3.6解释、澄清、说明的有关问题</w:t>
      </w:r>
    </w:p>
    <w:p>
      <w:pPr>
        <w:pStyle w:val="null3"/>
        <w:ind w:firstLine="480"/>
      </w:pPr>
      <w:r>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t>四、谈判小组应当积极履行澄清、说明或者更正的职责，不得滥用权力。</w:t>
      </w:r>
    </w:p>
    <w:p>
      <w:pPr>
        <w:pStyle w:val="null3"/>
        <w:outlineLvl w:val="3"/>
      </w:pPr>
      <w:r>
        <w:rPr>
          <w:sz w:val="24"/>
          <w:b/>
        </w:rPr>
        <w:t>6.3.7复核</w:t>
      </w:r>
    </w:p>
    <w:p>
      <w:pPr>
        <w:pStyle w:val="null3"/>
        <w:ind w:firstLine="480"/>
      </w:pPr>
      <w:r>
        <w:rPr/>
        <w:t xml:space="preserve"> 一、评审结束后，谈判小组应当进行复核，特别要对拟推荐为成交供应商的、报价最低的、响应文件被认定为无效的进行重点复核。</w:t>
      </w:r>
    </w:p>
    <w:p>
      <w:pPr>
        <w:pStyle w:val="null3"/>
        <w:ind w:firstLine="480"/>
      </w:pPr>
      <w:r>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sz w:val="24"/>
          <w:b/>
        </w:rPr>
        <w:t>6.3.8推荐成交候选供应商</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t>采购包2：</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t>采购包3：</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t xml:space="preserve"> 响应文件满足谈判文件全部实质性要求且最终报价最低的供应商为排名第一的成交候选供应商。</w:t>
      </w:r>
    </w:p>
    <w:p>
      <w:pPr>
        <w:pStyle w:val="null3"/>
        <w:ind w:firstLine="480"/>
        <w:jc w:val="left"/>
      </w:pPr>
      <w:r>
        <w:rPr/>
        <w:t xml:space="preserve"> 经评审的最终报价是指对供应商最后报价完成价格修正和落实政府采购政策进行的价格扣除后的报价。</w:t>
      </w:r>
    </w:p>
    <w:p>
      <w:pPr>
        <w:pStyle w:val="null3"/>
        <w:outlineLvl w:val="3"/>
      </w:pPr>
      <w:r>
        <w:rPr>
          <w:sz w:val="24"/>
          <w:b/>
        </w:rPr>
        <w:t>6.3.9编写谈判报告</w:t>
      </w:r>
    </w:p>
    <w:p>
      <w:pPr>
        <w:pStyle w:val="null3"/>
        <w:ind w:firstLine="480"/>
      </w:pPr>
      <w:r>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t>一、邀请供应商参加采购活动的具体方式和相关情况，以及参加采购活动的供应商名单；</w:t>
      </w:r>
    </w:p>
    <w:p>
      <w:pPr>
        <w:pStyle w:val="null3"/>
        <w:ind w:firstLine="480"/>
      </w:pPr>
      <w:r>
        <w:rPr/>
        <w:t>二、谈判日期和地点，评审委员会成员名单；</w:t>
      </w:r>
    </w:p>
    <w:p>
      <w:pPr>
        <w:pStyle w:val="null3"/>
        <w:ind w:firstLine="480"/>
      </w:pPr>
      <w:r>
        <w:rPr/>
        <w:t>三、参加报价的供应商名单及报价情况和未参加报价的供应商名单及原因；</w:t>
      </w:r>
    </w:p>
    <w:p>
      <w:pPr>
        <w:pStyle w:val="null3"/>
        <w:ind w:firstLine="480"/>
      </w:pPr>
      <w:r>
        <w:rPr/>
        <w:t>四、变动谈判文件实质性内容的有关资料及记录；</w:t>
      </w:r>
    </w:p>
    <w:p>
      <w:pPr>
        <w:pStyle w:val="null3"/>
        <w:ind w:firstLine="480"/>
      </w:pPr>
      <w:r>
        <w:rPr/>
        <w:t>五、供应商响应文件响应谈判文件实质性要求情况及供应商变动响应文件有关资料及记录；</w:t>
      </w:r>
    </w:p>
    <w:p>
      <w:pPr>
        <w:pStyle w:val="null3"/>
        <w:ind w:firstLine="480"/>
      </w:pPr>
      <w:r>
        <w:rPr/>
        <w:t>六、谈判情况记录和说明，包括对供应商的资格审查情况、供应商响应文件谈判情况等；</w:t>
      </w:r>
    </w:p>
    <w:p>
      <w:pPr>
        <w:pStyle w:val="null3"/>
        <w:ind w:firstLine="480"/>
      </w:pPr>
      <w:r>
        <w:rPr/>
        <w:t>七、推荐的成交候选供应商名单及理由。</w:t>
      </w:r>
    </w:p>
    <w:p>
      <w:pPr>
        <w:pStyle w:val="null3"/>
        <w:ind w:firstLine="480"/>
      </w:pPr>
      <w:r>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sz w:val="24"/>
          <w:b/>
        </w:rPr>
        <w:t>6.3.10谈判争议处理规则</w:t>
      </w:r>
    </w:p>
    <w:p>
      <w:pPr>
        <w:pStyle w:val="null3"/>
        <w:ind w:firstLine="480"/>
      </w:pPr>
      <w:r>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sz w:val="28"/>
          <w:b/>
        </w:rPr>
        <w:t>6.4终止采购活动情形</w:t>
      </w:r>
    </w:p>
    <w:p>
      <w:pPr>
        <w:pStyle w:val="null3"/>
        <w:ind w:firstLine="480"/>
      </w:pPr>
      <w:r>
        <w:rPr/>
        <w:t>有下列情形之一的，本项目终止采购活动：</w:t>
      </w:r>
    </w:p>
    <w:p>
      <w:pPr>
        <w:pStyle w:val="null3"/>
        <w:ind w:firstLine="480"/>
      </w:pPr>
      <w:r>
        <w:rPr/>
        <w:t>（一）因情况变化，不再符合规定的竞争性谈判采购方式适用情形的；</w:t>
      </w:r>
    </w:p>
    <w:p>
      <w:pPr>
        <w:pStyle w:val="null3"/>
        <w:ind w:firstLine="480"/>
      </w:pPr>
      <w:r>
        <w:rPr/>
        <w:t>（二）出现影响采购公正的违法、违规行为的；</w:t>
      </w:r>
    </w:p>
    <w:p>
      <w:pPr>
        <w:pStyle w:val="null3"/>
        <w:ind w:firstLine="480"/>
      </w:pPr>
      <w:r>
        <w:rPr/>
        <w:t>（三）提交首次响应文件的供应商不足三家的；</w:t>
      </w:r>
    </w:p>
    <w:p>
      <w:pPr>
        <w:pStyle w:val="null3"/>
        <w:ind w:firstLine="480"/>
      </w:pPr>
      <w:r>
        <w:rPr/>
        <w:t>（四）通过资格审查的供应商不足三家的；</w:t>
      </w:r>
    </w:p>
    <w:p>
      <w:pPr>
        <w:pStyle w:val="null3"/>
        <w:ind w:firstLine="480"/>
      </w:pPr>
      <w:r>
        <w:rPr/>
        <w:t>（五）通过符合性审查的供应商不足三家的；</w:t>
      </w:r>
    </w:p>
    <w:p>
      <w:pPr>
        <w:pStyle w:val="null3"/>
        <w:ind w:firstLine="480"/>
      </w:pPr>
      <w:r>
        <w:rPr/>
        <w:t>（六）提交最后报价的供应商不足三家的；</w:t>
      </w:r>
    </w:p>
    <w:p>
      <w:pPr>
        <w:pStyle w:val="null3"/>
        <w:ind w:firstLine="480"/>
      </w:pPr>
      <w:r>
        <w:rPr/>
        <w:t>（七）通过最后报价审查的供应商不足三家的。</w:t>
      </w:r>
    </w:p>
    <w:p>
      <w:pPr>
        <w:pStyle w:val="null3"/>
        <w:ind w:firstLine="480"/>
      </w:pPr>
      <w:r>
        <w:rPr/>
        <w:t>注：公开招标转竞争性谈判只有两家供应商参与的情形除外。</w:t>
      </w:r>
    </w:p>
    <w:p>
      <w:pPr>
        <w:pStyle w:val="null3"/>
        <w:outlineLvl w:val="2"/>
      </w:pPr>
      <w:r>
        <w:rPr>
          <w:sz w:val="28"/>
          <w:b/>
        </w:rPr>
        <w:t>6.5确定成交供应商</w:t>
      </w:r>
    </w:p>
    <w:p>
      <w:pPr>
        <w:pStyle w:val="null3"/>
      </w:pPr>
      <w:r>
        <w:rPr/>
        <w:t>一、评审结束后，代理机构在评审结束之日起2个工作日内将谈判报告及有关资料送交采购人确定成交供应商。</w:t>
      </w:r>
    </w:p>
    <w:p>
      <w:pPr>
        <w:pStyle w:val="null3"/>
      </w:pPr>
      <w:r>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t>三、采购人逾期未确定成交供应商且不提出异议的，视为确定谈判报告提出的排序第一的供应商为成交供应商。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6.6谈判小组成员义务</w:t>
      </w:r>
    </w:p>
    <w:p>
      <w:pPr>
        <w:pStyle w:val="null3"/>
        <w:ind w:firstLine="480"/>
      </w:pPr>
      <w:r>
        <w:rPr/>
        <w:t>（一）遵守评审工作纪律；</w:t>
      </w:r>
    </w:p>
    <w:p>
      <w:pPr>
        <w:pStyle w:val="null3"/>
        <w:ind w:firstLine="480"/>
      </w:pPr>
      <w:r>
        <w:rPr/>
        <w:t>（二）按照客观、公正、审慎的原则，根据竞争性谈判文件规定的评审程序、评审方法和评审标准进行独立评审；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6.7谈判纪律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详见附件：资格证明材料</w:t>
      </w:r>
    </w:p>
    <w:p>
      <w:pPr>
        <w:pStyle w:val="null3"/>
      </w:pPr>
      <w:r>
        <w:rPr/>
        <w:t>采购包2：</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详见附件：资格证明材料</w:t>
      </w:r>
    </w:p>
    <w:p>
      <w:pPr>
        <w:pStyle w:val="null3"/>
      </w:pPr>
      <w:r>
        <w:rPr/>
        <w:t>采购包3：</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详见附件：资格证明材料</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详见附件：拟签订采购合同文本.docx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