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云桌面实验教学系统采购项目</w:t>
      </w:r>
    </w:p>
    <w:p>
      <w:pPr>
        <w:pStyle w:val="null3"/>
        <w:jc w:val="center"/>
        <w:outlineLvl w:val="5"/>
      </w:pPr>
      <w:r>
        <w:rPr>
          <w:sz w:val="15"/>
          <w:b/>
        </w:rPr>
        <w:t xml:space="preserve">项目编号: </w:t>
      </w:r>
      <w:r>
        <w:rPr>
          <w:sz w:val="15"/>
          <w:b/>
        </w:rPr>
        <w:t>ZMZB2024XBDX-422</w:t>
      </w:r>
      <w:r>
        <w:br/>
      </w:r>
      <w:r>
        <w:br/>
      </w:r>
      <w:r>
        <w:br/>
      </w:r>
      <w:r>
        <w:br/>
      </w:r>
      <w:r>
        <w:br/>
      </w:r>
    </w:p>
    <w:p>
      <w:pPr>
        <w:pStyle w:val="null3"/>
        <w:jc w:val="center"/>
        <w:outlineLvl w:val="5"/>
      </w:pPr>
      <w:r>
        <w:rPr>
          <w:sz w:val="15"/>
          <w:b/>
        </w:rPr>
        <w:t>西北大学</w:t>
      </w:r>
    </w:p>
    <w:p>
      <w:pPr>
        <w:pStyle w:val="null3"/>
        <w:jc w:val="center"/>
        <w:outlineLvl w:val="5"/>
      </w:pPr>
      <w:r>
        <w:rPr>
          <w:sz w:val="15"/>
          <w:b/>
        </w:rPr>
        <w:t>陕西卓佲项目管理有限公司</w:t>
      </w:r>
      <w:r>
        <w:rPr>
          <w:sz w:val="15"/>
          <w:b/>
        </w:rPr>
        <w:t>共同编制</w:t>
      </w:r>
    </w:p>
    <w:p>
      <w:pPr>
        <w:pStyle w:val="null3"/>
        <w:jc w:val="center"/>
        <w:outlineLvl w:val="5"/>
      </w:pPr>
      <w:r>
        <w:rPr>
          <w:sz w:val="15"/>
          <w:b/>
        </w:rPr>
        <w:t>2024年12月04日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陕西卓佲项目管理有限公司</w:t>
      </w:r>
      <w:r>
        <w:rPr/>
        <w:t>（以下简称“代理机构”）受</w:t>
      </w:r>
      <w:r>
        <w:rPr/>
        <w:t>西北大学</w:t>
      </w:r>
      <w:r>
        <w:rPr/>
        <w:t>委托，拟对</w:t>
      </w:r>
      <w:r>
        <w:rPr/>
        <w:t>云桌面实验教学系统采购项目</w:t>
      </w:r>
      <w:r>
        <w:rPr/>
        <w:t>采用单一来源方式进行采购，现邀请贵公司参加该项目的协商。</w:t>
      </w:r>
    </w:p>
    <w:p>
      <w:pPr>
        <w:pStyle w:val="null3"/>
        <w:outlineLvl w:val="2"/>
      </w:pPr>
      <w:r>
        <w:rPr>
          <w:sz w:val="28"/>
          <w:b/>
        </w:rPr>
        <w:t>一、采购项目编号：</w:t>
      </w:r>
      <w:r>
        <w:rPr>
          <w:sz w:val="28"/>
          <w:b/>
        </w:rPr>
        <w:t>ZMZB2024XBDX-422</w:t>
      </w:r>
    </w:p>
    <w:p>
      <w:pPr>
        <w:pStyle w:val="null3"/>
        <w:outlineLvl w:val="2"/>
      </w:pPr>
      <w:r>
        <w:rPr>
          <w:sz w:val="28"/>
          <w:b/>
        </w:rPr>
        <w:t>二、采购项目名称：</w:t>
      </w:r>
      <w:r>
        <w:rPr>
          <w:sz w:val="28"/>
          <w:b/>
        </w:rPr>
        <w:t>云桌面实验教学系统采购项目</w:t>
      </w:r>
    </w:p>
    <w:p>
      <w:pPr>
        <w:pStyle w:val="null3"/>
        <w:outlineLvl w:val="2"/>
      </w:pPr>
      <w:r>
        <w:rPr>
          <w:sz w:val="28"/>
          <w:b/>
        </w:rPr>
        <w:t>三、协商项目简介：</w:t>
      </w:r>
    </w:p>
    <w:p>
      <w:pPr>
        <w:pStyle w:val="null3"/>
        <w:ind w:firstLine="480"/>
      </w:pPr>
      <w:r>
        <w:rPr/>
        <w:t>云桌面实验教学系统采购项目</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 的社会保险参保缴费情况证明。依法 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8、本项目不接受联合体投标：非联合体投标声明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710100</w:t>
      </w:r>
    </w:p>
    <w:p>
      <w:pPr>
        <w:pStyle w:val="null3"/>
      </w:pPr>
      <w:r>
        <w:rPr/>
        <w:t xml:space="preserve"> 联系人： </w:t>
      </w:r>
      <w:r>
        <w:rPr/>
        <w:t>张老师</w:t>
      </w:r>
    </w:p>
    <w:p>
      <w:pPr>
        <w:pStyle w:val="null3"/>
      </w:pPr>
      <w:r>
        <w:rPr/>
        <w:t xml:space="preserve"> 联系电话： </w:t>
      </w:r>
      <w:r>
        <w:rPr/>
        <w:t>029- 88302565</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710062</w:t>
      </w:r>
    </w:p>
    <w:p>
      <w:pPr>
        <w:pStyle w:val="null3"/>
      </w:pPr>
      <w:r>
        <w:rPr/>
        <w:t xml:space="preserve"> 联系人： </w:t>
      </w:r>
      <w:r>
        <w:rPr/>
        <w:t>董菊莉、窦元隆</w:t>
      </w:r>
    </w:p>
    <w:p>
      <w:pPr>
        <w:pStyle w:val="null3"/>
      </w:pPr>
      <w:r>
        <w:rPr/>
        <w:t xml:space="preserve"> 联系电话： </w:t>
      </w:r>
      <w:r>
        <w:rPr/>
        <w:t>17778966062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采购包1：697,000.00元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采购包1：697,000.00元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采购包1保证金金额：13,900.00元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下浮20%，由中标/成交单位一次性支付给乙方。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西北大学</w:t>
      </w:r>
      <w:r>
        <w:rPr/>
        <w:t>和</w:t>
      </w:r>
      <w:r>
        <w:rPr/>
        <w:t>陕西卓佲项目管理有限公司</w:t>
      </w:r>
      <w:r>
        <w:rPr/>
        <w:t>享有。对采购文件中供应商参加本次政府采购活动应当具备的条件、项目技术、服务、商务及其他要求，评审标准由采购人负责解释。除上述采购文件内容，其他内容由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西北大学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根据采购文件、响应文件及合同执行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rFonts w:ascii="宋体" w:hAnsi="宋体" w:cs="宋体" w:eastAsia="宋体"/>
        </w:rPr>
        <w:t>西大信息学院</w:t>
      </w:r>
      <w:r>
        <w:rPr>
          <w:rFonts w:ascii="calibri" w:hAnsi="calibri" w:cs="calibri" w:eastAsia="calibri"/>
        </w:rPr>
        <w:t>3</w:t>
      </w:r>
      <w:r>
        <w:rPr>
          <w:rFonts w:ascii="宋体" w:hAnsi="宋体" w:cs="宋体" w:eastAsia="宋体"/>
        </w:rPr>
        <w:t>层建设云虚拟化课堂平台以来，二期经过扩容，效果明显，运行良好，（仍然运行</w:t>
      </w:r>
      <w:r>
        <w:rPr>
          <w:rFonts w:ascii="calibri" w:hAnsi="calibri" w:cs="calibri" w:eastAsia="calibri"/>
        </w:rPr>
        <w:t>win7</w:t>
      </w:r>
      <w:r>
        <w:rPr>
          <w:rFonts w:ascii="宋体" w:hAnsi="宋体" w:cs="宋体" w:eastAsia="宋体"/>
        </w:rPr>
        <w:t>系统）。但是由于经费短缺，只进行了部分补充，解决了急需问题，再有了改进经验后，我们决定给一期（已使用满</w:t>
      </w:r>
      <w:r>
        <w:rPr>
          <w:rFonts w:ascii="calibri" w:hAnsi="calibri" w:cs="calibri" w:eastAsia="calibri"/>
        </w:rPr>
        <w:t>8</w:t>
      </w:r>
      <w:r>
        <w:rPr>
          <w:rFonts w:ascii="宋体" w:hAnsi="宋体" w:cs="宋体" w:eastAsia="宋体"/>
        </w:rPr>
        <w:t>年）进行扩容；扩容之后，我们计划运行</w:t>
      </w:r>
      <w:r>
        <w:rPr>
          <w:rFonts w:ascii="calibri" w:hAnsi="calibri" w:cs="calibri" w:eastAsia="calibri"/>
        </w:rPr>
        <w:t>100</w:t>
      </w:r>
      <w:r>
        <w:rPr>
          <w:rFonts w:ascii="宋体" w:hAnsi="宋体" w:cs="宋体" w:eastAsia="宋体"/>
        </w:rPr>
        <w:t>个</w:t>
      </w:r>
      <w:r>
        <w:rPr>
          <w:rFonts w:ascii="calibri" w:hAnsi="calibri" w:cs="calibri" w:eastAsia="calibri"/>
        </w:rPr>
        <w:t>win10</w:t>
      </w:r>
      <w:r>
        <w:rPr>
          <w:rFonts w:ascii="宋体" w:hAnsi="宋体" w:cs="宋体" w:eastAsia="宋体"/>
        </w:rPr>
        <w:t>或</w:t>
      </w:r>
      <w:r>
        <w:rPr>
          <w:rFonts w:ascii="calibri" w:hAnsi="calibri" w:cs="calibri" w:eastAsia="calibri"/>
        </w:rPr>
        <w:t>win11</w:t>
      </w:r>
      <w:r>
        <w:rPr>
          <w:rFonts w:ascii="宋体" w:hAnsi="宋体" w:cs="宋体" w:eastAsia="宋体"/>
        </w:rPr>
        <w:t>，大大降低机房设备运维工作量和复杂度，快速提升运行效率。原有一期的资源和四楼基础电子实验室的资源进行整合，已补充资源不足问题。</w:t>
      </w:r>
    </w:p>
    <w:p>
      <w:pPr>
        <w:pStyle w:val="null3"/>
        <w:jc w:val="both"/>
      </w:pPr>
      <w:r>
        <w:rPr>
          <w:rFonts w:ascii="宋体" w:hAnsi="宋体" w:cs="宋体" w:eastAsia="宋体"/>
          <w:sz w:val="21"/>
        </w:rPr>
        <w:t>本次扩容主要建设一体化云桌面系统扩容、原有资源池及平台需要扩容；由于本期扩容云桌面系统和磁盘阵列扩容均在原系统上进行扩容，故本期扩容系统及硬件需要与原系统保持一致。</w:t>
      </w:r>
    </w:p>
    <w:p>
      <w:pPr>
        <w:pStyle w:val="null3"/>
        <w:outlineLvl w:val="2"/>
      </w:pPr>
      <w:r>
        <w:rPr>
          <w:sz w:val="28"/>
          <w:b/>
        </w:rPr>
        <w:t>3.2采购内容</w:t>
      </w:r>
    </w:p>
    <w:p>
      <w:pPr>
        <w:pStyle w:val="null3"/>
      </w:pPr>
      <w:r>
        <w:rPr/>
        <w:t>采购包1：</w:t>
      </w:r>
    </w:p>
    <w:p>
      <w:pPr>
        <w:pStyle w:val="null3"/>
      </w:pPr>
      <w:r>
        <w:rPr/>
        <w:t>采购包预算金额（元）: 697,000.00</w:t>
      </w:r>
    </w:p>
    <w:p>
      <w:pPr>
        <w:pStyle w:val="null3"/>
      </w:pPr>
      <w:r>
        <w:rPr/>
        <w:t>采购包最高限价（元）: 697,000.00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西北大学云桌面教学系统</w:t>
            </w:r>
          </w:p>
        </w:tc>
        <w:tc>
          <w:tcPr>
            <w:tcW w:type="dxa" w:w="831"/>
          </w:tcPr>
          <w:p>
            <w:pPr>
              <w:pStyle w:val="null3"/>
              <w:jc w:val="right"/>
            </w:pPr>
            <w:r>
              <w:rPr/>
              <w:t>1.00</w:t>
            </w:r>
          </w:p>
        </w:tc>
        <w:tc>
          <w:tcPr>
            <w:tcW w:type="dxa" w:w="831"/>
          </w:tcPr>
          <w:p>
            <w:pPr>
              <w:pStyle w:val="null3"/>
              <w:jc w:val="right"/>
            </w:pPr>
            <w:r>
              <w:rPr/>
              <w:t>697,000.00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标的名称：西北大学云桌面教学系统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24"/>
              </w:rPr>
              <w:t>项目要求：</w:t>
            </w:r>
          </w:p>
          <w:p>
            <w:pPr>
              <w:pStyle w:val="null3"/>
              <w:jc w:val="both"/>
            </w:pPr>
            <w:r>
              <w:rPr>
                <w:rFonts w:ascii="simsun" w:hAnsi="simsun" w:cs="simsun" w:eastAsia="simsun"/>
                <w:sz w:val="24"/>
              </w:rPr>
              <w:t>与院系原有虚拟化平台对接，云桌面服务器、云桌面系统软件、云终端为同一品牌；需接入原有云平台，实现资源统一调度及统一管理。</w:t>
            </w:r>
          </w:p>
          <w:p>
            <w:pPr>
              <w:pStyle w:val="null3"/>
              <w:jc w:val="both"/>
            </w:pPr>
            <w:r>
              <w:rPr>
                <w:rFonts w:ascii="simsun" w:hAnsi="simsun" w:cs="simsun" w:eastAsia="simsun"/>
                <w:sz w:val="24"/>
              </w:rPr>
              <w:t>所有设备均为三年原厂质保。</w:t>
            </w:r>
          </w:p>
          <w:p>
            <w:pPr>
              <w:pStyle w:val="null3"/>
              <w:jc w:val="both"/>
            </w:pPr>
            <w:r>
              <w:rPr>
                <w:rFonts w:ascii="simsun" w:hAnsi="simsun" w:cs="simsun" w:eastAsia="simsun"/>
                <w:sz w:val="24"/>
              </w:rPr>
              <w:t>1.虚拟云桌面平台升级</w:t>
            </w:r>
          </w:p>
          <w:p>
            <w:pPr>
              <w:pStyle w:val="null3"/>
              <w:jc w:val="both"/>
            </w:pPr>
            <w:r>
              <w:rPr>
                <w:rFonts w:ascii="simsun" w:hAnsi="simsun" w:cs="simsun" w:eastAsia="simsun"/>
                <w:sz w:val="24"/>
              </w:rPr>
              <w:t>本次项目在原有资源池上增加计算资源，解决现有系统的资源不足问题，平台从5.1.7版本升级到6.3.6版本（或以上，按照最新，并且硬件允许的情况下提供）；100个终端用户从旧有的win7系统升级为win10或以上版本的系统。</w:t>
            </w:r>
          </w:p>
          <w:p>
            <w:pPr>
              <w:pStyle w:val="null3"/>
              <w:jc w:val="both"/>
            </w:pPr>
            <w:r>
              <w:rPr>
                <w:rFonts w:ascii="simsun" w:hAnsi="simsun" w:cs="simsun" w:eastAsia="simsun"/>
                <w:sz w:val="24"/>
              </w:rPr>
              <w:t>2.虚拟化平台资源池系统扩容</w:t>
            </w:r>
          </w:p>
          <w:p>
            <w:pPr>
              <w:pStyle w:val="null3"/>
              <w:jc w:val="both"/>
            </w:pPr>
            <w:r>
              <w:rPr>
                <w:rFonts w:ascii="simsun" w:hAnsi="simsun" w:cs="simsun" w:eastAsia="simsun"/>
                <w:sz w:val="24"/>
              </w:rPr>
              <w:t>增加主机7套，单套的参数为：</w:t>
            </w:r>
          </w:p>
          <w:p>
            <w:pPr>
              <w:pStyle w:val="null3"/>
              <w:jc w:val="both"/>
            </w:pPr>
            <w:r>
              <w:rPr>
                <w:rFonts w:ascii="simsun" w:hAnsi="simsun" w:cs="simsun" w:eastAsia="simsun"/>
                <w:sz w:val="24"/>
              </w:rPr>
              <w:t>CPU:intel 至强6336Y处理器（24核、2.4GHz、185W含散热片）*2块；</w:t>
            </w:r>
          </w:p>
          <w:p>
            <w:pPr>
              <w:pStyle w:val="null3"/>
              <w:jc w:val="both"/>
            </w:pPr>
            <w:r>
              <w:rPr>
                <w:rFonts w:ascii="simsun" w:hAnsi="simsun" w:cs="simsun" w:eastAsia="simsun"/>
                <w:sz w:val="24"/>
              </w:rPr>
              <w:t>内存：32GB-DDR4-RDIMM-</w:t>
            </w:r>
            <w:r>
              <w:rPr>
                <w:rFonts w:ascii="simsun" w:hAnsi="simsun" w:cs="simsun" w:eastAsia="simsun"/>
                <w:sz w:val="24"/>
              </w:rPr>
              <w:t>3200MHz*12根；</w:t>
            </w:r>
          </w:p>
          <w:p>
            <w:pPr>
              <w:pStyle w:val="null3"/>
              <w:jc w:val="both"/>
            </w:pPr>
            <w:r>
              <w:rPr>
                <w:rFonts w:ascii="simsun" w:hAnsi="simsun" w:cs="simsun" w:eastAsia="simsun"/>
                <w:sz w:val="24"/>
              </w:rPr>
              <w:t>硬盘：本次配置SSD-480GB</w:t>
            </w:r>
            <w:r>
              <w:rPr>
                <w:rFonts w:ascii="simsun" w:hAnsi="simsun" w:cs="simsun" w:eastAsia="simsun"/>
                <w:sz w:val="24"/>
              </w:rPr>
              <w:t>-SATA-2.5"-6Gb/s-读取</w:t>
            </w:r>
            <w:r>
              <w:rPr>
                <w:rFonts w:ascii="simsun" w:hAnsi="simsun" w:cs="simsun" w:eastAsia="simsun"/>
                <w:sz w:val="24"/>
              </w:rPr>
              <w:t>密集型-含2.5英寸硬盘盒*2块；</w:t>
            </w:r>
          </w:p>
          <w:p>
            <w:pPr>
              <w:pStyle w:val="null3"/>
              <w:jc w:val="both"/>
            </w:pPr>
            <w:r>
              <w:rPr>
                <w:rFonts w:ascii="simsun" w:hAnsi="simsun" w:cs="simsun" w:eastAsia="simsun"/>
                <w:sz w:val="24"/>
              </w:rPr>
              <w:t>SSD-3.84TB-SATA-2.5"-6Gb/s-</w:t>
            </w:r>
            <w:r>
              <w:rPr>
                <w:rFonts w:ascii="simsun" w:hAnsi="simsun" w:cs="simsun" w:eastAsia="simsun"/>
                <w:sz w:val="24"/>
              </w:rPr>
              <w:t>读写混合Samsung PM897-含3.5英寸硬盘盒*2块；</w:t>
            </w:r>
          </w:p>
          <w:p>
            <w:pPr>
              <w:pStyle w:val="null3"/>
              <w:jc w:val="both"/>
            </w:pPr>
            <w:r>
              <w:rPr>
                <w:rFonts w:ascii="simsun" w:hAnsi="simsun" w:cs="simsun" w:eastAsia="simsun"/>
                <w:sz w:val="24"/>
              </w:rPr>
              <w:t>RAID:</w:t>
            </w:r>
            <w:r>
              <w:rPr>
                <w:rFonts w:ascii="simsun" w:hAnsi="simsun" w:cs="simsun" w:eastAsia="simsun"/>
                <w:sz w:val="24"/>
                <w:color w:val="000000"/>
              </w:rPr>
              <w:t>支持AID0/1/5/6/10/50</w:t>
            </w:r>
            <w:r>
              <w:rPr>
                <w:rFonts w:ascii="simsun" w:hAnsi="simsun" w:cs="simsun" w:eastAsia="simsun"/>
                <w:sz w:val="24"/>
                <w:color w:val="000000"/>
              </w:rPr>
              <w:t>/60阵列卡，支持≥16端口，≥12Gbps；本次配置1块RAID阵列卡，支持RAID0/1/5/6/</w:t>
            </w:r>
            <w:r>
              <w:rPr>
                <w:rFonts w:ascii="simsun" w:hAnsi="simsun" w:cs="simsun" w:eastAsia="simsun"/>
                <w:sz w:val="24"/>
                <w:color w:val="000000"/>
              </w:rPr>
              <w:t>10/50/60。</w:t>
            </w:r>
          </w:p>
          <w:p>
            <w:pPr>
              <w:pStyle w:val="null3"/>
              <w:jc w:val="both"/>
            </w:pPr>
            <w:r>
              <w:rPr>
                <w:rFonts w:ascii="simsun" w:hAnsi="simsun" w:cs="simsun" w:eastAsia="simsun"/>
                <w:sz w:val="24"/>
              </w:rPr>
              <w:t>光口卡：PCIe NIC-ZTE NS312-Mellanox CX4-2x10G SFP+ -PCIe3.0x8-不含光模块＊2块；</w:t>
            </w:r>
          </w:p>
          <w:p>
            <w:pPr>
              <w:pStyle w:val="null3"/>
              <w:jc w:val="both"/>
            </w:pPr>
            <w:r>
              <w:rPr>
                <w:rFonts w:ascii="simsun" w:hAnsi="simsun" w:cs="simsun" w:eastAsia="simsun"/>
                <w:sz w:val="24"/>
              </w:rPr>
              <w:t>光模块：10G*4块；</w:t>
            </w:r>
          </w:p>
          <w:p>
            <w:pPr>
              <w:pStyle w:val="null3"/>
              <w:jc w:val="both"/>
            </w:pPr>
            <w:r>
              <w:rPr>
                <w:rFonts w:ascii="simsun" w:hAnsi="simsun" w:cs="simsun" w:eastAsia="simsun"/>
                <w:sz w:val="24"/>
              </w:rPr>
              <w:t>电源：M型交流电源模块800W*2块；</w:t>
            </w:r>
          </w:p>
          <w:p>
            <w:pPr>
              <w:pStyle w:val="null3"/>
              <w:jc w:val="both"/>
            </w:pPr>
            <w:r>
              <w:rPr>
                <w:rFonts w:ascii="simsun" w:hAnsi="simsun" w:cs="simsun" w:eastAsia="simsun"/>
                <w:sz w:val="24"/>
              </w:rPr>
              <w:t>3.配套杀毒软件1套</w:t>
            </w:r>
          </w:p>
          <w:p>
            <w:pPr>
              <w:pStyle w:val="null3"/>
              <w:jc w:val="both"/>
            </w:pPr>
            <w:r>
              <w:rPr>
                <w:rFonts w:ascii="simsun" w:hAnsi="simsun" w:cs="simsun" w:eastAsia="simsun"/>
                <w:sz w:val="24"/>
              </w:rPr>
              <w:t>无代理杀毒软件1套</w:t>
            </w:r>
          </w:p>
          <w:p>
            <w:pPr>
              <w:pStyle w:val="null3"/>
              <w:jc w:val="both"/>
            </w:pPr>
            <w:r>
              <w:rPr>
                <w:rFonts w:ascii="simsun" w:hAnsi="simsun" w:cs="simsun" w:eastAsia="simsun"/>
                <w:sz w:val="24"/>
              </w:rPr>
              <w:t>4.升级教学软件管理系统 1套</w:t>
            </w:r>
          </w:p>
          <w:p>
            <w:pPr>
              <w:pStyle w:val="null3"/>
              <w:jc w:val="both"/>
            </w:pPr>
            <w:r>
              <w:rPr>
                <w:rFonts w:ascii="simsun" w:hAnsi="simsun" w:cs="simsun" w:eastAsia="simsun"/>
                <w:sz w:val="24"/>
              </w:rPr>
              <w:t>教学软件功能包含屏幕广播、学生演示、网络影院、屏幕追踪、遥控、远程命令、远程设置、分组讨论、主题讨论、考试、调查、文件分发、文件提交、文件收集、语音广播、语音对讲、程序限制、网页限制、屏幕录制、黑屏等标准功能以及共享白板、答题卡考试、抢答竞赛、U盘限制、光盘限制、打印限制等高级功能。</w:t>
            </w:r>
          </w:p>
          <w:p>
            <w:pPr>
              <w:pStyle w:val="null3"/>
              <w:jc w:val="both"/>
            </w:pPr>
            <w:r>
              <w:rPr>
                <w:rFonts w:ascii="simsun" w:hAnsi="simsun" w:cs="simsun" w:eastAsia="simsun"/>
                <w:sz w:val="24"/>
              </w:rPr>
              <w:t>5.磁阵扩容总容量不少于30*480G；</w:t>
            </w:r>
          </w:p>
          <w:p>
            <w:pPr>
              <w:pStyle w:val="null3"/>
              <w:jc w:val="both"/>
            </w:pPr>
            <w:r>
              <w:rPr>
                <w:rFonts w:ascii="simsun" w:hAnsi="simsun" w:cs="simsun" w:eastAsia="simsun"/>
                <w:sz w:val="24"/>
              </w:rPr>
              <w:t>6.实施及安装调试：</w:t>
            </w:r>
          </w:p>
          <w:p>
            <w:pPr>
              <w:pStyle w:val="null3"/>
              <w:jc w:val="both"/>
            </w:pPr>
            <w:r>
              <w:rPr>
                <w:rFonts w:ascii="simsun" w:hAnsi="simsun" w:cs="simsun" w:eastAsia="simsun"/>
                <w:sz w:val="24"/>
              </w:rPr>
              <w:t>含网线、光纤、光模块；安装、部署、布线、线材一批、人工、系统部署及调试。</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合同签订后30天内交货</w:t>
      </w:r>
    </w:p>
    <w:p>
      <w:pPr>
        <w:pStyle w:val="null3"/>
        <w:outlineLvl w:val="3"/>
      </w:pPr>
      <w:r>
        <w:rPr>
          <w:sz w:val="24"/>
          <w:b/>
        </w:rPr>
        <w:t>3.4.2交货地点</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质保期：质保期三年。 1.供应商须根据产品所包含的内容，通过电话、网络远程或上门等方式为采购提供提供使用操作、安装培训及疑难解答等服务。供应商须承诺在2个工作日内针对采购人提出的具体问题予以回复。 2.如果在保质期内产品出现使用缺陷，供应商负责免费维修、置换同等产品，期间产生的运费由供应商自行承担。 3.质保期内，产品出现非人为因素损坏而造成短期停用时，则质保期相应顺延，如停用时间累计超过60天，则质保期自产品修复之日起重新计算。 4.供应商针对设备操作人员及相关人员提供每年不少于1次的现场培训，保证采购人熟练操作。 5.供应商提供不少于2人次的厂家集中培训，介绍设备相关理论和日常维护，设备简单故障的排除。</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3.5其他要求</w:t>
      </w:r>
    </w:p>
    <w:p>
      <w:pPr>
        <w:pStyle w:val="null3"/>
      </w:pPr>
      <w:r>
        <w:rPr/>
        <w:t>采购包1：</w:t>
      </w:r>
    </w:p>
    <w:p>
      <w:pPr>
        <w:pStyle w:val="null3"/>
      </w:pPr>
      <w:r>
        <w:rPr/>
        <w:t>付款方式：合同生效后，乙方开具合同金额等额银行保函，甲方收到银行保函正本后，预付合同货款，待货物到达指定地点、安装调试验收合格后，甲方退还银行保函正本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供应商资格条件1</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供应商资格条件1</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 的社会保险参保缴费情况证明。依法 不需要缴纳社会保障资金的供应商应提供相关文件证明</w:t>
            </w:r>
          </w:p>
        </w:tc>
        <w:tc>
          <w:tcPr>
            <w:tcW w:type="dxa" w:w="1661"/>
          </w:tcPr>
          <w:p>
            <w:pPr>
              <w:pStyle w:val="null3"/>
            </w:pPr>
            <w:r>
              <w:rPr/>
              <w:t>供应商资格条件1</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供应商资格条件1</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供应商资格条件1</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供应商资格条件1</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供应商资格条件1</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供应商资格条件1</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供应商认为有必要说明的其他问题 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响应文件响应有效期达到采购文件要求的（合格），响应文件无响应有效期或有效期达不到采购文件要求的（不合格）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响应文件封面 中小企业声明函 残疾人福利性单位声明函 标的清单 报价表 响应函 供应商资格条件1 监狱企业的证明文件</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响应文件标的未出现漏项的（合格），响应文件标的出现漏项的（不合格）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交货期和质保期</w:t>
            </w:r>
          </w:p>
        </w:tc>
        <w:tc>
          <w:tcPr>
            <w:tcW w:type="dxa" w:w="3322"/>
          </w:tcPr>
          <w:p>
            <w:pPr>
              <w:pStyle w:val="null3"/>
            </w:pPr>
            <w:r>
              <w:rPr/>
              <w:t>交货期和质保期达到文件最低要求的(合格)，交货期和质保期未达到文件最低要求的(不合格)</w:t>
            </w:r>
          </w:p>
        </w:tc>
        <w:tc>
          <w:tcPr>
            <w:tcW w:type="dxa" w:w="1661"/>
          </w:tcPr>
          <w:p>
            <w:pPr>
              <w:pStyle w:val="null3"/>
            </w:pPr>
            <w:r>
              <w:rPr/>
              <w:t>商务应答表 项目实施方案</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详见附件：供应商资格条件1</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