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版本号：241206002</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超高效液相色谱质谱仪采购项目</w:t>
      </w:r>
    </w:p>
    <w:p>
      <w:pPr>
        <w:pStyle w:val="null3"/>
        <w:jc w:val="center"/>
        <w:outlineLvl w:val="2"/>
      </w:pPr>
      <w:r>
        <w:rPr>
          <w:sz w:val="28"/>
          <w:b/>
        </w:rPr>
        <w:t>采购项目编号：</w:t>
      </w:r>
      <w:r>
        <w:rPr>
          <w:sz w:val="28"/>
          <w:b/>
        </w:rPr>
        <w:t>RH采字【20241204】号</w:t>
      </w:r>
      <w:r>
        <w:br/>
      </w:r>
      <w:r>
        <w:br/>
      </w:r>
      <w:r>
        <w:br/>
      </w:r>
    </w:p>
    <w:p>
      <w:pPr>
        <w:pStyle w:val="null3"/>
        <w:jc w:val="center"/>
        <w:outlineLvl w:val="2"/>
      </w:pPr>
      <w:r>
        <w:rPr>
          <w:sz w:val="28"/>
          <w:b/>
        </w:rPr>
        <w:t>西北大学</w:t>
      </w:r>
    </w:p>
    <w:p>
      <w:pPr>
        <w:pStyle w:val="null3"/>
        <w:jc w:val="center"/>
        <w:outlineLvl w:val="2"/>
      </w:pPr>
      <w:r>
        <w:rPr>
          <w:sz w:val="28"/>
          <w:b/>
        </w:rPr>
        <w:t>瑞恒项目管理有限公司</w:t>
      </w:r>
      <w:r>
        <w:rPr>
          <w:sz w:val="28"/>
          <w:b/>
        </w:rPr>
        <w:t>共同编制</w:t>
      </w:r>
    </w:p>
    <w:p>
      <w:pPr>
        <w:pStyle w:val="null3"/>
        <w:jc w:val="center"/>
        <w:outlineLvl w:val="2"/>
      </w:pPr>
      <w:r>
        <w:rPr>
          <w:sz w:val="28"/>
          <w:b/>
        </w:rPr>
        <w:t>2024年12月04日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瑞恒项目管理有限公司</w:t>
      </w:r>
      <w:r>
        <w:rPr/>
        <w:t>（以下简称“代理机构”）受</w:t>
      </w:r>
      <w:r>
        <w:rPr/>
        <w:t>西北大学</w:t>
      </w:r>
      <w:r>
        <w:rPr/>
        <w:t>委托，拟对</w:t>
      </w:r>
      <w:r>
        <w:rPr/>
        <w:t>超高效液相色谱质谱仪采购项目</w:t>
      </w:r>
      <w:r>
        <w:rPr/>
        <w:t>采用竞争性谈判采购方式进行采购，兹邀请供应商参加本项目的竞争性谈判。</w:t>
      </w:r>
    </w:p>
    <w:p>
      <w:pPr>
        <w:pStyle w:val="null3"/>
        <w:outlineLvl w:val="2"/>
      </w:pPr>
      <w:r>
        <w:rPr>
          <w:sz w:val="28"/>
          <w:b/>
        </w:rPr>
        <w:t>一、项目编号：</w:t>
      </w:r>
      <w:r>
        <w:rPr>
          <w:sz w:val="28"/>
          <w:b/>
        </w:rPr>
        <w:t>RH采字【20241204】号</w:t>
      </w:r>
    </w:p>
    <w:p>
      <w:pPr>
        <w:pStyle w:val="null3"/>
        <w:outlineLvl w:val="2"/>
      </w:pPr>
      <w:r>
        <w:rPr>
          <w:sz w:val="28"/>
          <w:b/>
        </w:rPr>
        <w:t>二、项目名称：</w:t>
      </w:r>
      <w:r>
        <w:rPr>
          <w:sz w:val="28"/>
          <w:b/>
        </w:rPr>
        <w:t>超高效液相色谱质谱仪采购项目</w:t>
      </w:r>
    </w:p>
    <w:p>
      <w:pPr>
        <w:pStyle w:val="null3"/>
        <w:outlineLvl w:val="2"/>
      </w:pPr>
      <w:r>
        <w:rPr>
          <w:sz w:val="28"/>
          <w:b/>
        </w:rPr>
        <w:t>三、谈判项目简介：</w:t>
      </w:r>
    </w:p>
    <w:p>
      <w:pPr>
        <w:pStyle w:val="null3"/>
        <w:ind w:firstLine="480"/>
      </w:pPr>
      <w:r>
        <w:rPr/>
        <w:t>西北大学超高效液相色谱质谱仪采购项目</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1、具有独立承担民事责任的能力：具有独立承担民事责任能力的法人、其他组织或自然人，提供合法有效的统一社会信用代码营业执照（事业单位提供法人证书，自然人提供身份证）。</w:t>
      </w:r>
    </w:p>
    <w:p>
      <w:pPr>
        <w:pStyle w:val="null3"/>
      </w:pPr>
      <w:r>
        <w:rPr/>
        <w:t>2、具有良好的商业信誉和健全的财务会计制度：法人提供经审计的2023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t>3、有依法缴纳税收的良好记录：提供响应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成立不足一个月的提供依法纳税的承诺书，格式自拟；零报税的提供申报成功的凭证）。</w:t>
      </w:r>
    </w:p>
    <w:p>
      <w:pPr>
        <w:pStyle w:val="null3"/>
      </w:pPr>
      <w:r>
        <w:rPr/>
        <w:t>4、有依法缴纳社会保障资金的良好记录：提供响应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供应商向代缴方用于缴存社保的银行转账单据 ）；依法不需要缴纳社会保障资金的供应商应提供相关文件证明（成立不足一个月的提供将依法交纳社会保障资金的承诺书，格式自拟）。</w:t>
      </w:r>
    </w:p>
    <w:p>
      <w:pPr>
        <w:pStyle w:val="null3"/>
      </w:pPr>
      <w:r>
        <w:rPr/>
        <w:t>5、具有履行合同所必需的设备和专业技术能力：提供具有履行合同所必需的设备和专业技术能力的承诺。</w:t>
      </w:r>
    </w:p>
    <w:p>
      <w:pPr>
        <w:pStyle w:val="null3"/>
      </w:pPr>
      <w:r>
        <w:rPr/>
        <w:t>6、参加政府采购活动前三年内，在经营活动中没有重大违法记录：提供参加政府采购活动前三年内，在经营活动中没有重大违法记录的书面声明。</w:t>
      </w:r>
    </w:p>
    <w:p>
      <w:pPr>
        <w:pStyle w:val="null3"/>
      </w:pPr>
      <w:r>
        <w:rPr/>
        <w:t>7、法定代表人授权书、法定代表人身份证明合格：提供合格的法定代表人授权书（附法定代表人、被授权人身份证复印件）或法定代表人身份证明（法定代表人直接参加响应的）。</w:t>
      </w:r>
    </w:p>
    <w:p>
      <w:pPr>
        <w:pStyle w:val="null3"/>
      </w:pPr>
      <w:r>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t>9、进口产品授权书：若所响应产品为进口产品的，供应商须提供产品厂家授权书或总代理商授权书或具有授权权限的供应商对所响应进口产品的授权书。（如提供总代理商授权的须同时提供具有有效授权权限的相关证明文件，证明文件需能显示产品制造厂家对所响应产品授权链条的完整性）。</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西北大学</w:t>
      </w:r>
    </w:p>
    <w:p>
      <w:pPr>
        <w:pStyle w:val="null3"/>
      </w:pPr>
      <w:r>
        <w:rPr/>
        <w:t xml:space="preserve"> 地址： </w:t>
      </w:r>
      <w:r>
        <w:rPr/>
        <w:t>太白北路229号</w:t>
      </w:r>
    </w:p>
    <w:p>
      <w:pPr>
        <w:pStyle w:val="null3"/>
      </w:pPr>
      <w:r>
        <w:rPr/>
        <w:t xml:space="preserve"> 邮编： </w:t>
      </w:r>
      <w:r>
        <w:rPr/>
        <w:t>710000</w:t>
      </w:r>
    </w:p>
    <w:p>
      <w:pPr>
        <w:pStyle w:val="null3"/>
      </w:pPr>
      <w:r>
        <w:rPr/>
        <w:t xml:space="preserve"> 联系人： </w:t>
      </w:r>
      <w:r>
        <w:rPr/>
        <w:t>西北大学经办</w:t>
      </w:r>
    </w:p>
    <w:p>
      <w:pPr>
        <w:pStyle w:val="null3"/>
      </w:pPr>
      <w:r>
        <w:rPr/>
        <w:t xml:space="preserve"> 联系电话： </w:t>
      </w:r>
      <w:r>
        <w:rPr/>
        <w:t>88302595</w:t>
      </w:r>
    </w:p>
    <w:p>
      <w:pPr>
        <w:pStyle w:val="null3"/>
        <w:outlineLvl w:val="3"/>
      </w:pPr>
      <w:r>
        <w:rPr>
          <w:sz w:val="24"/>
          <w:b/>
        </w:rPr>
        <w:t>代理机构：</w:t>
      </w:r>
      <w:r>
        <w:rPr>
          <w:sz w:val="24"/>
          <w:b/>
        </w:rPr>
        <w:t>瑞恒项目管理有限公司</w:t>
      </w:r>
    </w:p>
    <w:p>
      <w:pPr>
        <w:pStyle w:val="null3"/>
      </w:pPr>
      <w:r>
        <w:rPr/>
        <w:t xml:space="preserve"> 地址： </w:t>
      </w:r>
      <w:r>
        <w:rPr/>
        <w:t>陕西省西安市雁塔区陕西省西安市曲江新区雁翔路3269号旺座曲江D座30层3001号</w:t>
      </w:r>
    </w:p>
    <w:p>
      <w:pPr>
        <w:pStyle w:val="null3"/>
      </w:pPr>
      <w:r>
        <w:rPr/>
        <w:t xml:space="preserve"> 邮编： </w:t>
      </w:r>
      <w:r>
        <w:rPr/>
        <w:t>710000</w:t>
      </w:r>
    </w:p>
    <w:p>
      <w:pPr>
        <w:pStyle w:val="null3"/>
      </w:pPr>
      <w:r>
        <w:rPr/>
        <w:t xml:space="preserve"> 联系人： </w:t>
      </w:r>
      <w:r>
        <w:rPr/>
        <w:t>石雨鑫、张丰利、刘菲、王倩倩</w:t>
      </w:r>
    </w:p>
    <w:p>
      <w:pPr>
        <w:pStyle w:val="null3"/>
      </w:pPr>
      <w:r>
        <w:rPr/>
        <w:t xml:space="preserve"> 联系电话： </w:t>
      </w:r>
      <w:r>
        <w:rPr/>
        <w:t>15091632950</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采购包1：2,240,000.00元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否</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否</w:t>
            </w:r>
            <w:r>
              <w:rPr/>
              <w:t>产品属于节能产品政府采购品目清单中应优先采购的产品范围，本项目采购的</w:t>
            </w:r>
            <w:r>
              <w:rPr/>
              <w:t>否</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说明：中标人（成交供应商）于合同签订前缴纳，缴纳金额为合同金额的5%。转账账号：西北大学 611301015018001145006 交通银行太白路支行转账金额到账后，可持银行回执到西北大学换取收据。退还方式：待验收合格后凭收据和验收单复印件无息退还。如遇下列情况之一者，合同履约保证金不予退还，作为对采购人的赔偿：（1）合同签订后不能按合同时限要求供货或安装调试的；（2）所供设备与合同不符或验收不合格的；（3）不能按合同履约的。</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有关规定下浮20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西北大学</w:t>
      </w:r>
      <w:r>
        <w:rPr/>
        <w:t>和</w:t>
      </w:r>
      <w:r>
        <w:rPr/>
        <w:t>瑞恒项目管理有限公司</w:t>
      </w:r>
      <w:r>
        <w:rPr/>
        <w:t>享有。竞争性谈判文件中供应商参加本次政府采购活动应当具备的条件、技术清单、参数、商务及其他要求由</w:t>
      </w:r>
      <w:r>
        <w:rPr/>
        <w:t>西北大学</w:t>
      </w:r>
      <w:r>
        <w:rPr/>
        <w:t>负责解释。除上述竞争性谈判文件内容，其他内容由</w:t>
      </w:r>
      <w:r>
        <w:rPr/>
        <w:t>瑞恒项目管理有限公司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西北大学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瑞恒项目管理有限公司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根据谈判文件要求及合同约定执行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瑞恒项目管理有限公司</w:t>
      </w:r>
      <w:r>
        <w:rPr/>
        <w:t xml:space="preserve"> 负责答复；供应商对除采购需求外的采购文件的询问、质疑由</w:t>
      </w:r>
      <w:r>
        <w:rPr/>
        <w:t>瑞恒项目管理有限公司</w:t>
      </w:r>
      <w:r>
        <w:rPr/>
        <w:t xml:space="preserve"> 负责答复；供应商对采购过程、采购结果的询问、质疑由 </w:t>
      </w:r>
      <w:r>
        <w:rPr/>
        <w:t>瑞恒项目管理有限公司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联系人：石雨鑫、张丰利、刘菲、王倩倩</w:t>
      </w:r>
    </w:p>
    <w:p>
      <w:pPr>
        <w:pStyle w:val="null3"/>
      </w:pPr>
      <w:r>
        <w:rPr/>
        <w:t>联系电话：15091632950</w:t>
      </w:r>
    </w:p>
    <w:p>
      <w:pPr>
        <w:pStyle w:val="null3"/>
      </w:pPr>
      <w:r>
        <w:rPr/>
        <w:t>地址：陕西省西安市雁塔区陕西省西安市曲江新区雁翔路3269号旺座曲江D座30层3001号</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西北大学超高效液相色谱质谱仪采购项目</w:t>
      </w:r>
    </w:p>
    <w:p>
      <w:pPr>
        <w:pStyle w:val="null3"/>
        <w:outlineLvl w:val="2"/>
      </w:pPr>
      <w:r>
        <w:rPr>
          <w:sz w:val="28"/>
          <w:b/>
        </w:rPr>
        <w:t>3.2采购内容</w:t>
      </w:r>
    </w:p>
    <w:p>
      <w:pPr>
        <w:pStyle w:val="null3"/>
      </w:pPr>
      <w:r>
        <w:rPr/>
        <w:t>采购包1：</w:t>
      </w:r>
    </w:p>
    <w:p>
      <w:pPr>
        <w:pStyle w:val="null3"/>
      </w:pPr>
      <w:r>
        <w:rPr/>
        <w:t>采购包预算金额（元）: 2,240,000.00</w:t>
      </w:r>
    </w:p>
    <w:p>
      <w:pPr>
        <w:pStyle w:val="null3"/>
      </w:pPr>
      <w:r>
        <w:rPr/>
        <w:t>采购包最高限价（元）: 2,240,000.00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超高效液相色谱质谱仪</w:t>
            </w:r>
          </w:p>
        </w:tc>
        <w:tc>
          <w:tcPr>
            <w:tcW w:type="dxa" w:w="831"/>
          </w:tcPr>
          <w:p>
            <w:pPr>
              <w:pStyle w:val="null3"/>
              <w:jc w:val="right"/>
            </w:pPr>
            <w:r>
              <w:rPr/>
              <w:t>1.00</w:t>
            </w:r>
          </w:p>
        </w:tc>
        <w:tc>
          <w:tcPr>
            <w:tcW w:type="dxa" w:w="831"/>
          </w:tcPr>
          <w:p>
            <w:pPr>
              <w:pStyle w:val="null3"/>
              <w:jc w:val="right"/>
            </w:pPr>
            <w:r>
              <w:rPr/>
              <w:t>2,240,000.00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标的名称：超高效液相色谱质谱仪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left"/>
            </w:pPr>
            <w:r>
              <w:rPr>
                <w:rFonts w:ascii="宋体" w:hAnsi="宋体" w:cs="宋体" w:eastAsia="宋体"/>
                <w:sz w:val="24"/>
                <w:color w:val="000000"/>
              </w:rPr>
              <w:t>一、性能要求</w:t>
            </w:r>
          </w:p>
          <w:p>
            <w:pPr>
              <w:pStyle w:val="null3"/>
              <w:jc w:val="left"/>
            </w:pPr>
            <w:r>
              <w:rPr>
                <w:rFonts w:ascii="宋体" w:hAnsi="宋体" w:cs="宋体" w:eastAsia="宋体"/>
                <w:sz w:val="24"/>
                <w:color w:val="000000"/>
              </w:rPr>
              <w:t>1. 质谱仪主机</w:t>
            </w:r>
          </w:p>
          <w:p>
            <w:pPr>
              <w:pStyle w:val="null3"/>
              <w:jc w:val="left"/>
            </w:pPr>
            <w:r>
              <w:rPr>
                <w:rFonts w:ascii="宋体" w:hAnsi="宋体" w:cs="宋体" w:eastAsia="宋体"/>
                <w:sz w:val="24"/>
                <w:color w:val="000000"/>
              </w:rPr>
              <w:t>1.1 离子源：独立的ESI和APCI离子源。互换ESI及APCI喷针；</w:t>
            </w:r>
          </w:p>
          <w:p>
            <w:pPr>
              <w:pStyle w:val="null3"/>
              <w:jc w:val="left"/>
            </w:pPr>
          </w:p>
        </w:tc>
      </w:tr>
      <w:tr>
        <w:tc>
          <w:tcPr>
            <w:tcW w:type="dxa" w:w="2769"/>
          </w:tcPr>
          <w:p>
            <w:pPr>
              <w:pStyle w:val="null3"/>
            </w:pPr>
            <w:r>
              <w:rPr/>
              <w:t>★</w:t>
            </w:r>
          </w:p>
        </w:tc>
        <w:tc>
          <w:tcPr>
            <w:tcW w:type="dxa" w:w="2769"/>
          </w:tcPr>
          <w:p>
            <w:pPr>
              <w:pStyle w:val="null3"/>
            </w:pPr>
            <w:r>
              <w:rPr/>
              <w:t>2</w:t>
            </w:r>
          </w:p>
        </w:tc>
        <w:tc>
          <w:tcPr>
            <w:tcW w:type="dxa" w:w="2769"/>
          </w:tcPr>
          <w:p>
            <w:pPr>
              <w:pStyle w:val="null3"/>
              <w:jc w:val="left"/>
            </w:pPr>
            <w:r>
              <w:rPr>
                <w:rFonts w:ascii="宋体" w:hAnsi="宋体" w:cs="宋体" w:eastAsia="宋体"/>
                <w:sz w:val="24"/>
                <w:color w:val="000000"/>
              </w:rPr>
              <w:t>1.2 离子传输系统采用锥孔结构，需提供证明文件（包括但不限于检测报告、官网和功能截图、彩页、说明书等相关资料）；</w:t>
            </w:r>
          </w:p>
        </w:tc>
      </w:tr>
      <w:tr>
        <w:tc>
          <w:tcPr>
            <w:tcW w:type="dxa" w:w="2769"/>
          </w:tcPr>
          <w:p>
            <w:pPr>
              <w:pStyle w:val="null3"/>
            </w:pPr>
            <w:r>
              <w:rPr/>
              <w:t>★</w:t>
            </w:r>
          </w:p>
        </w:tc>
        <w:tc>
          <w:tcPr>
            <w:tcW w:type="dxa" w:w="2769"/>
          </w:tcPr>
          <w:p>
            <w:pPr>
              <w:pStyle w:val="null3"/>
            </w:pPr>
            <w:r>
              <w:rPr/>
              <w:t>3</w:t>
            </w:r>
          </w:p>
        </w:tc>
        <w:tc>
          <w:tcPr>
            <w:tcW w:type="dxa" w:w="2769"/>
          </w:tcPr>
          <w:p>
            <w:pPr>
              <w:pStyle w:val="null3"/>
              <w:jc w:val="left"/>
            </w:pPr>
            <w:r>
              <w:rPr>
                <w:rFonts w:ascii="宋体" w:hAnsi="宋体" w:cs="宋体" w:eastAsia="宋体"/>
                <w:sz w:val="24"/>
                <w:color w:val="000000"/>
              </w:rPr>
              <w:t>1.3 离子源加热温度：≥650℃，可在软件界面成功设置并反馈达到温度,需提供证明文件（包括但不限于检测报告、官网和功能截图、彩页、说明书等相关资料）；</w:t>
            </w:r>
          </w:p>
        </w:tc>
      </w:tr>
      <w:tr>
        <w:tc>
          <w:tcPr>
            <w:tcW w:type="dxa" w:w="2769"/>
          </w:tcPr>
          <w:p>
            <w:pPr>
              <w:pStyle w:val="null3"/>
            </w:pPr>
            <w:r>
              <w:rPr/>
              <w:t>★</w:t>
            </w:r>
          </w:p>
        </w:tc>
        <w:tc>
          <w:tcPr>
            <w:tcW w:type="dxa" w:w="2769"/>
          </w:tcPr>
          <w:p>
            <w:pPr>
              <w:pStyle w:val="null3"/>
            </w:pPr>
            <w:r>
              <w:rPr/>
              <w:t>4</w:t>
            </w:r>
          </w:p>
        </w:tc>
        <w:tc>
          <w:tcPr>
            <w:tcW w:type="dxa" w:w="2769"/>
          </w:tcPr>
          <w:p>
            <w:pPr>
              <w:pStyle w:val="null3"/>
              <w:jc w:val="left"/>
            </w:pPr>
            <w:r>
              <w:rPr>
                <w:rFonts w:ascii="宋体" w:hAnsi="宋体" w:cs="宋体" w:eastAsia="宋体"/>
                <w:sz w:val="24"/>
                <w:color w:val="000000"/>
              </w:rPr>
              <w:t>1.4 喷雾针与离子传输系统，具备传输反吹干燥气，喷雾针位置连续可调；</w:t>
            </w:r>
          </w:p>
        </w:tc>
      </w:tr>
      <w:tr>
        <w:tc>
          <w:tcPr>
            <w:tcW w:type="dxa" w:w="2769"/>
          </w:tcPr>
          <w:p>
            <w:pPr>
              <w:pStyle w:val="null3"/>
            </w:pPr>
            <w:r>
              <w:rPr/>
              <w:t>★</w:t>
            </w:r>
          </w:p>
        </w:tc>
        <w:tc>
          <w:tcPr>
            <w:tcW w:type="dxa" w:w="2769"/>
          </w:tcPr>
          <w:p>
            <w:pPr>
              <w:pStyle w:val="null3"/>
            </w:pPr>
            <w:r>
              <w:rPr/>
              <w:t>5</w:t>
            </w:r>
          </w:p>
        </w:tc>
        <w:tc>
          <w:tcPr>
            <w:tcW w:type="dxa" w:w="2769"/>
          </w:tcPr>
          <w:p>
            <w:pPr>
              <w:pStyle w:val="null3"/>
              <w:jc w:val="left"/>
            </w:pPr>
            <w:r>
              <w:rPr>
                <w:rFonts w:ascii="宋体" w:hAnsi="宋体" w:cs="宋体" w:eastAsia="宋体"/>
                <w:sz w:val="24"/>
                <w:color w:val="000000"/>
              </w:rPr>
              <w:t>1.5 ESI电喷雾离子源流速范围：5μL/min-2.5ml/min，需提供证明文件（包括但不限于检测报告、官网和功能截图、彩页、说明书等相关资料）；</w:t>
            </w:r>
          </w:p>
        </w:tc>
      </w:tr>
      <w:tr>
        <w:tc>
          <w:tcPr>
            <w:tcW w:type="dxa" w:w="2769"/>
          </w:tcPr>
          <w:p>
            <w:pPr>
              <w:pStyle w:val="null3"/>
            </w:pPr>
            <w:r>
              <w:rPr/>
              <w:t>★</w:t>
            </w:r>
          </w:p>
        </w:tc>
        <w:tc>
          <w:tcPr>
            <w:tcW w:type="dxa" w:w="2769"/>
          </w:tcPr>
          <w:p>
            <w:pPr>
              <w:pStyle w:val="null3"/>
            </w:pPr>
            <w:r>
              <w:rPr/>
              <w:t>6</w:t>
            </w:r>
          </w:p>
        </w:tc>
        <w:tc>
          <w:tcPr>
            <w:tcW w:type="dxa" w:w="2769"/>
          </w:tcPr>
          <w:p>
            <w:pPr>
              <w:pStyle w:val="null3"/>
              <w:jc w:val="left"/>
            </w:pPr>
            <w:r>
              <w:rPr>
                <w:rFonts w:ascii="宋体" w:hAnsi="宋体" w:cs="宋体" w:eastAsia="宋体"/>
                <w:sz w:val="24"/>
                <w:color w:val="000000"/>
              </w:rPr>
              <w:t>1.6 APCI大气压化学电离源流速范围：200μL/min-2.5ml/min。需提供证明文件（包括但不限于检测报告、官网和功能截图、彩页、说明书等相关资料）；</w:t>
            </w:r>
          </w:p>
        </w:tc>
      </w:tr>
      <w:tr>
        <w:tc>
          <w:tcPr>
            <w:tcW w:type="dxa" w:w="2769"/>
          </w:tcPr>
          <w:p>
            <w:pPr>
              <w:pStyle w:val="null3"/>
            </w:pPr>
            <w:r>
              <w:rPr/>
              <w:t>★</w:t>
            </w:r>
          </w:p>
        </w:tc>
        <w:tc>
          <w:tcPr>
            <w:tcW w:type="dxa" w:w="2769"/>
          </w:tcPr>
          <w:p>
            <w:pPr>
              <w:pStyle w:val="null3"/>
            </w:pPr>
            <w:r>
              <w:rPr/>
              <w:t>7</w:t>
            </w:r>
          </w:p>
        </w:tc>
        <w:tc>
          <w:tcPr>
            <w:tcW w:type="dxa" w:w="2769"/>
          </w:tcPr>
          <w:p>
            <w:pPr>
              <w:pStyle w:val="null3"/>
              <w:jc w:val="both"/>
            </w:pPr>
            <w:r>
              <w:rPr>
                <w:rFonts w:ascii="宋体" w:hAnsi="宋体" w:cs="宋体" w:eastAsia="宋体"/>
                <w:sz w:val="24"/>
                <w:color w:val="000000"/>
              </w:rPr>
              <w:t>1.7 离子源排废：主动废气排放装置；</w:t>
            </w:r>
          </w:p>
        </w:tc>
      </w:tr>
      <w:tr>
        <w:tc>
          <w:tcPr>
            <w:tcW w:type="dxa" w:w="2769"/>
          </w:tcPr>
          <w:p>
            <w:pPr>
              <w:pStyle w:val="null3"/>
            </w:pPr>
            <w:r>
              <w:rPr/>
              <w:t>★</w:t>
            </w:r>
          </w:p>
        </w:tc>
        <w:tc>
          <w:tcPr>
            <w:tcW w:type="dxa" w:w="2769"/>
          </w:tcPr>
          <w:p>
            <w:pPr>
              <w:pStyle w:val="null3"/>
            </w:pPr>
            <w:r>
              <w:rPr/>
              <w:t>8</w:t>
            </w:r>
          </w:p>
        </w:tc>
        <w:tc>
          <w:tcPr>
            <w:tcW w:type="dxa" w:w="2769"/>
          </w:tcPr>
          <w:p>
            <w:pPr>
              <w:pStyle w:val="null3"/>
              <w:jc w:val="left"/>
            </w:pPr>
            <w:r>
              <w:rPr>
                <w:rFonts w:ascii="宋体" w:hAnsi="宋体" w:cs="宋体" w:eastAsia="宋体"/>
                <w:sz w:val="24"/>
                <w:color w:val="000000"/>
              </w:rPr>
              <w:t>1.8 离子导入：多级高压聚焦传输，具备梯度变化；</w:t>
            </w:r>
          </w:p>
        </w:tc>
      </w:tr>
      <w:tr>
        <w:tc>
          <w:tcPr>
            <w:tcW w:type="dxa" w:w="2769"/>
          </w:tcPr>
          <w:p>
            <w:pPr>
              <w:pStyle w:val="null3"/>
            </w:pPr>
            <w:r>
              <w:rPr/>
              <w:t>★</w:t>
            </w:r>
          </w:p>
        </w:tc>
        <w:tc>
          <w:tcPr>
            <w:tcW w:type="dxa" w:w="2769"/>
          </w:tcPr>
          <w:p>
            <w:pPr>
              <w:pStyle w:val="null3"/>
            </w:pPr>
            <w:r>
              <w:rPr/>
              <w:t>9</w:t>
            </w:r>
          </w:p>
        </w:tc>
        <w:tc>
          <w:tcPr>
            <w:tcW w:type="dxa" w:w="2769"/>
          </w:tcPr>
          <w:p>
            <w:pPr>
              <w:pStyle w:val="null3"/>
              <w:jc w:val="left"/>
            </w:pPr>
            <w:r>
              <w:rPr>
                <w:rFonts w:ascii="宋体" w:hAnsi="宋体" w:cs="宋体" w:eastAsia="宋体"/>
                <w:sz w:val="24"/>
                <w:color w:val="000000"/>
              </w:rPr>
              <w:t>1.9 碰撞池：驻留时间1ms；</w:t>
            </w:r>
          </w:p>
        </w:tc>
      </w:tr>
      <w:tr>
        <w:tc>
          <w:tcPr>
            <w:tcW w:type="dxa" w:w="2769"/>
          </w:tcPr>
          <w:p>
            <w:pPr>
              <w:pStyle w:val="null3"/>
            </w:pPr>
            <w:r>
              <w:rPr/>
              <w:t>★</w:t>
            </w:r>
          </w:p>
        </w:tc>
        <w:tc>
          <w:tcPr>
            <w:tcW w:type="dxa" w:w="2769"/>
          </w:tcPr>
          <w:p>
            <w:pPr>
              <w:pStyle w:val="null3"/>
            </w:pPr>
            <w:r>
              <w:rPr/>
              <w:t>10</w:t>
            </w:r>
          </w:p>
        </w:tc>
        <w:tc>
          <w:tcPr>
            <w:tcW w:type="dxa" w:w="2769"/>
          </w:tcPr>
          <w:p>
            <w:pPr>
              <w:pStyle w:val="null3"/>
              <w:jc w:val="left"/>
            </w:pPr>
            <w:r>
              <w:rPr>
                <w:rFonts w:ascii="宋体" w:hAnsi="宋体" w:cs="宋体" w:eastAsia="宋体"/>
                <w:sz w:val="24"/>
                <w:color w:val="000000"/>
              </w:rPr>
              <w:t>1.10气体要求：采用同一种气体氮气做为雾化气和碰撞气。需提供证明文件（包括但不限于检测报告、官网和功能截图、彩页、说明书等相关资料）；</w:t>
            </w:r>
          </w:p>
        </w:tc>
      </w:tr>
      <w:tr>
        <w:tc>
          <w:tcPr>
            <w:tcW w:type="dxa" w:w="2769"/>
          </w:tcPr>
          <w:p>
            <w:pPr>
              <w:pStyle w:val="null3"/>
            </w:pPr>
            <w:r>
              <w:rPr/>
              <w:t>★</w:t>
            </w:r>
          </w:p>
        </w:tc>
        <w:tc>
          <w:tcPr>
            <w:tcW w:type="dxa" w:w="2769"/>
          </w:tcPr>
          <w:p>
            <w:pPr>
              <w:pStyle w:val="null3"/>
            </w:pPr>
            <w:r>
              <w:rPr/>
              <w:t>11</w:t>
            </w:r>
          </w:p>
        </w:tc>
        <w:tc>
          <w:tcPr>
            <w:tcW w:type="dxa" w:w="2769"/>
          </w:tcPr>
          <w:p>
            <w:pPr>
              <w:pStyle w:val="null3"/>
              <w:jc w:val="left"/>
            </w:pPr>
            <w:r>
              <w:rPr>
                <w:rFonts w:ascii="宋体" w:hAnsi="宋体" w:cs="宋体" w:eastAsia="宋体"/>
                <w:sz w:val="24"/>
                <w:color w:val="000000"/>
              </w:rPr>
              <w:t>1.11 检测系统：电子倍增检测器或光电倍增管检测器；</w:t>
            </w:r>
          </w:p>
        </w:tc>
      </w:tr>
      <w:tr>
        <w:tc>
          <w:tcPr>
            <w:tcW w:type="dxa" w:w="2769"/>
          </w:tcPr>
          <w:p>
            <w:pPr>
              <w:pStyle w:val="null3"/>
            </w:pPr>
            <w:r>
              <w:rPr/>
              <w:t>★</w:t>
            </w:r>
          </w:p>
        </w:tc>
        <w:tc>
          <w:tcPr>
            <w:tcW w:type="dxa" w:w="2769"/>
          </w:tcPr>
          <w:p>
            <w:pPr>
              <w:pStyle w:val="null3"/>
            </w:pPr>
            <w:r>
              <w:rPr/>
              <w:t>12</w:t>
            </w:r>
          </w:p>
        </w:tc>
        <w:tc>
          <w:tcPr>
            <w:tcW w:type="dxa" w:w="2769"/>
          </w:tcPr>
          <w:p>
            <w:pPr>
              <w:pStyle w:val="null3"/>
              <w:jc w:val="left"/>
            </w:pPr>
            <w:r>
              <w:rPr>
                <w:rFonts w:ascii="宋体" w:hAnsi="宋体" w:cs="宋体" w:eastAsia="宋体"/>
                <w:sz w:val="24"/>
                <w:color w:val="000000"/>
              </w:rPr>
              <w:t>1.12 真空系统：高真空无油分子涡轮泵系统，空气冷却，无需水冷，源区和分析区形成差分抽气系统，自动断电保护功能；</w:t>
            </w:r>
          </w:p>
        </w:tc>
      </w:tr>
      <w:tr>
        <w:tc>
          <w:tcPr>
            <w:tcW w:type="dxa" w:w="2769"/>
          </w:tcPr>
          <w:p>
            <w:pPr>
              <w:pStyle w:val="null3"/>
            </w:pPr>
            <w:r>
              <w:rPr/>
              <w:t>★</w:t>
            </w:r>
          </w:p>
        </w:tc>
        <w:tc>
          <w:tcPr>
            <w:tcW w:type="dxa" w:w="2769"/>
          </w:tcPr>
          <w:p>
            <w:pPr>
              <w:pStyle w:val="null3"/>
            </w:pPr>
            <w:r>
              <w:rPr/>
              <w:t>13</w:t>
            </w:r>
          </w:p>
        </w:tc>
        <w:tc>
          <w:tcPr>
            <w:tcW w:type="dxa" w:w="2769"/>
          </w:tcPr>
          <w:p>
            <w:pPr>
              <w:pStyle w:val="null3"/>
              <w:jc w:val="both"/>
            </w:pPr>
            <w:r>
              <w:rPr>
                <w:rFonts w:ascii="宋体" w:hAnsi="宋体" w:cs="宋体" w:eastAsia="宋体"/>
                <w:sz w:val="24"/>
                <w:color w:val="000000"/>
              </w:rPr>
              <w:t>1.13 质谱拓展性：可兼容毛细管电泳。需提供证明文件（包括但不限于检测报告、官网和功能截图、彩页、说明书等相关资料）；</w:t>
            </w:r>
          </w:p>
        </w:tc>
      </w:tr>
      <w:tr>
        <w:tc>
          <w:tcPr>
            <w:tcW w:type="dxa" w:w="2769"/>
          </w:tcPr>
          <w:p>
            <w:pPr>
              <w:pStyle w:val="null3"/>
            </w:pPr>
            <w:r>
              <w:rPr/>
              <w:t>★</w:t>
            </w:r>
          </w:p>
        </w:tc>
        <w:tc>
          <w:tcPr>
            <w:tcW w:type="dxa" w:w="2769"/>
          </w:tcPr>
          <w:p>
            <w:pPr>
              <w:pStyle w:val="null3"/>
            </w:pPr>
            <w:r>
              <w:rPr/>
              <w:t>14</w:t>
            </w:r>
          </w:p>
        </w:tc>
        <w:tc>
          <w:tcPr>
            <w:tcW w:type="dxa" w:w="2769"/>
          </w:tcPr>
          <w:p>
            <w:pPr>
              <w:pStyle w:val="null3"/>
              <w:jc w:val="left"/>
            </w:pPr>
            <w:r>
              <w:rPr>
                <w:rFonts w:ascii="宋体" w:hAnsi="宋体" w:cs="宋体" w:eastAsia="宋体"/>
                <w:sz w:val="24"/>
                <w:color w:val="000000"/>
              </w:rPr>
              <w:t>2. 超高效液相色谱主机</w:t>
            </w:r>
          </w:p>
          <w:p>
            <w:pPr>
              <w:pStyle w:val="null3"/>
              <w:jc w:val="left"/>
            </w:pPr>
            <w:r>
              <w:rPr>
                <w:rFonts w:ascii="宋体" w:hAnsi="宋体" w:cs="宋体" w:eastAsia="宋体"/>
                <w:sz w:val="24"/>
                <w:color w:val="000000"/>
              </w:rPr>
              <w:t>2.1二元高压色谱泵</w:t>
            </w:r>
          </w:p>
          <w:p>
            <w:pPr>
              <w:pStyle w:val="null3"/>
              <w:jc w:val="left"/>
            </w:pPr>
            <w:r>
              <w:rPr>
                <w:rFonts w:ascii="宋体" w:hAnsi="宋体" w:cs="宋体" w:eastAsia="宋体"/>
                <w:sz w:val="24"/>
                <w:color w:val="000000"/>
              </w:rPr>
              <w:t>2.1.1 流速范围：0.001-5.000mL/min，递增率0.001mL/min；</w:t>
            </w:r>
          </w:p>
        </w:tc>
      </w:tr>
      <w:tr>
        <w:tc>
          <w:tcPr>
            <w:tcW w:type="dxa" w:w="2769"/>
          </w:tcPr>
          <w:p>
            <w:pPr>
              <w:pStyle w:val="null3"/>
            </w:pPr>
            <w:r>
              <w:rPr/>
              <w:t>★</w:t>
            </w:r>
          </w:p>
        </w:tc>
        <w:tc>
          <w:tcPr>
            <w:tcW w:type="dxa" w:w="2769"/>
          </w:tcPr>
          <w:p>
            <w:pPr>
              <w:pStyle w:val="null3"/>
            </w:pPr>
            <w:r>
              <w:rPr/>
              <w:t>15</w:t>
            </w:r>
          </w:p>
        </w:tc>
        <w:tc>
          <w:tcPr>
            <w:tcW w:type="dxa" w:w="2769"/>
          </w:tcPr>
          <w:p>
            <w:pPr>
              <w:pStyle w:val="null3"/>
              <w:jc w:val="left"/>
            </w:pPr>
            <w:r>
              <w:rPr>
                <w:rFonts w:ascii="宋体" w:hAnsi="宋体" w:cs="宋体" w:eastAsia="宋体"/>
                <w:sz w:val="24"/>
                <w:color w:val="000000"/>
              </w:rPr>
              <w:t>2.1.2流量精密度：RSD≤0.065% ；需提供证明文件（包括但不限于检测报告、官网和功能截图、彩页、说明书等相关资料）；</w:t>
            </w:r>
          </w:p>
        </w:tc>
      </w:tr>
      <w:tr>
        <w:tc>
          <w:tcPr>
            <w:tcW w:type="dxa" w:w="2769"/>
          </w:tcPr>
          <w:p>
            <w:pPr>
              <w:pStyle w:val="null3"/>
            </w:pPr>
            <w:r>
              <w:rPr/>
              <w:t>★</w:t>
            </w:r>
          </w:p>
        </w:tc>
        <w:tc>
          <w:tcPr>
            <w:tcW w:type="dxa" w:w="2769"/>
          </w:tcPr>
          <w:p>
            <w:pPr>
              <w:pStyle w:val="null3"/>
            </w:pPr>
            <w:r>
              <w:rPr/>
              <w:t>16</w:t>
            </w:r>
          </w:p>
        </w:tc>
        <w:tc>
          <w:tcPr>
            <w:tcW w:type="dxa" w:w="2769"/>
          </w:tcPr>
          <w:p>
            <w:pPr>
              <w:pStyle w:val="null3"/>
              <w:jc w:val="both"/>
            </w:pPr>
            <w:r>
              <w:rPr>
                <w:rFonts w:ascii="宋体" w:hAnsi="宋体" w:cs="宋体" w:eastAsia="宋体"/>
                <w:sz w:val="24"/>
                <w:color w:val="000000"/>
              </w:rPr>
              <w:t>2.1.3流量准确性: ±1.0 %；</w:t>
            </w:r>
          </w:p>
        </w:tc>
      </w:tr>
      <w:tr>
        <w:tc>
          <w:tcPr>
            <w:tcW w:type="dxa" w:w="2769"/>
          </w:tcPr>
          <w:p>
            <w:pPr>
              <w:pStyle w:val="null3"/>
            </w:pPr>
            <w:r>
              <w:rPr/>
              <w:t>★</w:t>
            </w:r>
          </w:p>
        </w:tc>
        <w:tc>
          <w:tcPr>
            <w:tcW w:type="dxa" w:w="2769"/>
          </w:tcPr>
          <w:p>
            <w:pPr>
              <w:pStyle w:val="null3"/>
            </w:pPr>
            <w:r>
              <w:rPr/>
              <w:t>17</w:t>
            </w:r>
          </w:p>
        </w:tc>
        <w:tc>
          <w:tcPr>
            <w:tcW w:type="dxa" w:w="2769"/>
          </w:tcPr>
          <w:p>
            <w:pPr>
              <w:pStyle w:val="null3"/>
              <w:jc w:val="left"/>
            </w:pPr>
            <w:r>
              <w:rPr>
                <w:rFonts w:ascii="宋体" w:hAnsi="宋体" w:cs="宋体" w:eastAsia="宋体"/>
                <w:sz w:val="24"/>
                <w:color w:val="000000"/>
              </w:rPr>
              <w:t>2.1.4最大耐压：≥15000Psi；</w:t>
            </w:r>
          </w:p>
        </w:tc>
      </w:tr>
      <w:tr>
        <w:tc>
          <w:tcPr>
            <w:tcW w:type="dxa" w:w="2769"/>
          </w:tcPr>
          <w:p>
            <w:pPr>
              <w:pStyle w:val="null3"/>
            </w:pPr>
            <w:r>
              <w:rPr/>
              <w:t>★</w:t>
            </w:r>
          </w:p>
        </w:tc>
        <w:tc>
          <w:tcPr>
            <w:tcW w:type="dxa" w:w="2769"/>
          </w:tcPr>
          <w:p>
            <w:pPr>
              <w:pStyle w:val="null3"/>
            </w:pPr>
            <w:r>
              <w:rPr/>
              <w:t>18</w:t>
            </w:r>
          </w:p>
        </w:tc>
        <w:tc>
          <w:tcPr>
            <w:tcW w:type="dxa" w:w="2769"/>
          </w:tcPr>
          <w:p>
            <w:pPr>
              <w:pStyle w:val="null3"/>
              <w:jc w:val="left"/>
            </w:pPr>
            <w:r>
              <w:rPr>
                <w:rFonts w:ascii="宋体" w:hAnsi="宋体" w:cs="宋体" w:eastAsia="宋体"/>
                <w:sz w:val="24"/>
                <w:color w:val="000000"/>
              </w:rPr>
              <w:t>2.1.5梯度混合精度： ±0.1%；</w:t>
            </w:r>
          </w:p>
        </w:tc>
      </w:tr>
      <w:tr>
        <w:tc>
          <w:tcPr>
            <w:tcW w:type="dxa" w:w="2769"/>
          </w:tcPr>
          <w:p>
            <w:pPr>
              <w:pStyle w:val="null3"/>
            </w:pPr>
            <w:r>
              <w:rPr/>
              <w:t>★</w:t>
            </w:r>
          </w:p>
        </w:tc>
        <w:tc>
          <w:tcPr>
            <w:tcW w:type="dxa" w:w="2769"/>
          </w:tcPr>
          <w:p>
            <w:pPr>
              <w:pStyle w:val="null3"/>
            </w:pPr>
            <w:r>
              <w:rPr/>
              <w:t>19</w:t>
            </w:r>
          </w:p>
        </w:tc>
        <w:tc>
          <w:tcPr>
            <w:tcW w:type="dxa" w:w="2769"/>
          </w:tcPr>
          <w:p>
            <w:pPr>
              <w:pStyle w:val="null3"/>
              <w:jc w:val="left"/>
            </w:pPr>
            <w:r>
              <w:rPr>
                <w:rFonts w:ascii="宋体" w:hAnsi="宋体" w:cs="宋体" w:eastAsia="宋体"/>
                <w:sz w:val="24"/>
                <w:color w:val="000000"/>
              </w:rPr>
              <w:t>2.2自动进样器</w:t>
            </w:r>
          </w:p>
          <w:p>
            <w:pPr>
              <w:pStyle w:val="null3"/>
              <w:jc w:val="left"/>
            </w:pPr>
            <w:r>
              <w:rPr>
                <w:rFonts w:ascii="宋体" w:hAnsi="宋体" w:cs="宋体" w:eastAsia="宋体"/>
                <w:sz w:val="24"/>
                <w:color w:val="000000"/>
              </w:rPr>
              <w:t>2.2.1进样量范围：0.1μL～50μL；</w:t>
            </w:r>
          </w:p>
        </w:tc>
      </w:tr>
      <w:tr>
        <w:tc>
          <w:tcPr>
            <w:tcW w:type="dxa" w:w="2769"/>
          </w:tcPr>
          <w:p>
            <w:pPr>
              <w:pStyle w:val="null3"/>
            </w:pPr>
            <w:r>
              <w:rPr/>
              <w:t>★</w:t>
            </w:r>
          </w:p>
        </w:tc>
        <w:tc>
          <w:tcPr>
            <w:tcW w:type="dxa" w:w="2769"/>
          </w:tcPr>
          <w:p>
            <w:pPr>
              <w:pStyle w:val="null3"/>
            </w:pPr>
            <w:r>
              <w:rPr/>
              <w:t>20</w:t>
            </w:r>
          </w:p>
        </w:tc>
        <w:tc>
          <w:tcPr>
            <w:tcW w:type="dxa" w:w="2769"/>
          </w:tcPr>
          <w:p>
            <w:pPr>
              <w:pStyle w:val="null3"/>
              <w:jc w:val="left"/>
            </w:pPr>
            <w:r>
              <w:rPr>
                <w:rFonts w:ascii="宋体" w:hAnsi="宋体" w:cs="宋体" w:eastAsia="宋体"/>
                <w:sz w:val="24"/>
                <w:color w:val="000000"/>
              </w:rPr>
              <w:t>2.2.2 样品位：≥160位2ml样品瓶；需提供证明文件（包括但不限于检测报告、官网和功能截图、彩页、说明书等相关资料）；</w:t>
            </w:r>
          </w:p>
        </w:tc>
      </w:tr>
      <w:tr>
        <w:tc>
          <w:tcPr>
            <w:tcW w:type="dxa" w:w="2769"/>
          </w:tcPr>
          <w:p>
            <w:pPr>
              <w:pStyle w:val="null3"/>
            </w:pPr>
            <w:r>
              <w:rPr/>
              <w:t>★</w:t>
            </w:r>
          </w:p>
        </w:tc>
        <w:tc>
          <w:tcPr>
            <w:tcW w:type="dxa" w:w="2769"/>
          </w:tcPr>
          <w:p>
            <w:pPr>
              <w:pStyle w:val="null3"/>
            </w:pPr>
            <w:r>
              <w:rPr/>
              <w:t>21</w:t>
            </w:r>
          </w:p>
        </w:tc>
        <w:tc>
          <w:tcPr>
            <w:tcW w:type="dxa" w:w="2769"/>
          </w:tcPr>
          <w:p>
            <w:pPr>
              <w:pStyle w:val="null3"/>
              <w:jc w:val="left"/>
            </w:pPr>
            <w:r>
              <w:rPr>
                <w:rFonts w:ascii="宋体" w:hAnsi="宋体" w:cs="宋体" w:eastAsia="宋体"/>
                <w:sz w:val="24"/>
                <w:color w:val="000000"/>
              </w:rPr>
              <w:t>2.2.3进样精度：≤0.25 % RSD；</w:t>
            </w:r>
          </w:p>
        </w:tc>
      </w:tr>
      <w:tr>
        <w:tc>
          <w:tcPr>
            <w:tcW w:type="dxa" w:w="2769"/>
          </w:tcPr>
          <w:p>
            <w:pPr>
              <w:pStyle w:val="null3"/>
            </w:pPr>
            <w:r>
              <w:rPr/>
              <w:t>★</w:t>
            </w:r>
          </w:p>
        </w:tc>
        <w:tc>
          <w:tcPr>
            <w:tcW w:type="dxa" w:w="2769"/>
          </w:tcPr>
          <w:p>
            <w:pPr>
              <w:pStyle w:val="null3"/>
            </w:pPr>
            <w:r>
              <w:rPr/>
              <w:t>22</w:t>
            </w:r>
          </w:p>
        </w:tc>
        <w:tc>
          <w:tcPr>
            <w:tcW w:type="dxa" w:w="2769"/>
          </w:tcPr>
          <w:p>
            <w:pPr>
              <w:pStyle w:val="null3"/>
              <w:jc w:val="left"/>
            </w:pPr>
            <w:r>
              <w:rPr>
                <w:rFonts w:ascii="宋体" w:hAnsi="宋体" w:cs="宋体" w:eastAsia="宋体"/>
                <w:sz w:val="24"/>
                <w:color w:val="000000"/>
              </w:rPr>
              <w:t>2.2.</w:t>
            </w:r>
            <w:r>
              <w:rPr>
                <w:rFonts w:ascii="宋体" w:hAnsi="宋体" w:cs="宋体" w:eastAsia="宋体"/>
                <w:sz w:val="24"/>
                <w:color w:val="000000"/>
              </w:rPr>
              <w:t>4</w:t>
            </w:r>
            <w:r>
              <w:rPr>
                <w:rFonts w:ascii="宋体" w:hAnsi="宋体" w:cs="宋体" w:eastAsia="宋体"/>
                <w:sz w:val="24"/>
                <w:color w:val="000000"/>
              </w:rPr>
              <w:t>控温范围：</w:t>
            </w:r>
            <w:r>
              <w:rPr>
                <w:rFonts w:ascii="宋体" w:hAnsi="宋体" w:cs="宋体" w:eastAsia="宋体"/>
                <w:sz w:val="24"/>
                <w:color w:val="000000"/>
              </w:rPr>
              <w:t>4-45℃；</w:t>
            </w:r>
          </w:p>
        </w:tc>
      </w:tr>
      <w:tr>
        <w:tc>
          <w:tcPr>
            <w:tcW w:type="dxa" w:w="2769"/>
          </w:tcPr>
          <w:p>
            <w:pPr>
              <w:pStyle w:val="null3"/>
            </w:pPr>
            <w:r>
              <w:rPr/>
              <w:t>★</w:t>
            </w:r>
          </w:p>
        </w:tc>
        <w:tc>
          <w:tcPr>
            <w:tcW w:type="dxa" w:w="2769"/>
          </w:tcPr>
          <w:p>
            <w:pPr>
              <w:pStyle w:val="null3"/>
            </w:pPr>
            <w:r>
              <w:rPr/>
              <w:t>23</w:t>
            </w:r>
          </w:p>
        </w:tc>
        <w:tc>
          <w:tcPr>
            <w:tcW w:type="dxa" w:w="2769"/>
          </w:tcPr>
          <w:p>
            <w:pPr>
              <w:pStyle w:val="null3"/>
              <w:jc w:val="left"/>
            </w:pPr>
            <w:r>
              <w:rPr>
                <w:rFonts w:ascii="宋体" w:hAnsi="宋体" w:cs="宋体" w:eastAsia="宋体"/>
                <w:sz w:val="24"/>
                <w:color w:val="000000"/>
              </w:rPr>
              <w:t>2.3柱温箱</w:t>
            </w:r>
          </w:p>
          <w:p>
            <w:pPr>
              <w:pStyle w:val="null3"/>
              <w:jc w:val="left"/>
            </w:pPr>
            <w:r>
              <w:rPr>
                <w:rFonts w:ascii="宋体" w:hAnsi="宋体" w:cs="宋体" w:eastAsia="宋体"/>
                <w:sz w:val="24"/>
                <w:color w:val="000000"/>
              </w:rPr>
              <w:t>2.3.1温度范围: (室温-5)℃-95℃；</w:t>
            </w:r>
          </w:p>
        </w:tc>
      </w:tr>
      <w:tr>
        <w:tc>
          <w:tcPr>
            <w:tcW w:type="dxa" w:w="2769"/>
          </w:tcPr>
          <w:p>
            <w:pPr>
              <w:pStyle w:val="null3"/>
            </w:pPr>
            <w:r>
              <w:rPr/>
              <w:t>★</w:t>
            </w:r>
          </w:p>
        </w:tc>
        <w:tc>
          <w:tcPr>
            <w:tcW w:type="dxa" w:w="2769"/>
          </w:tcPr>
          <w:p>
            <w:pPr>
              <w:pStyle w:val="null3"/>
            </w:pPr>
            <w:r>
              <w:rPr/>
              <w:t>24</w:t>
            </w:r>
          </w:p>
        </w:tc>
        <w:tc>
          <w:tcPr>
            <w:tcW w:type="dxa" w:w="2769"/>
          </w:tcPr>
          <w:p>
            <w:pPr>
              <w:pStyle w:val="null3"/>
              <w:jc w:val="left"/>
            </w:pPr>
            <w:r>
              <w:rPr>
                <w:rFonts w:ascii="宋体" w:hAnsi="宋体" w:cs="宋体" w:eastAsia="宋体"/>
                <w:sz w:val="24"/>
                <w:color w:val="000000"/>
              </w:rPr>
              <w:t>2.3.2温度控制精度：±0.1℃；</w:t>
            </w:r>
          </w:p>
        </w:tc>
      </w:tr>
      <w:tr>
        <w:tc>
          <w:tcPr>
            <w:tcW w:type="dxa" w:w="2769"/>
          </w:tcPr>
          <w:p>
            <w:pPr>
              <w:pStyle w:val="null3"/>
            </w:pPr>
            <w:r>
              <w:rPr/>
              <w:t>★</w:t>
            </w:r>
          </w:p>
        </w:tc>
        <w:tc>
          <w:tcPr>
            <w:tcW w:type="dxa" w:w="2769"/>
          </w:tcPr>
          <w:p>
            <w:pPr>
              <w:pStyle w:val="null3"/>
            </w:pPr>
            <w:r>
              <w:rPr/>
              <w:t>25</w:t>
            </w:r>
          </w:p>
        </w:tc>
        <w:tc>
          <w:tcPr>
            <w:tcW w:type="dxa" w:w="2769"/>
          </w:tcPr>
          <w:p>
            <w:pPr>
              <w:pStyle w:val="null3"/>
              <w:jc w:val="left"/>
            </w:pPr>
            <w:r>
              <w:rPr>
                <w:rFonts w:ascii="宋体" w:hAnsi="宋体" w:cs="宋体" w:eastAsia="宋体"/>
                <w:sz w:val="24"/>
                <w:color w:val="000000"/>
              </w:rPr>
              <w:t>3. 系统指标要求</w:t>
            </w:r>
          </w:p>
          <w:p>
            <w:pPr>
              <w:pStyle w:val="null3"/>
              <w:jc w:val="left"/>
            </w:pPr>
            <w:r>
              <w:rPr>
                <w:rFonts w:ascii="宋体" w:hAnsi="宋体" w:cs="宋体" w:eastAsia="宋体"/>
                <w:sz w:val="24"/>
                <w:color w:val="000000"/>
              </w:rPr>
              <w:t>3.1 质量范围（m/z）：5-1200；</w:t>
            </w:r>
          </w:p>
        </w:tc>
      </w:tr>
      <w:tr>
        <w:tc>
          <w:tcPr>
            <w:tcW w:type="dxa" w:w="2769"/>
          </w:tcPr>
          <w:p>
            <w:pPr>
              <w:pStyle w:val="null3"/>
            </w:pPr>
            <w:r>
              <w:rPr/>
              <w:t>★</w:t>
            </w:r>
          </w:p>
        </w:tc>
        <w:tc>
          <w:tcPr>
            <w:tcW w:type="dxa" w:w="2769"/>
          </w:tcPr>
          <w:p>
            <w:pPr>
              <w:pStyle w:val="null3"/>
            </w:pPr>
            <w:r>
              <w:rPr/>
              <w:t>26</w:t>
            </w:r>
          </w:p>
        </w:tc>
        <w:tc>
          <w:tcPr>
            <w:tcW w:type="dxa" w:w="2769"/>
          </w:tcPr>
          <w:p>
            <w:pPr>
              <w:pStyle w:val="null3"/>
              <w:jc w:val="left"/>
            </w:pPr>
            <w:r>
              <w:rPr>
                <w:rFonts w:ascii="宋体" w:hAnsi="宋体" w:cs="宋体" w:eastAsia="宋体"/>
                <w:sz w:val="24"/>
                <w:color w:val="000000"/>
              </w:rPr>
              <w:t>3.2 灵敏度和重现性：</w:t>
            </w:r>
          </w:p>
          <w:p>
            <w:pPr>
              <w:pStyle w:val="null3"/>
              <w:jc w:val="left"/>
            </w:pPr>
            <w:r>
              <w:rPr>
                <w:rFonts w:ascii="宋体" w:hAnsi="宋体" w:cs="宋体" w:eastAsia="宋体"/>
                <w:sz w:val="24"/>
                <w:color w:val="000000"/>
              </w:rPr>
              <w:t>3.2.1 ESI源正离子：1pg利血平柱上进样，MRM考察m/z195（子离子）、m/z609（母离子），信噪比≥1000000:1；</w:t>
            </w:r>
          </w:p>
          <w:p>
            <w:pPr>
              <w:pStyle w:val="null3"/>
              <w:jc w:val="left"/>
            </w:pPr>
          </w:p>
        </w:tc>
      </w:tr>
      <w:tr>
        <w:tc>
          <w:tcPr>
            <w:tcW w:type="dxa" w:w="2769"/>
          </w:tcPr>
          <w:p>
            <w:pPr>
              <w:pStyle w:val="null3"/>
            </w:pPr>
            <w:r>
              <w:rPr/>
              <w:t>★</w:t>
            </w:r>
          </w:p>
        </w:tc>
        <w:tc>
          <w:tcPr>
            <w:tcW w:type="dxa" w:w="2769"/>
          </w:tcPr>
          <w:p>
            <w:pPr>
              <w:pStyle w:val="null3"/>
            </w:pPr>
            <w:r>
              <w:rPr/>
              <w:t>27</w:t>
            </w:r>
          </w:p>
        </w:tc>
        <w:tc>
          <w:tcPr>
            <w:tcW w:type="dxa" w:w="2769"/>
          </w:tcPr>
          <w:p>
            <w:pPr>
              <w:pStyle w:val="null3"/>
              <w:jc w:val="left"/>
            </w:pPr>
            <w:r>
              <w:rPr>
                <w:rFonts w:ascii="宋体" w:hAnsi="宋体" w:cs="宋体" w:eastAsia="宋体"/>
                <w:sz w:val="24"/>
                <w:color w:val="000000"/>
              </w:rPr>
              <w:t>3.2.2 ESI源负离子：1pg氯霉素柱上进样， MRM考察m/z152（子离子）、m/z321（母离子），信噪比≥1000000:1；</w:t>
            </w:r>
          </w:p>
        </w:tc>
      </w:tr>
      <w:tr>
        <w:tc>
          <w:tcPr>
            <w:tcW w:type="dxa" w:w="2769"/>
          </w:tcPr>
          <w:p>
            <w:pPr>
              <w:pStyle w:val="null3"/>
            </w:pPr>
            <w:r>
              <w:rPr/>
              <w:t>★</w:t>
            </w:r>
          </w:p>
        </w:tc>
        <w:tc>
          <w:tcPr>
            <w:tcW w:type="dxa" w:w="2769"/>
          </w:tcPr>
          <w:p>
            <w:pPr>
              <w:pStyle w:val="null3"/>
            </w:pPr>
            <w:r>
              <w:rPr/>
              <w:t>28</w:t>
            </w:r>
          </w:p>
        </w:tc>
        <w:tc>
          <w:tcPr>
            <w:tcW w:type="dxa" w:w="2769"/>
          </w:tcPr>
          <w:p>
            <w:pPr>
              <w:pStyle w:val="null3"/>
              <w:jc w:val="left"/>
            </w:pPr>
            <w:r>
              <w:rPr>
                <w:rFonts w:ascii="宋体" w:hAnsi="宋体" w:cs="宋体" w:eastAsia="宋体"/>
                <w:sz w:val="24"/>
                <w:color w:val="000000"/>
              </w:rPr>
              <w:t>3.2.3 5ppb和50ppb的氧化胆固醇连续5次进样RSD＜2%，需提供证明文件（包括但不限于检测报告、官网和功能截图、彩页、说明书等相关资料）；</w:t>
            </w:r>
          </w:p>
        </w:tc>
      </w:tr>
      <w:tr>
        <w:tc>
          <w:tcPr>
            <w:tcW w:type="dxa" w:w="2769"/>
          </w:tcPr>
          <w:p>
            <w:pPr>
              <w:pStyle w:val="null3"/>
            </w:pPr>
            <w:r>
              <w:rPr/>
              <w:t>★</w:t>
            </w:r>
          </w:p>
        </w:tc>
        <w:tc>
          <w:tcPr>
            <w:tcW w:type="dxa" w:w="2769"/>
          </w:tcPr>
          <w:p>
            <w:pPr>
              <w:pStyle w:val="null3"/>
            </w:pPr>
            <w:r>
              <w:rPr/>
              <w:t>29</w:t>
            </w:r>
          </w:p>
        </w:tc>
        <w:tc>
          <w:tcPr>
            <w:tcW w:type="dxa" w:w="2769"/>
          </w:tcPr>
          <w:p>
            <w:pPr>
              <w:pStyle w:val="null3"/>
              <w:jc w:val="left"/>
            </w:pPr>
            <w:r>
              <w:rPr>
                <w:rFonts w:ascii="宋体" w:hAnsi="宋体" w:cs="宋体" w:eastAsia="宋体"/>
                <w:sz w:val="24"/>
                <w:color w:val="000000"/>
              </w:rPr>
              <w:t>3.3 质量稳定性：≤0.1amu/24小时；</w:t>
            </w:r>
          </w:p>
        </w:tc>
      </w:tr>
      <w:tr>
        <w:tc>
          <w:tcPr>
            <w:tcW w:type="dxa" w:w="2769"/>
          </w:tcPr>
          <w:p>
            <w:pPr>
              <w:pStyle w:val="null3"/>
            </w:pPr>
            <w:r>
              <w:rPr/>
              <w:t>★</w:t>
            </w:r>
          </w:p>
        </w:tc>
        <w:tc>
          <w:tcPr>
            <w:tcW w:type="dxa" w:w="2769"/>
          </w:tcPr>
          <w:p>
            <w:pPr>
              <w:pStyle w:val="null3"/>
            </w:pPr>
            <w:r>
              <w:rPr/>
              <w:t>30</w:t>
            </w:r>
          </w:p>
        </w:tc>
        <w:tc>
          <w:tcPr>
            <w:tcW w:type="dxa" w:w="2769"/>
          </w:tcPr>
          <w:p>
            <w:pPr>
              <w:pStyle w:val="null3"/>
              <w:jc w:val="left"/>
            </w:pPr>
            <w:r>
              <w:rPr>
                <w:rFonts w:ascii="宋体" w:hAnsi="宋体" w:cs="宋体" w:eastAsia="宋体"/>
                <w:sz w:val="24"/>
                <w:color w:val="000000"/>
              </w:rPr>
              <w:t>二、软件功能（</w:t>
            </w:r>
            <w:r>
              <w:rPr>
                <w:rFonts w:ascii="宋体" w:hAnsi="宋体" w:cs="宋体" w:eastAsia="宋体"/>
                <w:sz w:val="24"/>
                <w:color w:val="000000"/>
              </w:rPr>
              <w:t>3年内免费升级）</w:t>
            </w:r>
          </w:p>
          <w:p>
            <w:pPr>
              <w:pStyle w:val="null3"/>
              <w:jc w:val="left"/>
            </w:pPr>
            <w:r>
              <w:rPr>
                <w:rFonts w:ascii="宋体" w:hAnsi="宋体" w:cs="宋体" w:eastAsia="宋体"/>
                <w:sz w:val="24"/>
                <w:color w:val="000000"/>
              </w:rPr>
              <w:t>1.软件能控制液相色谱和质谱部分，自动实现仪器的功能配置、条件优化、数据采集、数据处理，自动定量功能，可以自动标注离子比率，并对超出限量的样品自动标注，自动实现MS和MS/MS扫描的切换，质谱数据解析工具和谱库建立和检索等功能；</w:t>
            </w:r>
          </w:p>
        </w:tc>
      </w:tr>
      <w:tr>
        <w:tc>
          <w:tcPr>
            <w:tcW w:type="dxa" w:w="2769"/>
          </w:tcPr>
          <w:p>
            <w:pPr>
              <w:pStyle w:val="null3"/>
            </w:pPr>
            <w:r>
              <w:rPr/>
              <w:t>★</w:t>
            </w:r>
          </w:p>
        </w:tc>
        <w:tc>
          <w:tcPr>
            <w:tcW w:type="dxa" w:w="2769"/>
          </w:tcPr>
          <w:p>
            <w:pPr>
              <w:pStyle w:val="null3"/>
            </w:pPr>
            <w:r>
              <w:rPr/>
              <w:t>31</w:t>
            </w:r>
          </w:p>
        </w:tc>
        <w:tc>
          <w:tcPr>
            <w:tcW w:type="dxa" w:w="2769"/>
          </w:tcPr>
          <w:p>
            <w:pPr>
              <w:pStyle w:val="null3"/>
              <w:jc w:val="left"/>
            </w:pPr>
            <w:r>
              <w:rPr>
                <w:rFonts w:ascii="宋体" w:hAnsi="宋体" w:cs="宋体" w:eastAsia="宋体"/>
                <w:sz w:val="24"/>
                <w:color w:val="000000"/>
              </w:rPr>
              <w:t>2.不进行时间分段，一次进样可完成300组MRM的同时分析而不损失灵敏度，根据每个MRM目标物的保留时间自动安排MRM分析，无需设置MRM采集时间窗。</w:t>
            </w:r>
          </w:p>
        </w:tc>
      </w:tr>
      <w:tr>
        <w:tc>
          <w:tcPr>
            <w:tcW w:type="dxa" w:w="2769"/>
          </w:tcPr>
          <w:p>
            <w:pPr>
              <w:pStyle w:val="null3"/>
            </w:pPr>
            <w:r>
              <w:rPr/>
              <w:t>★</w:t>
            </w:r>
          </w:p>
        </w:tc>
        <w:tc>
          <w:tcPr>
            <w:tcW w:type="dxa" w:w="2769"/>
          </w:tcPr>
          <w:p>
            <w:pPr>
              <w:pStyle w:val="null3"/>
            </w:pPr>
            <w:r>
              <w:rPr/>
              <w:t>32</w:t>
            </w:r>
          </w:p>
        </w:tc>
        <w:tc>
          <w:tcPr>
            <w:tcW w:type="dxa" w:w="2769"/>
          </w:tcPr>
          <w:p>
            <w:pPr>
              <w:pStyle w:val="null3"/>
              <w:jc w:val="left"/>
            </w:pPr>
            <w:r>
              <w:rPr>
                <w:rFonts w:ascii="宋体" w:hAnsi="宋体" w:cs="宋体" w:eastAsia="宋体"/>
                <w:sz w:val="24"/>
                <w:color w:val="000000"/>
              </w:rPr>
              <w:t>三、配置要求</w:t>
            </w:r>
          </w:p>
          <w:p>
            <w:pPr>
              <w:pStyle w:val="null3"/>
              <w:jc w:val="left"/>
            </w:pPr>
            <w:r>
              <w:rPr>
                <w:rFonts w:ascii="宋体" w:hAnsi="宋体" w:cs="宋体" w:eastAsia="宋体"/>
                <w:sz w:val="24"/>
                <w:color w:val="000000"/>
              </w:rPr>
              <w:t>1.三重四级杆质谱主机：1台</w:t>
            </w:r>
          </w:p>
        </w:tc>
      </w:tr>
      <w:tr>
        <w:tc>
          <w:tcPr>
            <w:tcW w:type="dxa" w:w="2769"/>
          </w:tcPr>
          <w:p>
            <w:pPr>
              <w:pStyle w:val="null3"/>
            </w:pPr>
            <w:r>
              <w:rPr/>
              <w:t>★</w:t>
            </w:r>
          </w:p>
        </w:tc>
        <w:tc>
          <w:tcPr>
            <w:tcW w:type="dxa" w:w="2769"/>
          </w:tcPr>
          <w:p>
            <w:pPr>
              <w:pStyle w:val="null3"/>
            </w:pPr>
            <w:r>
              <w:rPr/>
              <w:t>33</w:t>
            </w:r>
          </w:p>
        </w:tc>
        <w:tc>
          <w:tcPr>
            <w:tcW w:type="dxa" w:w="2769"/>
          </w:tcPr>
          <w:p>
            <w:pPr>
              <w:pStyle w:val="null3"/>
              <w:jc w:val="left"/>
            </w:pPr>
            <w:r>
              <w:rPr>
                <w:rFonts w:ascii="宋体" w:hAnsi="宋体" w:cs="宋体" w:eastAsia="宋体"/>
                <w:sz w:val="24"/>
                <w:color w:val="000000"/>
              </w:rPr>
              <w:t>2.独立的ESI和APCI离子源：1套</w:t>
            </w:r>
          </w:p>
        </w:tc>
      </w:tr>
      <w:tr>
        <w:tc>
          <w:tcPr>
            <w:tcW w:type="dxa" w:w="2769"/>
          </w:tcPr>
          <w:p>
            <w:pPr>
              <w:pStyle w:val="null3"/>
            </w:pPr>
            <w:r>
              <w:rPr/>
              <w:t>★</w:t>
            </w:r>
          </w:p>
        </w:tc>
        <w:tc>
          <w:tcPr>
            <w:tcW w:type="dxa" w:w="2769"/>
          </w:tcPr>
          <w:p>
            <w:pPr>
              <w:pStyle w:val="null3"/>
            </w:pPr>
            <w:r>
              <w:rPr/>
              <w:t>34</w:t>
            </w:r>
          </w:p>
        </w:tc>
        <w:tc>
          <w:tcPr>
            <w:tcW w:type="dxa" w:w="2769"/>
          </w:tcPr>
          <w:p>
            <w:pPr>
              <w:pStyle w:val="null3"/>
              <w:jc w:val="left"/>
            </w:pPr>
            <w:r>
              <w:rPr>
                <w:rFonts w:ascii="宋体" w:hAnsi="宋体" w:cs="宋体" w:eastAsia="宋体"/>
                <w:sz w:val="24"/>
                <w:color w:val="000000"/>
              </w:rPr>
              <w:t>3.二元高压色谱泵：1台</w:t>
            </w:r>
          </w:p>
        </w:tc>
      </w:tr>
      <w:tr>
        <w:tc>
          <w:tcPr>
            <w:tcW w:type="dxa" w:w="2769"/>
          </w:tcPr>
          <w:p>
            <w:pPr>
              <w:pStyle w:val="null3"/>
            </w:pPr>
            <w:r>
              <w:rPr/>
              <w:t>★</w:t>
            </w:r>
          </w:p>
        </w:tc>
        <w:tc>
          <w:tcPr>
            <w:tcW w:type="dxa" w:w="2769"/>
          </w:tcPr>
          <w:p>
            <w:pPr>
              <w:pStyle w:val="null3"/>
            </w:pPr>
            <w:r>
              <w:rPr/>
              <w:t>35</w:t>
            </w:r>
          </w:p>
        </w:tc>
        <w:tc>
          <w:tcPr>
            <w:tcW w:type="dxa" w:w="2769"/>
          </w:tcPr>
          <w:p>
            <w:pPr>
              <w:pStyle w:val="null3"/>
              <w:jc w:val="left"/>
            </w:pPr>
            <w:r>
              <w:rPr>
                <w:rFonts w:ascii="宋体" w:hAnsi="宋体" w:cs="宋体" w:eastAsia="宋体"/>
                <w:sz w:val="24"/>
                <w:color w:val="000000"/>
              </w:rPr>
              <w:t>4.自动进样器：1台</w:t>
            </w:r>
          </w:p>
        </w:tc>
      </w:tr>
      <w:tr>
        <w:tc>
          <w:tcPr>
            <w:tcW w:type="dxa" w:w="2769"/>
          </w:tcPr>
          <w:p>
            <w:pPr>
              <w:pStyle w:val="null3"/>
            </w:pPr>
            <w:r>
              <w:rPr/>
              <w:t>★</w:t>
            </w:r>
          </w:p>
        </w:tc>
        <w:tc>
          <w:tcPr>
            <w:tcW w:type="dxa" w:w="2769"/>
          </w:tcPr>
          <w:p>
            <w:pPr>
              <w:pStyle w:val="null3"/>
            </w:pPr>
            <w:r>
              <w:rPr/>
              <w:t>36</w:t>
            </w:r>
          </w:p>
        </w:tc>
        <w:tc>
          <w:tcPr>
            <w:tcW w:type="dxa" w:w="2769"/>
          </w:tcPr>
          <w:p>
            <w:pPr>
              <w:pStyle w:val="null3"/>
              <w:jc w:val="left"/>
            </w:pPr>
            <w:r>
              <w:rPr>
                <w:rFonts w:ascii="宋体" w:hAnsi="宋体" w:cs="宋体" w:eastAsia="宋体"/>
                <w:sz w:val="24"/>
                <w:color w:val="000000"/>
              </w:rPr>
              <w:t>5.柱温箱：1台</w:t>
            </w:r>
          </w:p>
        </w:tc>
      </w:tr>
      <w:tr>
        <w:tc>
          <w:tcPr>
            <w:tcW w:type="dxa" w:w="2769"/>
          </w:tcPr>
          <w:p>
            <w:pPr>
              <w:pStyle w:val="null3"/>
            </w:pPr>
            <w:r>
              <w:rPr/>
              <w:t>★</w:t>
            </w:r>
          </w:p>
        </w:tc>
        <w:tc>
          <w:tcPr>
            <w:tcW w:type="dxa" w:w="2769"/>
          </w:tcPr>
          <w:p>
            <w:pPr>
              <w:pStyle w:val="null3"/>
            </w:pPr>
            <w:r>
              <w:rPr/>
              <w:t>37</w:t>
            </w:r>
          </w:p>
        </w:tc>
        <w:tc>
          <w:tcPr>
            <w:tcW w:type="dxa" w:w="2769"/>
          </w:tcPr>
          <w:p>
            <w:pPr>
              <w:pStyle w:val="null3"/>
              <w:jc w:val="left"/>
            </w:pPr>
            <w:r>
              <w:rPr>
                <w:rFonts w:ascii="宋体" w:hAnsi="宋体" w:cs="宋体" w:eastAsia="宋体"/>
                <w:sz w:val="24"/>
                <w:color w:val="000000"/>
              </w:rPr>
              <w:t>6.在线真空脱气机：1台</w:t>
            </w:r>
          </w:p>
        </w:tc>
      </w:tr>
      <w:tr>
        <w:tc>
          <w:tcPr>
            <w:tcW w:type="dxa" w:w="2769"/>
          </w:tcPr>
          <w:p>
            <w:pPr>
              <w:pStyle w:val="null3"/>
            </w:pPr>
            <w:r>
              <w:rPr/>
              <w:t>★</w:t>
            </w:r>
          </w:p>
        </w:tc>
        <w:tc>
          <w:tcPr>
            <w:tcW w:type="dxa" w:w="2769"/>
          </w:tcPr>
          <w:p>
            <w:pPr>
              <w:pStyle w:val="null3"/>
            </w:pPr>
            <w:r>
              <w:rPr/>
              <w:t>38</w:t>
            </w:r>
          </w:p>
        </w:tc>
        <w:tc>
          <w:tcPr>
            <w:tcW w:type="dxa" w:w="2769"/>
          </w:tcPr>
          <w:p>
            <w:pPr>
              <w:pStyle w:val="null3"/>
              <w:jc w:val="left"/>
            </w:pPr>
            <w:r>
              <w:rPr>
                <w:rFonts w:ascii="宋体" w:hAnsi="宋体" w:cs="宋体" w:eastAsia="宋体"/>
                <w:sz w:val="24"/>
                <w:color w:val="000000"/>
              </w:rPr>
              <w:t>7.溶剂瓶托盘（含溶剂瓶及管线）:1套</w:t>
            </w:r>
          </w:p>
        </w:tc>
      </w:tr>
      <w:tr>
        <w:tc>
          <w:tcPr>
            <w:tcW w:type="dxa" w:w="2769"/>
          </w:tcPr>
          <w:p>
            <w:pPr>
              <w:pStyle w:val="null3"/>
            </w:pPr>
            <w:r>
              <w:rPr/>
              <w:t>★</w:t>
            </w:r>
          </w:p>
        </w:tc>
        <w:tc>
          <w:tcPr>
            <w:tcW w:type="dxa" w:w="2769"/>
          </w:tcPr>
          <w:p>
            <w:pPr>
              <w:pStyle w:val="null3"/>
            </w:pPr>
            <w:r>
              <w:rPr/>
              <w:t>39</w:t>
            </w:r>
          </w:p>
        </w:tc>
        <w:tc>
          <w:tcPr>
            <w:tcW w:type="dxa" w:w="2769"/>
          </w:tcPr>
          <w:p>
            <w:pPr>
              <w:pStyle w:val="null3"/>
              <w:jc w:val="left"/>
            </w:pPr>
            <w:r>
              <w:rPr>
                <w:rFonts w:ascii="宋体" w:hAnsi="宋体" w:cs="宋体" w:eastAsia="宋体"/>
                <w:sz w:val="24"/>
                <w:color w:val="000000"/>
              </w:rPr>
              <w:t>8.仪器操作软件及数据处理软件:  1套</w:t>
            </w:r>
          </w:p>
        </w:tc>
      </w:tr>
      <w:tr>
        <w:tc>
          <w:tcPr>
            <w:tcW w:type="dxa" w:w="2769"/>
          </w:tcPr>
          <w:p>
            <w:pPr>
              <w:pStyle w:val="null3"/>
            </w:pPr>
            <w:r>
              <w:rPr/>
              <w:t>★</w:t>
            </w:r>
          </w:p>
        </w:tc>
        <w:tc>
          <w:tcPr>
            <w:tcW w:type="dxa" w:w="2769"/>
          </w:tcPr>
          <w:p>
            <w:pPr>
              <w:pStyle w:val="null3"/>
            </w:pPr>
            <w:r>
              <w:rPr/>
              <w:t>40</w:t>
            </w:r>
          </w:p>
        </w:tc>
        <w:tc>
          <w:tcPr>
            <w:tcW w:type="dxa" w:w="2769"/>
          </w:tcPr>
          <w:p>
            <w:pPr>
              <w:pStyle w:val="null3"/>
              <w:jc w:val="left"/>
            </w:pPr>
            <w:r>
              <w:rPr>
                <w:rFonts w:ascii="宋体" w:hAnsi="宋体" w:cs="宋体" w:eastAsia="宋体"/>
                <w:sz w:val="24"/>
                <w:color w:val="000000"/>
              </w:rPr>
              <w:t>9.工作站: 1套</w:t>
            </w:r>
          </w:p>
        </w:tc>
      </w:tr>
      <w:tr>
        <w:tc>
          <w:tcPr>
            <w:tcW w:type="dxa" w:w="2769"/>
          </w:tcPr>
          <w:p>
            <w:pPr>
              <w:pStyle w:val="null3"/>
            </w:pPr>
            <w:r>
              <w:rPr/>
              <w:t>★</w:t>
            </w:r>
          </w:p>
        </w:tc>
        <w:tc>
          <w:tcPr>
            <w:tcW w:type="dxa" w:w="2769"/>
          </w:tcPr>
          <w:p>
            <w:pPr>
              <w:pStyle w:val="null3"/>
            </w:pPr>
            <w:r>
              <w:rPr/>
              <w:t>41</w:t>
            </w:r>
          </w:p>
        </w:tc>
        <w:tc>
          <w:tcPr>
            <w:tcW w:type="dxa" w:w="2769"/>
          </w:tcPr>
          <w:p>
            <w:pPr>
              <w:pStyle w:val="null3"/>
              <w:jc w:val="left"/>
            </w:pPr>
            <w:r>
              <w:rPr>
                <w:rFonts w:ascii="宋体" w:hAnsi="宋体" w:cs="宋体" w:eastAsia="宋体"/>
                <w:sz w:val="24"/>
                <w:color w:val="000000"/>
              </w:rPr>
              <w:t>10. 安装调谐标样:1套</w:t>
            </w:r>
          </w:p>
        </w:tc>
      </w:tr>
      <w:tr>
        <w:tc>
          <w:tcPr>
            <w:tcW w:type="dxa" w:w="2769"/>
          </w:tcPr>
          <w:p>
            <w:pPr>
              <w:pStyle w:val="null3"/>
            </w:pPr>
            <w:r>
              <w:rPr/>
              <w:t>★</w:t>
            </w:r>
          </w:p>
        </w:tc>
        <w:tc>
          <w:tcPr>
            <w:tcW w:type="dxa" w:w="2769"/>
          </w:tcPr>
          <w:p>
            <w:pPr>
              <w:pStyle w:val="null3"/>
            </w:pPr>
            <w:r>
              <w:rPr/>
              <w:t>42</w:t>
            </w:r>
          </w:p>
        </w:tc>
        <w:tc>
          <w:tcPr>
            <w:tcW w:type="dxa" w:w="2769"/>
          </w:tcPr>
          <w:p>
            <w:pPr>
              <w:pStyle w:val="null3"/>
              <w:jc w:val="left"/>
            </w:pPr>
            <w:r>
              <w:rPr>
                <w:rFonts w:ascii="宋体" w:hAnsi="宋体" w:cs="宋体" w:eastAsia="宋体"/>
                <w:sz w:val="24"/>
                <w:color w:val="000000"/>
              </w:rPr>
              <w:t>11.常用消耗品</w:t>
            </w:r>
          </w:p>
          <w:p>
            <w:pPr>
              <w:pStyle w:val="null3"/>
              <w:jc w:val="left"/>
            </w:pPr>
            <w:r>
              <w:rPr>
                <w:rFonts w:ascii="宋体" w:hAnsi="宋体" w:cs="宋体" w:eastAsia="宋体"/>
                <w:sz w:val="24"/>
                <w:color w:val="000000"/>
              </w:rPr>
              <w:t>11.1 机械泵油:4桶</w:t>
            </w:r>
          </w:p>
          <w:p>
            <w:pPr>
              <w:pStyle w:val="null3"/>
              <w:jc w:val="left"/>
            </w:pPr>
          </w:p>
        </w:tc>
      </w:tr>
      <w:tr>
        <w:tc>
          <w:tcPr>
            <w:tcW w:type="dxa" w:w="2769"/>
          </w:tcPr>
          <w:p>
            <w:pPr>
              <w:pStyle w:val="null3"/>
            </w:pPr>
            <w:r>
              <w:rPr/>
              <w:t>★</w:t>
            </w:r>
          </w:p>
        </w:tc>
        <w:tc>
          <w:tcPr>
            <w:tcW w:type="dxa" w:w="2769"/>
          </w:tcPr>
          <w:p>
            <w:pPr>
              <w:pStyle w:val="null3"/>
            </w:pPr>
            <w:r>
              <w:rPr/>
              <w:t>43</w:t>
            </w:r>
          </w:p>
        </w:tc>
        <w:tc>
          <w:tcPr>
            <w:tcW w:type="dxa" w:w="2769"/>
          </w:tcPr>
          <w:p>
            <w:pPr>
              <w:pStyle w:val="null3"/>
              <w:jc w:val="left"/>
            </w:pPr>
            <w:r>
              <w:rPr>
                <w:rFonts w:ascii="宋体" w:hAnsi="宋体" w:cs="宋体" w:eastAsia="宋体"/>
                <w:sz w:val="24"/>
                <w:color w:val="000000"/>
              </w:rPr>
              <w:t>11.2 ESI喷雾针:5根</w:t>
            </w:r>
          </w:p>
        </w:tc>
      </w:tr>
      <w:tr>
        <w:tc>
          <w:tcPr>
            <w:tcW w:type="dxa" w:w="2769"/>
          </w:tcPr>
          <w:p>
            <w:pPr>
              <w:pStyle w:val="null3"/>
            </w:pPr>
            <w:r>
              <w:rPr/>
              <w:t>★</w:t>
            </w:r>
          </w:p>
        </w:tc>
        <w:tc>
          <w:tcPr>
            <w:tcW w:type="dxa" w:w="2769"/>
          </w:tcPr>
          <w:p>
            <w:pPr>
              <w:pStyle w:val="null3"/>
            </w:pPr>
            <w:r>
              <w:rPr/>
              <w:t>44</w:t>
            </w:r>
          </w:p>
        </w:tc>
        <w:tc>
          <w:tcPr>
            <w:tcW w:type="dxa" w:w="2769"/>
          </w:tcPr>
          <w:p>
            <w:pPr>
              <w:pStyle w:val="null3"/>
              <w:jc w:val="left"/>
            </w:pPr>
            <w:r>
              <w:rPr>
                <w:rFonts w:ascii="宋体" w:hAnsi="宋体" w:cs="宋体" w:eastAsia="宋体"/>
                <w:sz w:val="24"/>
                <w:color w:val="000000"/>
              </w:rPr>
              <w:t>11.3超高效C18（100 x 2.1 mm，2.6 µm；100 x 2.1 mm，1.7 µm）色谱柱:各1根</w:t>
            </w:r>
          </w:p>
        </w:tc>
      </w:tr>
      <w:tr>
        <w:tc>
          <w:tcPr>
            <w:tcW w:type="dxa" w:w="2769"/>
          </w:tcPr>
          <w:p>
            <w:pPr>
              <w:pStyle w:val="null3"/>
            </w:pPr>
            <w:r>
              <w:rPr/>
              <w:t>★</w:t>
            </w:r>
          </w:p>
        </w:tc>
        <w:tc>
          <w:tcPr>
            <w:tcW w:type="dxa" w:w="2769"/>
          </w:tcPr>
          <w:p>
            <w:pPr>
              <w:pStyle w:val="null3"/>
            </w:pPr>
            <w:r>
              <w:rPr/>
              <w:t>45</w:t>
            </w:r>
          </w:p>
        </w:tc>
        <w:tc>
          <w:tcPr>
            <w:tcW w:type="dxa" w:w="2769"/>
          </w:tcPr>
          <w:p>
            <w:pPr>
              <w:pStyle w:val="null3"/>
              <w:jc w:val="left"/>
            </w:pPr>
            <w:r>
              <w:rPr>
                <w:rFonts w:ascii="宋体" w:hAnsi="宋体" w:cs="宋体" w:eastAsia="宋体"/>
                <w:sz w:val="24"/>
                <w:color w:val="000000"/>
              </w:rPr>
              <w:t>11.4 自动进样器样品瓶（含瓶、盖和垫）:300只</w:t>
            </w:r>
          </w:p>
        </w:tc>
      </w:tr>
      <w:tr>
        <w:tc>
          <w:tcPr>
            <w:tcW w:type="dxa" w:w="2769"/>
          </w:tcPr>
          <w:p>
            <w:pPr>
              <w:pStyle w:val="null3"/>
            </w:pPr>
            <w:r>
              <w:rPr/>
              <w:t>★</w:t>
            </w:r>
          </w:p>
        </w:tc>
        <w:tc>
          <w:tcPr>
            <w:tcW w:type="dxa" w:w="2769"/>
          </w:tcPr>
          <w:p>
            <w:pPr>
              <w:pStyle w:val="null3"/>
            </w:pPr>
            <w:r>
              <w:rPr/>
              <w:t>46</w:t>
            </w:r>
          </w:p>
        </w:tc>
        <w:tc>
          <w:tcPr>
            <w:tcW w:type="dxa" w:w="2769"/>
          </w:tcPr>
          <w:p>
            <w:pPr>
              <w:pStyle w:val="null3"/>
              <w:jc w:val="left"/>
            </w:pPr>
            <w:r>
              <w:rPr>
                <w:rFonts w:ascii="宋体" w:hAnsi="宋体" w:cs="宋体" w:eastAsia="宋体"/>
                <w:sz w:val="24"/>
                <w:color w:val="000000"/>
              </w:rPr>
              <w:t>12</w:t>
            </w:r>
            <w:r>
              <w:rPr>
                <w:rFonts w:ascii="宋体" w:hAnsi="宋体" w:cs="宋体" w:eastAsia="宋体"/>
                <w:sz w:val="24"/>
                <w:color w:val="000000"/>
              </w:rPr>
              <w:t>国内采购部分</w:t>
            </w:r>
          </w:p>
          <w:p>
            <w:pPr>
              <w:pStyle w:val="null3"/>
              <w:jc w:val="left"/>
            </w:pPr>
            <w:r>
              <w:rPr>
                <w:rFonts w:ascii="宋体" w:hAnsi="宋体" w:cs="宋体" w:eastAsia="宋体"/>
                <w:sz w:val="24"/>
                <w:color w:val="000000"/>
              </w:rPr>
              <w:t>12.1不间断电源UPS 6KVA，延时1小时:1台</w:t>
            </w:r>
          </w:p>
        </w:tc>
      </w:tr>
      <w:tr>
        <w:tc>
          <w:tcPr>
            <w:tcW w:type="dxa" w:w="2769"/>
          </w:tcPr>
          <w:p>
            <w:pPr>
              <w:pStyle w:val="null3"/>
            </w:pPr>
            <w:r>
              <w:rPr/>
              <w:t>★</w:t>
            </w:r>
          </w:p>
        </w:tc>
        <w:tc>
          <w:tcPr>
            <w:tcW w:type="dxa" w:w="2769"/>
          </w:tcPr>
          <w:p>
            <w:pPr>
              <w:pStyle w:val="null3"/>
            </w:pPr>
            <w:r>
              <w:rPr/>
              <w:t>47</w:t>
            </w:r>
          </w:p>
        </w:tc>
        <w:tc>
          <w:tcPr>
            <w:tcW w:type="dxa" w:w="2769"/>
          </w:tcPr>
          <w:p>
            <w:pPr>
              <w:pStyle w:val="null3"/>
              <w:jc w:val="left"/>
            </w:pPr>
            <w:r>
              <w:rPr>
                <w:rFonts w:ascii="宋体" w:hAnsi="宋体" w:cs="宋体" w:eastAsia="宋体"/>
                <w:sz w:val="24"/>
                <w:color w:val="000000"/>
              </w:rPr>
              <w:t>12.2氮气发生器（最大气体输出流速：≥ 30 L/min ；最小/最大工作温度：5ºC～35ºC ；最大相对湿度：80% 非冷凝。）:1套</w:t>
            </w:r>
          </w:p>
        </w:tc>
      </w:tr>
      <w:tr>
        <w:tc>
          <w:tcPr>
            <w:tcW w:type="dxa" w:w="2769"/>
          </w:tcPr>
          <w:p>
            <w:pPr>
              <w:pStyle w:val="null3"/>
            </w:pPr>
            <w:r>
              <w:rPr/>
              <w:t>★</w:t>
            </w:r>
          </w:p>
        </w:tc>
        <w:tc>
          <w:tcPr>
            <w:tcW w:type="dxa" w:w="2769"/>
          </w:tcPr>
          <w:p>
            <w:pPr>
              <w:pStyle w:val="null3"/>
            </w:pPr>
            <w:r>
              <w:rPr/>
              <w:t>48</w:t>
            </w:r>
          </w:p>
        </w:tc>
        <w:tc>
          <w:tcPr>
            <w:tcW w:type="dxa" w:w="2769"/>
          </w:tcPr>
          <w:p>
            <w:pPr>
              <w:pStyle w:val="null3"/>
              <w:jc w:val="left"/>
            </w:pPr>
            <w:r>
              <w:rPr>
                <w:rFonts w:ascii="宋体" w:hAnsi="宋体" w:cs="宋体" w:eastAsia="宋体"/>
                <w:sz w:val="24"/>
                <w:color w:val="000000"/>
              </w:rPr>
              <w:t>12.3 激光打印机:1台</w:t>
            </w:r>
          </w:p>
        </w:tc>
      </w:tr>
      <w:tr>
        <w:tc>
          <w:tcPr>
            <w:tcW w:type="dxa" w:w="2769"/>
          </w:tcPr>
          <w:p>
            <w:pPr>
              <w:pStyle w:val="null3"/>
            </w:pPr>
            <w:r>
              <w:rPr/>
              <w:t>★</w:t>
            </w:r>
          </w:p>
        </w:tc>
        <w:tc>
          <w:tcPr>
            <w:tcW w:type="dxa" w:w="2769"/>
          </w:tcPr>
          <w:p>
            <w:pPr>
              <w:pStyle w:val="null3"/>
            </w:pPr>
            <w:r>
              <w:rPr/>
              <w:t>49</w:t>
            </w:r>
          </w:p>
        </w:tc>
        <w:tc>
          <w:tcPr>
            <w:tcW w:type="dxa" w:w="2769"/>
          </w:tcPr>
          <w:p>
            <w:pPr>
              <w:pStyle w:val="null3"/>
              <w:jc w:val="both"/>
            </w:pPr>
            <w:r>
              <w:rPr>
                <w:rFonts w:ascii="宋体" w:hAnsi="宋体" w:cs="宋体" w:eastAsia="宋体"/>
                <w:sz w:val="24"/>
                <w:color w:val="000000"/>
              </w:rPr>
              <w:t>所有技术参数均须满足采购要求，不得负偏离；所有技术参数提供佐证资料（不限于官网截图或产品彩页或技术白皮书等任意一种），不提供视为负偏离。</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合同签订后90日</w:t>
      </w:r>
    </w:p>
    <w:p>
      <w:pPr>
        <w:pStyle w:val="null3"/>
        <w:outlineLvl w:val="3"/>
      </w:pPr>
      <w:r>
        <w:rPr>
          <w:sz w:val="24"/>
          <w:b/>
        </w:rPr>
        <w:t>3.4.2交货地点和方式</w:t>
      </w:r>
    </w:p>
    <w:p>
      <w:pPr>
        <w:pStyle w:val="null3"/>
      </w:pPr>
      <w:r>
        <w:rPr/>
        <w:t>采购包1：</w:t>
      </w:r>
    </w:p>
    <w:p>
      <w:pPr>
        <w:pStyle w:val="null3"/>
      </w:pPr>
      <w:r>
        <w:rPr/>
        <w:t>西北大学指定地点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 国产设备：合同生效后，中标供应商开具合同金额等额银行保函，采购人收到银行保函正本后预付合同货款，待货物到达指定地点、安装调试验收合格后，采购人退还银行保函正本。 ■ 进口设备：合同生效后，由采购人通过进出口业务代理公司向中标供应商开出100％信用证，待货物到货、安装调试、并经学校组织验收合格后，由采购人通知进出口业务代理公司向中标供应商解付</w:t>
      </w:r>
      <w:r>
        <w:rPr/>
        <w:t xml:space="preserve"> ，达到付款条件起 </w:t>
      </w:r>
      <w:r>
        <w:rPr/>
        <w:t>10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1年</w:t>
      </w:r>
    </w:p>
    <w:p>
      <w:pPr>
        <w:pStyle w:val="null3"/>
        <w:outlineLvl w:val="3"/>
      </w:pPr>
      <w:r>
        <w:rPr>
          <w:sz w:val="24"/>
          <w:b/>
        </w:rPr>
        <w:t>3.4.8违约责任及解决争议的方法</w:t>
      </w:r>
    </w:p>
    <w:p>
      <w:pPr>
        <w:pStyle w:val="null3"/>
      </w:pPr>
      <w:r>
        <w:rPr/>
        <w:t>采购包1：</w:t>
      </w:r>
    </w:p>
    <w:p>
      <w:pPr>
        <w:pStyle w:val="null3"/>
      </w:pPr>
      <w:r>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sz w:val="24"/>
          <w:b/>
        </w:rPr>
        <w:t>3.5其他要求</w:t>
      </w:r>
    </w:p>
    <w:p>
      <w:pPr>
        <w:pStyle w:val="null3"/>
      </w:pPr>
      <w:r>
        <w:rPr/>
        <w:t>采购包1：</w:t>
      </w:r>
    </w:p>
    <w:p>
      <w:pPr>
        <w:pStyle w:val="null3"/>
      </w:pPr>
      <w:r>
        <w:rPr/>
        <w:t>（1）采购标的需实现的功能或者目标：用于食品相关教学与科研中有机化合物的定量、定性分析检测。适用于食品中相关成分的分析检测，以及食品中农药、兽药、添加物、污染物、食品包材的分析检测。（2）售后服务标准要求：1、设备的质保期为设备验收合格后1年。2、质保期内，若发生产品质量问题，乙方应免费解决；质保期外，乙方终身维护设备。3、免费为甲方在货物使用地提供1—3人的操作、保养及维修培训。（3）售后服务效率要求：即时响应（包括电话响应）；电话响应无法解决时，2小时内到达现场。修复时间24小时内；如48小时内无法修复，应提供相应解决方案。（4）其他：①为顺利推进政府采购电子化交易平台应用工作，供应商需要在线提交所有通过电子化交易平台实施的政府采购项目的响应文件，同时，线下提交纸质响应文件正本壹份、副本贰份。②纸质响应文件正、副本分别胶装，标明供应商名称密封递交，递交截止时间同在线递交电子响应文件截止时间一致，递交地址：陕西省西安市曲江新区雁翔路3269号旺座曲江D座30层（纸质响应文件可邮寄，邮件发出时间应在递交电子响应文件截止时间之前，邮寄地址：陕西省西安市曲江新区雁翔路3269号旺座曲江D座30层，联系人：王工，联系电话：15091632950）。③若电子响应文件与纸质响应文件不一致的，以电子响应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法人提供经审计的2023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具有良好的商业信誉和健全的财务会计制度</w:t>
            </w:r>
          </w:p>
        </w:tc>
        <w:tc>
          <w:tcPr>
            <w:tcW w:type="dxa" w:w="3322"/>
          </w:tcPr>
          <w:p>
            <w:pPr>
              <w:pStyle w:val="null3"/>
            </w:pPr>
            <w:r>
              <w:rPr/>
              <w:t>法人提供经审计的2023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有依法缴纳税收的良好记录</w:t>
            </w:r>
          </w:p>
        </w:tc>
        <w:tc>
          <w:tcPr>
            <w:tcW w:type="dxa" w:w="3322"/>
          </w:tcPr>
          <w:p>
            <w:pPr>
              <w:pStyle w:val="null3"/>
            </w:pPr>
            <w:r>
              <w:rPr/>
              <w:t>提供响应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成立不足一个月的提供依法纳税的承诺书，格式自拟；零报税的提供申报成功的凭证）。</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有依法缴纳社会保障资金的良好记录</w:t>
            </w:r>
          </w:p>
        </w:tc>
        <w:tc>
          <w:tcPr>
            <w:tcW w:type="dxa" w:w="3322"/>
          </w:tcPr>
          <w:p>
            <w:pPr>
              <w:pStyle w:val="null3"/>
            </w:pPr>
            <w:r>
              <w:rPr/>
              <w:t>提供响应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供应商向代缴方用于缴存社保的银行转账单据 ）；依法不需要缴纳社会保障资金的供应商应提供相关文件证明（成立不足一个月的提供将依法交纳社会保障资金的承诺书，格式自拟）。</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具有履行合同所必需的设备和专业技术能力</w:t>
            </w:r>
          </w:p>
        </w:tc>
        <w:tc>
          <w:tcPr>
            <w:tcW w:type="dxa" w:w="3322"/>
          </w:tcPr>
          <w:p>
            <w:pPr>
              <w:pStyle w:val="null3"/>
            </w:pPr>
            <w:r>
              <w:rPr/>
              <w:t>提供具有履行合同所必需的设备和专业技术能力的承诺。</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提供参加政府采购活动前三年内，在经营活动中没有重大违法记录的书面声明。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法定代表人授权书、法定代表人身份证明合格</w:t>
            </w:r>
          </w:p>
        </w:tc>
        <w:tc>
          <w:tcPr>
            <w:tcW w:type="dxa" w:w="3322"/>
          </w:tcPr>
          <w:p>
            <w:pPr>
              <w:pStyle w:val="null3"/>
            </w:pPr>
            <w:r>
              <w:rPr/>
              <w:t>提供合格的法定代表人授权书（附法定代表人、被授权人身份证复印件）或法定代表人身份证明（法定代表人直接参加响应的）。</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信用承诺</w:t>
            </w:r>
          </w:p>
        </w:tc>
        <w:tc>
          <w:tcPr>
            <w:tcW w:type="dxa" w:w="3322"/>
          </w:tcPr>
          <w:p>
            <w:pPr>
              <w:pStyle w:val="null3"/>
            </w:pPr>
            <w:r>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进口产品授权书</w:t>
            </w:r>
          </w:p>
        </w:tc>
        <w:tc>
          <w:tcPr>
            <w:tcW w:type="dxa" w:w="3322"/>
          </w:tcPr>
          <w:p>
            <w:pPr>
              <w:pStyle w:val="null3"/>
            </w:pPr>
            <w:r>
              <w:rPr/>
              <w:t>若所响应产品为进口产品的，供应商须提供产品厂家授权书或总代理商授权书或具有授权权限的供应商对所响应进口产品的授权书。（如提供总代理商授权的须同时提供具有有效授权权限的相关证明文件，证明文件需能显示产品制造厂家对所响应产品授权链条的完整性）。</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供应商名称与营业执照一致</w:t>
            </w:r>
          </w:p>
        </w:tc>
        <w:tc>
          <w:tcPr>
            <w:tcW w:type="dxa" w:w="3322"/>
          </w:tcPr>
          <w:p>
            <w:pPr>
              <w:pStyle w:val="null3"/>
            </w:pPr>
            <w:r>
              <w:rPr/>
              <w:t>供应商名称与营业执照一致（合格）供应商名称与营业执照不一致（不合格）</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响应文件按竞争性谈判文件要求的数量、计量单位、报价货币及签字盖章</w:t>
            </w:r>
          </w:p>
        </w:tc>
        <w:tc>
          <w:tcPr>
            <w:tcW w:type="dxa" w:w="3322"/>
          </w:tcPr>
          <w:p>
            <w:pPr>
              <w:pStyle w:val="null3"/>
            </w:pPr>
            <w:r>
              <w:rPr/>
              <w:t>响应文件按竞争性谈判文件要求的计量单位、报价货币及签字盖章（合格）响应文件未按竞争性谈判文件要求的计量单位、报价货币及签字盖章（不合格）</w:t>
            </w:r>
          </w:p>
        </w:tc>
        <w:tc>
          <w:tcPr>
            <w:tcW w:type="dxa" w:w="1661"/>
          </w:tcPr>
          <w:p>
            <w:pPr>
              <w:pStyle w:val="null3"/>
            </w:pPr>
            <w:r>
              <w:rPr/>
              <w:t>标的清单 报价表 响应函</w:t>
            </w:r>
          </w:p>
        </w:tc>
      </w:tr>
      <w:tr>
        <w:tc>
          <w:tcPr>
            <w:tcW w:type="dxa" w:w="831"/>
          </w:tcPr>
          <w:p>
            <w:pPr>
              <w:pStyle w:val="null3"/>
            </w:pPr>
            <w:r>
              <w:rPr/>
              <w:t>4</w:t>
            </w:r>
          </w:p>
        </w:tc>
        <w:tc>
          <w:tcPr>
            <w:tcW w:type="dxa" w:w="2492"/>
          </w:tcPr>
          <w:p>
            <w:pPr>
              <w:pStyle w:val="null3"/>
            </w:pPr>
            <w:r>
              <w:rPr/>
              <w:t>响应文件的有效期达到竞争性谈判文件要求</w:t>
            </w:r>
          </w:p>
        </w:tc>
        <w:tc>
          <w:tcPr>
            <w:tcW w:type="dxa" w:w="3322"/>
          </w:tcPr>
          <w:p>
            <w:pPr>
              <w:pStyle w:val="null3"/>
            </w:pPr>
            <w:r>
              <w:rPr/>
              <w:t>投标有效期达到竞争性谈判文件要求（合格）投标有效期未达到竞争性谈判文件要求（不合格）</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响应内容符合实质性要求</w:t>
            </w:r>
          </w:p>
        </w:tc>
        <w:tc>
          <w:tcPr>
            <w:tcW w:type="dxa" w:w="3322"/>
          </w:tcPr>
          <w:p>
            <w:pPr>
              <w:pStyle w:val="null3"/>
            </w:pPr>
            <w:r>
              <w:rPr/>
              <w:t>技术参数响应满足第三章3.3技术要求，商务响应满足第三章3.4商务要求（合格），任意一条不满足（不合格）</w:t>
            </w:r>
          </w:p>
        </w:tc>
        <w:tc>
          <w:tcPr>
            <w:tcW w:type="dxa" w:w="1661"/>
          </w:tcPr>
          <w:p>
            <w:pPr>
              <w:pStyle w:val="null3"/>
            </w:pPr>
            <w:r>
              <w:rPr/>
              <w:t>产品技术参数表 商务应答表</w:t>
            </w:r>
          </w:p>
        </w:tc>
      </w:tr>
      <w:tr>
        <w:tc>
          <w:tcPr>
            <w:tcW w:type="dxa" w:w="831"/>
          </w:tcPr>
          <w:p>
            <w:pPr>
              <w:pStyle w:val="null3"/>
            </w:pPr>
            <w:r>
              <w:rPr/>
              <w:t>6</w:t>
            </w:r>
          </w:p>
        </w:tc>
        <w:tc>
          <w:tcPr>
            <w:tcW w:type="dxa" w:w="2492"/>
          </w:tcPr>
          <w:p>
            <w:pPr>
              <w:pStyle w:val="null3"/>
            </w:pPr>
            <w:r>
              <w:rPr/>
              <w:t>符合法律、法规和竞争性谈判文件中规定的其他实质性要求</w:t>
            </w:r>
          </w:p>
        </w:tc>
        <w:tc>
          <w:tcPr>
            <w:tcW w:type="dxa" w:w="3322"/>
          </w:tcPr>
          <w:p>
            <w:pPr>
              <w:pStyle w:val="null3"/>
            </w:pPr>
            <w:r>
              <w:rPr/>
              <w:t>符合法律、法规和竞争性谈判文件中规定的其他实质性要求（合格）不符合法律、法规和竞争性谈判文件中规定的其他实质性要求（不合格）</w:t>
            </w:r>
          </w:p>
        </w:tc>
        <w:tc>
          <w:tcPr>
            <w:tcW w:type="dxa" w:w="1661"/>
          </w:tcPr>
          <w:p>
            <w:pPr>
              <w:pStyle w:val="null3"/>
            </w:pPr>
            <w:r>
              <w:rPr/>
              <w:t>中小企业声明函 残疾人福利性单位声明函 监狱企业的证明文件</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详见附件：.供应商应提交的相关资格证明材料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