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太赫兹矢量网络分析仪及热丝化学气相沉积系统采购项目</w:t>
      </w:r>
    </w:p>
    <w:p>
      <w:pPr>
        <w:pStyle w:val="null3"/>
        <w:jc w:val="center"/>
        <w:outlineLvl w:val="2"/>
      </w:pPr>
      <w:r>
        <w:rPr>
          <w:sz w:val="28"/>
          <w:b/>
        </w:rPr>
        <w:t>采购项目编号：</w:t>
      </w:r>
      <w:r>
        <w:rPr>
          <w:sz w:val="28"/>
          <w:b/>
        </w:rPr>
        <w:t>RTZB-2024-2118</w:t>
      </w:r>
      <w:r>
        <w:br/>
      </w:r>
      <w:r>
        <w:br/>
      </w:r>
      <w:r>
        <w:br/>
      </w:r>
    </w:p>
    <w:p>
      <w:pPr>
        <w:pStyle w:val="null3"/>
        <w:jc w:val="center"/>
        <w:outlineLvl w:val="2"/>
      </w:pPr>
      <w:r>
        <w:rPr>
          <w:sz w:val="28"/>
          <w:b/>
        </w:rPr>
        <w:t>西北大学</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陕西瑞通工程造价咨询有限公司</w:t>
      </w:r>
      <w:r>
        <w:rPr/>
        <w:t>（以下简称“代理机构”）受</w:t>
      </w:r>
      <w:r>
        <w:rPr/>
        <w:t>西北大学</w:t>
      </w:r>
      <w:r>
        <w:rPr/>
        <w:t>委托，拟对</w:t>
      </w:r>
      <w:r>
        <w:rPr/>
        <w:t>太赫兹矢量网络分析仪及热丝化学气相沉积系统采购项目</w:t>
      </w:r>
      <w:r>
        <w:rPr/>
        <w:t>采用竞争性谈判采购方式进行采购，兹邀请供应商参加本项目的竞争性谈判。</w:t>
      </w:r>
    </w:p>
    <w:p>
      <w:pPr>
        <w:pStyle w:val="null3"/>
        <w:outlineLvl w:val="2"/>
      </w:pPr>
      <w:r>
        <w:rPr>
          <w:sz w:val="28"/>
          <w:b/>
        </w:rPr>
        <w:t>一、项目编号：</w:t>
      </w:r>
      <w:r>
        <w:rPr>
          <w:sz w:val="28"/>
          <w:b/>
        </w:rPr>
        <w:t>RTZB-2024-2118</w:t>
      </w:r>
    </w:p>
    <w:p>
      <w:pPr>
        <w:pStyle w:val="null3"/>
        <w:outlineLvl w:val="2"/>
      </w:pPr>
      <w:r>
        <w:rPr>
          <w:sz w:val="28"/>
          <w:b/>
        </w:rPr>
        <w:t>二、项目名称：</w:t>
      </w:r>
      <w:r>
        <w:rPr>
          <w:sz w:val="28"/>
          <w:b/>
        </w:rPr>
        <w:t>太赫兹矢量网络分析仪及热丝化学气相沉积系统采购项目</w:t>
      </w:r>
    </w:p>
    <w:p>
      <w:pPr>
        <w:pStyle w:val="null3"/>
        <w:outlineLvl w:val="2"/>
      </w:pPr>
      <w:r>
        <w:rPr>
          <w:sz w:val="28"/>
          <w:b/>
        </w:rPr>
        <w:t>三、谈判项目简介：</w:t>
      </w:r>
    </w:p>
    <w:p>
      <w:pPr>
        <w:pStyle w:val="null3"/>
        <w:ind w:firstLine="480"/>
      </w:pPr>
      <w:r>
        <w:rPr/>
        <w:t>西北大学拟采购太赫兹矢量网络分析仪1套，热丝化学气相沉积系统1套，采购预算2109700.00元。</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采购包1（太赫兹矢量网络分析仪）：属于专门面向中小企业采购。</w:t>
      </w:r>
    </w:p>
    <w:p>
      <w:pPr>
        <w:pStyle w:val="null3"/>
      </w:pPr>
      <w:r>
        <w:rPr/>
        <w:t>采购包2（热丝化学气相沉积系统）：属于专门面向中小企业采购。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t>3、供应商代表授权：提供法定代表人证明书和代表人授权委托书</w:t>
      </w:r>
    </w:p>
    <w:p>
      <w:pPr>
        <w:pStyle w:val="null3"/>
      </w:pPr>
      <w:r>
        <w:rPr/>
        <w:t>4、财务状况证明：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6、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7、履约能力证明：提供具有履行本合同所必需的专业技术能力的声明</w:t>
      </w:r>
    </w:p>
    <w:p>
      <w:pPr>
        <w:pStyle w:val="null3"/>
      </w:pPr>
      <w:r>
        <w:rPr/>
        <w:t>8、联合体投标：不接受联合体，提供非联合体声明</w:t>
      </w:r>
    </w:p>
    <w:p>
      <w:pPr>
        <w:pStyle w:val="null3"/>
      </w:pPr>
      <w:r>
        <w:rPr/>
        <w:t>采购包2：</w:t>
      </w:r>
    </w:p>
    <w:p>
      <w:pPr>
        <w:pStyle w:val="null3"/>
      </w:pPr>
      <w:r>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t>3、供应商代表授权：提供法定代表人证明书和代表人授权委托书</w:t>
      </w:r>
    </w:p>
    <w:p>
      <w:pPr>
        <w:pStyle w:val="null3"/>
      </w:pPr>
      <w:r>
        <w:rPr/>
        <w:t>4、财务状况证明：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6、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7、履约能力证明：提供具有履行本合同所必需的专业技术能力的声明</w:t>
      </w:r>
    </w:p>
    <w:p>
      <w:pPr>
        <w:pStyle w:val="null3"/>
      </w:pPr>
      <w:r>
        <w:rPr/>
        <w:t>8、联合体投标：不接受联合体，提供非联合体声明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西安市长安区郭杜教育科技产业区学府大街1号</w:t>
      </w:r>
    </w:p>
    <w:p>
      <w:pPr>
        <w:pStyle w:val="null3"/>
      </w:pPr>
      <w:r>
        <w:rPr/>
        <w:t xml:space="preserve"> 邮编： </w:t>
      </w:r>
      <w:r>
        <w:rPr/>
        <w:t>710199</w:t>
      </w:r>
    </w:p>
    <w:p>
      <w:pPr>
        <w:pStyle w:val="null3"/>
      </w:pPr>
      <w:r>
        <w:rPr/>
        <w:t xml:space="preserve"> 联系人： </w:t>
      </w:r>
      <w:r>
        <w:rPr/>
        <w:t>张老师</w:t>
      </w:r>
    </w:p>
    <w:p>
      <w:pPr>
        <w:pStyle w:val="null3"/>
      </w:pPr>
      <w:r>
        <w:rPr/>
        <w:t xml:space="preserve"> 联系电话： </w:t>
      </w:r>
      <w:r>
        <w:rPr/>
        <w:t>029-8830265</w:t>
      </w:r>
    </w:p>
    <w:p>
      <w:pPr>
        <w:pStyle w:val="null3"/>
        <w:outlineLvl w:val="3"/>
      </w:pPr>
      <w:r>
        <w:rPr>
          <w:sz w:val="24"/>
          <w:b/>
        </w:rPr>
        <w:t>代理机构：</w:t>
      </w:r>
      <w:r>
        <w:rPr>
          <w:sz w:val="24"/>
          <w:b/>
        </w:rPr>
        <w:t>陕西瑞通工程造价咨询有限公司</w:t>
      </w:r>
    </w:p>
    <w:p>
      <w:pPr>
        <w:pStyle w:val="null3"/>
      </w:pPr>
      <w:r>
        <w:rPr/>
        <w:t xml:space="preserve"> 地址： </w:t>
      </w:r>
      <w:r>
        <w:rPr/>
        <w:t>西安市科技路30号合力紫郡A座2204室</w:t>
      </w:r>
    </w:p>
    <w:p>
      <w:pPr>
        <w:pStyle w:val="null3"/>
      </w:pPr>
      <w:r>
        <w:rPr/>
        <w:t xml:space="preserve"> 邮编： </w:t>
      </w:r>
      <w:r>
        <w:rPr/>
        <w:t>710075</w:t>
      </w:r>
    </w:p>
    <w:p>
      <w:pPr>
        <w:pStyle w:val="null3"/>
      </w:pPr>
      <w:r>
        <w:rPr/>
        <w:t xml:space="preserve"> 联系人： </w:t>
      </w:r>
      <w:r>
        <w:rPr/>
        <w:t xml:space="preserve"> 贾堃 水思楠 张晨 张岩</w:t>
      </w:r>
    </w:p>
    <w:p>
      <w:pPr>
        <w:pStyle w:val="null3"/>
      </w:pPr>
      <w:r>
        <w:rPr/>
        <w:t xml:space="preserve"> 联系电话： </w:t>
      </w:r>
      <w:r>
        <w:rPr/>
        <w:t>029-88224132-8007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采购包1：1,613,300.00元</w:t>
            </w:r>
          </w:p>
          <w:p>
            <w:pPr>
              <w:pStyle w:val="null3"/>
            </w:pPr>
            <w:r>
              <w:rPr/>
              <w:t>采购包2：496,400.00元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采购包1保证金金额：32,000.00元</w:t>
            </w:r>
          </w:p>
          <w:p>
            <w:pPr>
              <w:pStyle w:val="null3"/>
            </w:pPr>
            <w:r>
              <w:rPr/>
              <w:t>采购包2保证金金额：9,900.00元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p>
            <w:pPr>
              <w:pStyle w:val="null3"/>
            </w:pPr>
            <w:r>
              <w:rPr/>
              <w:t>采购包2：缴纳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代理服务费收费标准：中标/成交供应商 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陕西瑞通工程造价咨询有限公司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陕西瑞通工程造价咨询有限公司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根据谈判文件、响应文件及合同约定执行</w:t>
      </w:r>
    </w:p>
    <w:p>
      <w:pPr>
        <w:pStyle w:val="null3"/>
      </w:pPr>
      <w:r>
        <w:rPr/>
        <w:t>采购包2：</w:t>
      </w:r>
    </w:p>
    <w:p>
      <w:pPr>
        <w:pStyle w:val="null3"/>
      </w:pPr>
      <w:r>
        <w:rPr/>
        <w:t>根据谈判文件、响应文件及合同约定执行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联系人：贾堃 喻涛</w:t>
      </w:r>
    </w:p>
    <w:p>
      <w:pPr>
        <w:pStyle w:val="null3"/>
      </w:pPr>
      <w:r>
        <w:rPr/>
        <w:t>联系电话：029-88224132</w:t>
      </w:r>
    </w:p>
    <w:p>
      <w:pPr>
        <w:pStyle w:val="null3"/>
      </w:pPr>
      <w:r>
        <w:rPr/>
        <w:t>地址：西安市高新区科技路30号合力紫郡A座2204室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西北大学拟采购太赫兹矢量网络分析仪1套，热丝化学气相沉积系统1套，采购预算2109700.00元。</w:t>
      </w:r>
    </w:p>
    <w:p>
      <w:pPr>
        <w:pStyle w:val="null3"/>
        <w:outlineLvl w:val="2"/>
      </w:pPr>
      <w:r>
        <w:rPr>
          <w:sz w:val="28"/>
          <w:b/>
        </w:rPr>
        <w:t>3.2采购内容</w:t>
      </w:r>
    </w:p>
    <w:p>
      <w:pPr>
        <w:pStyle w:val="null3"/>
      </w:pPr>
      <w:r>
        <w:rPr/>
        <w:t>采购包1：</w:t>
      </w:r>
    </w:p>
    <w:p>
      <w:pPr>
        <w:pStyle w:val="null3"/>
      </w:pPr>
      <w:r>
        <w:rPr/>
        <w:t>采购包预算金额（元）: 1,613,300.00</w:t>
      </w:r>
    </w:p>
    <w:p>
      <w:pPr>
        <w:pStyle w:val="null3"/>
      </w:pPr>
      <w:r>
        <w:rPr/>
        <w:t>采购包最高限价（元）: 1,613,300.00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太赫兹矢量网络分析仪</w:t>
            </w:r>
          </w:p>
        </w:tc>
        <w:tc>
          <w:tcPr>
            <w:tcW w:type="dxa" w:w="831"/>
          </w:tcPr>
          <w:p>
            <w:pPr>
              <w:pStyle w:val="null3"/>
              <w:jc w:val="right"/>
            </w:pPr>
            <w:r>
              <w:rPr/>
              <w:t>1.00</w:t>
            </w:r>
          </w:p>
        </w:tc>
        <w:tc>
          <w:tcPr>
            <w:tcW w:type="dxa" w:w="831"/>
          </w:tcPr>
          <w:p>
            <w:pPr>
              <w:pStyle w:val="null3"/>
              <w:jc w:val="right"/>
            </w:pPr>
            <w:r>
              <w:rPr/>
              <w:t>1,613,300.00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496,400.00</w:t>
      </w:r>
    </w:p>
    <w:p>
      <w:pPr>
        <w:pStyle w:val="null3"/>
      </w:pPr>
      <w:r>
        <w:rPr/>
        <w:t>采购包最高限价（元）: 496,400.00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热丝化学气相沉积系统</w:t>
            </w:r>
          </w:p>
        </w:tc>
        <w:tc>
          <w:tcPr>
            <w:tcW w:type="dxa" w:w="831"/>
          </w:tcPr>
          <w:p>
            <w:pPr>
              <w:pStyle w:val="null3"/>
              <w:jc w:val="right"/>
            </w:pPr>
            <w:r>
              <w:rPr/>
              <w:t>1.00</w:t>
            </w:r>
          </w:p>
        </w:tc>
        <w:tc>
          <w:tcPr>
            <w:tcW w:type="dxa" w:w="831"/>
          </w:tcPr>
          <w:p>
            <w:pPr>
              <w:pStyle w:val="null3"/>
              <w:jc w:val="right"/>
            </w:pPr>
            <w:r>
              <w:rPr/>
              <w:t>496,400.00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标的名称：太赫兹矢量网络分析仪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1.  主机频率范围：10 MHz - 44 GHz；</w:t>
            </w:r>
          </w:p>
          <w:p>
            <w:pPr>
              <w:pStyle w:val="null3"/>
              <w:jc w:val="left"/>
            </w:pPr>
            <w:r>
              <w:rPr>
                <w:rFonts w:ascii="宋体" w:hAnsi="宋体" w:cs="宋体" w:eastAsia="宋体"/>
                <w:sz w:val="24"/>
              </w:rPr>
              <w:t>2.  端口数量：4个；</w:t>
            </w:r>
          </w:p>
          <w:p>
            <w:pPr>
              <w:pStyle w:val="null3"/>
              <w:jc w:val="left"/>
            </w:pPr>
            <w:r>
              <w:rPr>
                <w:rFonts w:ascii="宋体" w:hAnsi="宋体" w:cs="宋体" w:eastAsia="宋体"/>
                <w:sz w:val="24"/>
              </w:rPr>
              <w:t>3.  支持500-750 GHz频段频率扩展；</w:t>
            </w:r>
          </w:p>
          <w:p>
            <w:pPr>
              <w:pStyle w:val="null3"/>
              <w:jc w:val="left"/>
            </w:pPr>
            <w:r>
              <w:rPr>
                <w:rFonts w:ascii="宋体" w:hAnsi="宋体" w:cs="宋体" w:eastAsia="宋体"/>
                <w:sz w:val="24"/>
              </w:rPr>
              <w:t>4.  主机动态范围：≥102 dB</w:t>
            </w:r>
          </w:p>
          <w:p>
            <w:pPr>
              <w:pStyle w:val="null3"/>
              <w:jc w:val="left"/>
            </w:pPr>
            <w:r>
              <w:rPr>
                <w:rFonts w:ascii="宋体" w:hAnsi="宋体" w:cs="宋体" w:eastAsia="宋体"/>
                <w:sz w:val="24"/>
              </w:rPr>
              <w:t xml:space="preserve">5.  </w:t>
            </w:r>
            <w:r>
              <w:rPr>
                <w:rFonts w:ascii="宋体" w:hAnsi="宋体" w:cs="宋体" w:eastAsia="宋体"/>
                <w:sz w:val="24"/>
              </w:rPr>
              <w:t>四端口矢量网络分析仪：参数：频率范围</w:t>
            </w:r>
            <w:r>
              <w:rPr>
                <w:rFonts w:ascii="宋体" w:hAnsi="宋体" w:cs="宋体" w:eastAsia="宋体"/>
                <w:sz w:val="24"/>
              </w:rPr>
              <w:t>10</w:t>
            </w:r>
            <w:r>
              <w:rPr/>
              <w:t xml:space="preserve"> </w:t>
            </w:r>
            <w:r>
              <w:rPr>
                <w:rFonts w:ascii="宋体" w:hAnsi="宋体" w:cs="宋体" w:eastAsia="宋体"/>
                <w:sz w:val="24"/>
              </w:rPr>
              <w:t>MHz～120</w:t>
            </w:r>
            <w:r>
              <w:rPr/>
              <w:t xml:space="preserve"> </w:t>
            </w:r>
            <w:r>
              <w:rPr>
                <w:rFonts w:ascii="宋体" w:hAnsi="宋体" w:cs="宋体" w:eastAsia="宋体"/>
                <w:sz w:val="24"/>
              </w:rPr>
              <w:t>GHz之内，</w:t>
            </w:r>
            <w:r>
              <w:rPr>
                <w:rFonts w:ascii="宋体" w:hAnsi="宋体" w:cs="宋体" w:eastAsia="宋体"/>
                <w:sz w:val="24"/>
              </w:rPr>
              <w:t>应</w:t>
            </w:r>
            <w:r>
              <w:rPr>
                <w:rFonts w:ascii="宋体" w:hAnsi="宋体" w:cs="宋体" w:eastAsia="宋体"/>
                <w:sz w:val="24"/>
              </w:rPr>
              <w:t>满足</w:t>
            </w:r>
            <w:r>
              <w:rPr>
                <w:rFonts w:ascii="宋体" w:hAnsi="宋体" w:cs="宋体" w:eastAsia="宋体"/>
                <w:sz w:val="24"/>
              </w:rPr>
              <w:t>可连接</w:t>
            </w:r>
            <w:r>
              <w:rPr>
                <w:rFonts w:ascii="宋体" w:hAnsi="宋体" w:cs="宋体" w:eastAsia="宋体"/>
                <w:sz w:val="24"/>
              </w:rPr>
              <w:t>扩频</w:t>
            </w:r>
            <w:r>
              <w:rPr>
                <w:rFonts w:ascii="宋体" w:hAnsi="宋体" w:cs="宋体" w:eastAsia="宋体"/>
                <w:sz w:val="24"/>
              </w:rPr>
              <w:t>模块的</w:t>
            </w:r>
            <w:r>
              <w:rPr>
                <w:rFonts w:ascii="宋体" w:hAnsi="宋体" w:cs="宋体" w:eastAsia="宋体"/>
                <w:sz w:val="24"/>
              </w:rPr>
              <w:t>需求；数量：</w:t>
            </w:r>
            <w:r>
              <w:rPr>
                <w:rFonts w:ascii="宋体" w:hAnsi="宋体" w:cs="宋体" w:eastAsia="宋体"/>
                <w:sz w:val="24"/>
              </w:rPr>
              <w:t>1台。</w:t>
            </w:r>
          </w:p>
          <w:p>
            <w:pPr>
              <w:pStyle w:val="null3"/>
              <w:jc w:val="left"/>
            </w:pPr>
            <w:r>
              <w:rPr>
                <w:rFonts w:ascii="宋体" w:hAnsi="宋体" w:cs="宋体" w:eastAsia="宋体"/>
                <w:sz w:val="24"/>
              </w:rPr>
              <w:t xml:space="preserve">6.  </w:t>
            </w:r>
            <w:r>
              <w:rPr>
                <w:rFonts w:ascii="宋体" w:hAnsi="宋体" w:cs="宋体" w:eastAsia="宋体"/>
                <w:sz w:val="24"/>
              </w:rPr>
              <w:t>500-750 GHz频率扩展收发模块（S11</w:t>
            </w:r>
            <w:r>
              <w:rPr>
                <w:rFonts w:ascii="宋体" w:hAnsi="宋体" w:cs="宋体" w:eastAsia="宋体"/>
                <w:sz w:val="24"/>
              </w:rPr>
              <w:t>：</w:t>
            </w:r>
            <w:r>
              <w:rPr>
                <w:rFonts w:ascii="宋体" w:hAnsi="宋体" w:cs="宋体" w:eastAsia="宋体"/>
                <w:sz w:val="24"/>
              </w:rPr>
              <w:t>反射）</w:t>
            </w:r>
            <w:r>
              <w:rPr>
                <w:rFonts w:ascii="宋体" w:hAnsi="宋体" w:cs="宋体" w:eastAsia="宋体"/>
                <w:sz w:val="24"/>
              </w:rPr>
              <w:t>，功能：搭配矢网主机具备发射和接收功能；数量：</w:t>
            </w:r>
            <w:r>
              <w:rPr>
                <w:rFonts w:ascii="宋体" w:hAnsi="宋体" w:cs="宋体" w:eastAsia="宋体"/>
                <w:sz w:val="24"/>
              </w:rPr>
              <w:t>1台</w:t>
            </w:r>
            <w:r>
              <w:rPr>
                <w:rFonts w:ascii="宋体" w:hAnsi="宋体" w:cs="宋体" w:eastAsia="宋体"/>
                <w:sz w:val="24"/>
              </w:rPr>
              <w:t>。</w:t>
            </w:r>
          </w:p>
          <w:p>
            <w:pPr>
              <w:pStyle w:val="null3"/>
              <w:jc w:val="left"/>
            </w:pPr>
            <w:r>
              <w:rPr>
                <w:rFonts w:ascii="宋体" w:hAnsi="宋体" w:cs="宋体" w:eastAsia="宋体"/>
                <w:sz w:val="24"/>
              </w:rPr>
              <w:t xml:space="preserve">7.  </w:t>
            </w:r>
            <w:r>
              <w:rPr>
                <w:rFonts w:ascii="宋体" w:hAnsi="宋体" w:cs="宋体" w:eastAsia="宋体"/>
                <w:sz w:val="24"/>
              </w:rPr>
              <w:t>500-750 GHz频率扩展接收模块（S21</w:t>
            </w:r>
            <w:r>
              <w:rPr>
                <w:rFonts w:ascii="宋体" w:hAnsi="宋体" w:cs="宋体" w:eastAsia="宋体"/>
                <w:sz w:val="24"/>
              </w:rPr>
              <w:t>：</w:t>
            </w:r>
            <w:r>
              <w:rPr>
                <w:rFonts w:ascii="宋体" w:hAnsi="宋体" w:cs="宋体" w:eastAsia="宋体"/>
                <w:sz w:val="24"/>
              </w:rPr>
              <w:t>投射</w:t>
            </w:r>
            <w:r>
              <w:rPr>
                <w:rFonts w:ascii="宋体" w:hAnsi="宋体" w:cs="宋体" w:eastAsia="宋体"/>
                <w:sz w:val="24"/>
              </w:rPr>
              <w:t>）</w:t>
            </w:r>
            <w:r>
              <w:rPr>
                <w:rFonts w:ascii="宋体" w:hAnsi="宋体" w:cs="宋体" w:eastAsia="宋体"/>
                <w:sz w:val="24"/>
              </w:rPr>
              <w:t>，功能：搭配矢网主机具备接收功能；数量：</w:t>
            </w:r>
            <w:r>
              <w:rPr>
                <w:rFonts w:ascii="宋体" w:hAnsi="宋体" w:cs="宋体" w:eastAsia="宋体"/>
                <w:sz w:val="24"/>
              </w:rPr>
              <w:t>1台</w:t>
            </w:r>
            <w:r>
              <w:rPr>
                <w:rFonts w:ascii="宋体" w:hAnsi="宋体" w:cs="宋体" w:eastAsia="宋体"/>
                <w:sz w:val="24"/>
              </w:rPr>
              <w:t>。</w:t>
            </w:r>
          </w:p>
          <w:p>
            <w:pPr>
              <w:pStyle w:val="null3"/>
              <w:jc w:val="left"/>
            </w:pPr>
            <w:r>
              <w:rPr>
                <w:rFonts w:ascii="宋体" w:hAnsi="宋体" w:cs="宋体" w:eastAsia="宋体"/>
                <w:sz w:val="24"/>
              </w:rPr>
              <w:t>8.  包含扩频模块相应线缆。</w:t>
            </w:r>
          </w:p>
          <w:p>
            <w:pPr>
              <w:pStyle w:val="null3"/>
              <w:jc w:val="both"/>
            </w:pPr>
            <w:r>
              <w:rPr>
                <w:rFonts w:ascii="宋体" w:hAnsi="宋体" w:cs="宋体" w:eastAsia="宋体"/>
                <w:sz w:val="24"/>
              </w:rPr>
              <w:t>注：以上技术参数与性能指标不允许负偏离，任意一项负偏离按无效投标处理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标的名称：热丝化学气相沉积系统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 xml:space="preserve">1.  </w:t>
            </w:r>
            <w:r>
              <w:rPr>
                <w:rFonts w:ascii="宋体" w:hAnsi="宋体" w:cs="宋体" w:eastAsia="宋体"/>
                <w:sz w:val="24"/>
              </w:rPr>
              <w:t>热丝温度：</w:t>
            </w:r>
            <w:r>
              <w:rPr>
                <w:rFonts w:ascii="宋体" w:hAnsi="宋体" w:cs="宋体" w:eastAsia="宋体"/>
                <w:sz w:val="24"/>
              </w:rPr>
              <w:t>≥</w:t>
            </w:r>
            <w:r>
              <w:rPr>
                <w:rFonts w:ascii="宋体" w:hAnsi="宋体" w:cs="宋体" w:eastAsia="宋体"/>
                <w:sz w:val="24"/>
              </w:rPr>
              <w:t>2000</w:t>
            </w:r>
            <w:r>
              <w:rPr>
                <w:rFonts w:ascii="宋体" w:hAnsi="宋体" w:cs="宋体" w:eastAsia="宋体"/>
                <w:sz w:val="24"/>
              </w:rPr>
              <w:t>℃</w:t>
            </w:r>
            <w:r>
              <w:rPr>
                <w:rFonts w:ascii="宋体" w:hAnsi="宋体" w:cs="宋体" w:eastAsia="宋体"/>
                <w:sz w:val="24"/>
              </w:rPr>
              <w:t>；</w:t>
            </w:r>
          </w:p>
          <w:p>
            <w:pPr>
              <w:pStyle w:val="null3"/>
              <w:jc w:val="left"/>
            </w:pPr>
            <w:r>
              <w:rPr>
                <w:rFonts w:ascii="宋体" w:hAnsi="宋体" w:cs="宋体" w:eastAsia="宋体"/>
                <w:sz w:val="24"/>
              </w:rPr>
              <w:t>2.  衬底台温度</w:t>
            </w:r>
            <w:r>
              <w:rPr>
                <w:rFonts w:ascii="宋体" w:hAnsi="宋体" w:cs="宋体" w:eastAsia="宋体"/>
                <w:sz w:val="24"/>
              </w:rPr>
              <w:t>：</w:t>
            </w:r>
            <w:r>
              <w:rPr>
                <w:rFonts w:ascii="宋体" w:hAnsi="宋体" w:cs="宋体" w:eastAsia="宋体"/>
                <w:sz w:val="24"/>
              </w:rPr>
              <w:t>≥</w:t>
            </w:r>
            <w:r>
              <w:rPr>
                <w:rFonts w:ascii="宋体" w:hAnsi="宋体" w:cs="宋体" w:eastAsia="宋体"/>
                <w:sz w:val="24"/>
              </w:rPr>
              <w:t>600℃；</w:t>
            </w:r>
          </w:p>
          <w:p>
            <w:pPr>
              <w:pStyle w:val="null3"/>
              <w:jc w:val="left"/>
            </w:pPr>
            <w:r>
              <w:rPr>
                <w:rFonts w:ascii="宋体" w:hAnsi="宋体" w:cs="宋体" w:eastAsia="宋体"/>
                <w:sz w:val="24"/>
              </w:rPr>
              <w:t>3.  具备机械泵且低真空度量级：10</w:t>
            </w:r>
            <w:r>
              <w:rPr>
                <w:rFonts w:ascii="宋体" w:hAnsi="宋体" w:cs="宋体" w:eastAsia="宋体"/>
                <w:sz w:val="24"/>
                <w:vertAlign w:val="superscript"/>
              </w:rPr>
              <w:t>-1</w:t>
            </w:r>
            <w:r>
              <w:rPr>
                <w:rFonts w:ascii="宋体" w:hAnsi="宋体" w:cs="宋体" w:eastAsia="宋体"/>
                <w:sz w:val="24"/>
              </w:rPr>
              <w:t>；</w:t>
            </w:r>
          </w:p>
          <w:p>
            <w:pPr>
              <w:pStyle w:val="null3"/>
              <w:jc w:val="left"/>
            </w:pPr>
            <w:r>
              <w:rPr>
                <w:rFonts w:ascii="宋体" w:hAnsi="宋体" w:cs="宋体" w:eastAsia="宋体"/>
                <w:sz w:val="24"/>
              </w:rPr>
              <w:t>4.  具备扩散泵或分子泵且高真空度量级需求：10</w:t>
            </w:r>
            <w:r>
              <w:rPr>
                <w:rFonts w:ascii="宋体" w:hAnsi="宋体" w:cs="宋体" w:eastAsia="宋体"/>
                <w:sz w:val="24"/>
                <w:vertAlign w:val="superscript"/>
              </w:rPr>
              <w:t>-4</w:t>
            </w:r>
            <w:r>
              <w:rPr>
                <w:rFonts w:ascii="宋体" w:hAnsi="宋体" w:cs="宋体" w:eastAsia="宋体"/>
                <w:sz w:val="24"/>
              </w:rPr>
              <w:t xml:space="preserve"> </w:t>
            </w:r>
            <w:r>
              <w:rPr>
                <w:rFonts w:ascii="宋体" w:hAnsi="宋体" w:cs="宋体" w:eastAsia="宋体"/>
                <w:sz w:val="24"/>
              </w:rPr>
              <w:t>Pa；</w:t>
            </w:r>
          </w:p>
          <w:p>
            <w:pPr>
              <w:pStyle w:val="null3"/>
              <w:jc w:val="left"/>
            </w:pPr>
            <w:r>
              <w:rPr>
                <w:rFonts w:ascii="宋体" w:hAnsi="宋体" w:cs="宋体" w:eastAsia="宋体"/>
                <w:sz w:val="24"/>
              </w:rPr>
              <w:t>5.  可沉积薄膜面积直径：≥10 cm；</w:t>
            </w:r>
          </w:p>
          <w:p>
            <w:pPr>
              <w:pStyle w:val="null3"/>
              <w:jc w:val="left"/>
            </w:pPr>
            <w:r>
              <w:rPr>
                <w:rFonts w:ascii="宋体" w:hAnsi="宋体" w:cs="宋体" w:eastAsia="宋体"/>
                <w:sz w:val="24"/>
              </w:rPr>
              <w:t>6.  冷却方式：冷壁式水冷；</w:t>
            </w:r>
          </w:p>
          <w:p>
            <w:pPr>
              <w:pStyle w:val="null3"/>
              <w:jc w:val="left"/>
            </w:pPr>
            <w:r>
              <w:rPr>
                <w:rFonts w:ascii="宋体" w:hAnsi="宋体" w:cs="宋体" w:eastAsia="宋体"/>
                <w:sz w:val="24"/>
              </w:rPr>
              <w:t>7.  温度进度：优于±5℃。</w:t>
            </w:r>
          </w:p>
          <w:p>
            <w:pPr>
              <w:pStyle w:val="null3"/>
              <w:jc w:val="both"/>
            </w:pPr>
            <w:r>
              <w:rPr>
                <w:rFonts w:ascii="宋体" w:hAnsi="宋体" w:cs="宋体" w:eastAsia="宋体"/>
                <w:sz w:val="24"/>
              </w:rPr>
              <w:t>注：以上技术参数与性能指标不允许负偏离，任意一项负偏离按无效投标处理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合同签订之日起180日到货安装调试交付使用</w:t>
      </w:r>
    </w:p>
    <w:p>
      <w:pPr>
        <w:pStyle w:val="null3"/>
      </w:pPr>
      <w:r>
        <w:rPr/>
        <w:t>采购包2：</w:t>
      </w:r>
    </w:p>
    <w:p>
      <w:pPr>
        <w:pStyle w:val="null3"/>
      </w:pPr>
      <w:r>
        <w:rPr/>
        <w:t>合同签订之日起180日到货安装调试交付使用</w:t>
      </w:r>
    </w:p>
    <w:p>
      <w:pPr>
        <w:pStyle w:val="null3"/>
        <w:outlineLvl w:val="3"/>
      </w:pPr>
      <w:r>
        <w:rPr>
          <w:sz w:val="24"/>
          <w:b/>
        </w:rPr>
        <w:t>3.4.2交货地点和方式</w:t>
      </w:r>
    </w:p>
    <w:p>
      <w:pPr>
        <w:pStyle w:val="null3"/>
      </w:pPr>
      <w:r>
        <w:rPr/>
        <w:t>采购包1：</w:t>
      </w:r>
    </w:p>
    <w:p>
      <w:pPr>
        <w:pStyle w:val="null3"/>
      </w:pPr>
      <w:r>
        <w:rPr/>
        <w:t>西北大学信息科学与技术学院指定地点</w:t>
      </w:r>
    </w:p>
    <w:p>
      <w:pPr>
        <w:pStyle w:val="null3"/>
      </w:pPr>
      <w:r>
        <w:rPr/>
        <w:t>采购包2：</w:t>
      </w:r>
    </w:p>
    <w:p>
      <w:pPr>
        <w:pStyle w:val="null3"/>
      </w:pPr>
      <w:r>
        <w:rPr/>
        <w:t>西北大学信息科学与技术学院指定地点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（3）在货物安装调试运行正常后，甲方（西北大学信息科学与技术学院）按学校相关业务部门规定提交验收申请，学校根据采购单位技术验收结果，组织有关专家进行货物的最终验收。</w:t>
      </w:r>
    </w:p>
    <w:p>
      <w:pPr>
        <w:pStyle w:val="null3"/>
      </w:pPr>
      <w:r>
        <w:rPr/>
        <w:t>采购包2：</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（3）在货物安装调试运行正常后，甲方（西北大学信息科学与技术学院）按学校相关业务部门规定提交验收申请，学校根据采购单位技术验收结果，组织有关专家进行货物的最终验收。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1.质保期：自学校验收合格之日起3年。 2.售后服务标准要求：①质保期与维修保障：要求设备提供至少3年的质保期，质保期内需包含维修、更换零件及维护服务，所产生的费用由供应商承担。质保期后提供有偿的维修和保养服务，并明示各项服务的收费标准。 ②响应时间与技术支持：在质保期内，要求售后服务响应时间不超过24小时，并在48小时内派遣专业工程师到场维修或提供远程技术支持。提供不定期的技术巡检和维护服务，确保设备长期处于最佳运行状态。③软件更新与技术升级： 在质保期内提供固件和软件更新，确保系统功能的持续优化，所产生的费用由供应商承担。若设备在使用期间有技术升级，可优惠提供相应升级组件及服务，并确保系统的兼容性。④ 备件和耗材供应：确保售后期间提供10年以上的零部件供应支持，备件要包括常用的校准件、衰减器等核心组件。建立耗材快速供应通道，以便设备在日常实验和教学中不因耗材短缺而受到影响。⑤培训与操作指导： 在设备交付后提供至少2次现场操作培训，并根据实际需要提供深度技术讲解，确保相关科研人员及教学人员充分掌握设备使用方法。提供详尽的设备操作手册和视频培训资料，便于后续培训和知识传递。⑥定期回访与客户反馈：定期进行使用情况回访，每年最少进行一次全面的设备检查，并记录用户反馈，提升设备使用体验。根据反馈情况改进服务和技术支持，帮助用户更好地开展研究和教学。 3.售后服务效率要求：即时响应（包括电话响应）；电话响应无法解决时， 48 小时内到达现场。修复时间 12 小时内；如 12 小时内无法修复，应提供相应解决方案。</w:t>
      </w:r>
    </w:p>
    <w:p>
      <w:pPr>
        <w:pStyle w:val="null3"/>
      </w:pPr>
      <w:r>
        <w:rPr/>
        <w:t>采购包2：</w:t>
      </w:r>
    </w:p>
    <w:p>
      <w:pPr>
        <w:pStyle w:val="null3"/>
      </w:pPr>
      <w:r>
        <w:rPr/>
        <w:t>1.质保期：自学校验收合格之日起3年。 2.售后服务标准要求：①质保期与维修保障：要求设备提供至少3年的质保期，质保期内需包含维修、更换零件及维护服务，所产生的费用由供应商承担。质保期后提供有偿的维修和保养服务，并明示各项服务的收费标准。 ②响应时间与技术支持：在质保期内，要求售后服务响应时间不超过24小时，并在48小时内派遣专业工程师到场维修或提供远程技术支持。提供不定期的技术巡检和维护服务，确保设备长期处于最佳运行状态。③软件更新与技术升级： 在质保期内提供固件和软件更新，确保系统功能的持续优化，所产生的费用由供应商承担。若设备在使用期间有技术升级，可优惠提供相应升级组件及服务，并确保系统的兼容性。④ 备件和耗材供应：确保售后期间提供10年以上的零部件供应支持。建立耗材快速供应通道，以便设备在日常实验和教学中不因耗材短缺而受到影响。⑤培训与操作指导：在设备交付后提供至少2次现场操作培训，并根据实际需要提供深度技术讲解，确保相关科研人员及教学人员充分掌握设备使用方法。提供详尽的设备操作手册和视频培训资料，便于后续培训和知识传递。⑥定期回访与客户反馈：定期进行使用情况回访，每年最少进行一次全面的设备检查，并记录用户反馈，提升设备使用体验。根据反馈情况改进服务和技术支持，帮助用户更好地开展研究和教学。 3.售后服务效率要求：即时响应（包括电话响应）；电话响应无法解决时， 48 小时内到达现场。修复时间 12 小时内；如 12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根据谈判文件及合同约定执行</w:t>
      </w:r>
    </w:p>
    <w:p>
      <w:pPr>
        <w:pStyle w:val="null3"/>
      </w:pPr>
      <w:r>
        <w:rPr/>
        <w:t>采购包2：</w:t>
      </w:r>
    </w:p>
    <w:p>
      <w:pPr>
        <w:pStyle w:val="null3"/>
      </w:pPr>
      <w:r>
        <w:rPr/>
        <w:t>根据谈判文件及合同约定执行</w:t>
      </w:r>
    </w:p>
    <w:p>
      <w:pPr>
        <w:pStyle w:val="null3"/>
        <w:jc w:val="left"/>
        <w:outlineLvl w:val="3"/>
      </w:pPr>
      <w:r>
        <w:rPr>
          <w:sz w:val="24"/>
          <w:b/>
        </w:rPr>
        <w:t>3.5其他要求</w:t>
      </w:r>
    </w:p>
    <w:p>
      <w:pPr>
        <w:pStyle w:val="null3"/>
      </w:pPr>
      <w:r>
        <w:rPr/>
        <w:t>采购包1：</w:t>
      </w:r>
    </w:p>
    <w:p>
      <w:pPr>
        <w:pStyle w:val="null3"/>
      </w:pPr>
      <w:r>
        <w:rPr/>
        <w:t>1.供应商需在线提交所有通过电子化交易平台实施的政府采购项目的响应文件，另外，在谈判截止时间前向代理机构递交密封、系统生成的纸质版响应文件贰份（胶装，封袋标注供应商名称、项目名称及包号）。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合同生效后，乙方开具合同金额等额银行保函，甲方收到银行保函正本后，预付合同货款，待货物到达指定地点、安装调试验收合格后，甲方退还银行保函正本。。付款方式第三章支付约定不一致，以此处为准。 4.本项目采用两次报价，响应文件中的报价为首次报价，评审以第二次（最终报价）为准。</w:t>
      </w:r>
    </w:p>
    <w:p>
      <w:pPr>
        <w:pStyle w:val="null3"/>
      </w:pPr>
      <w:r>
        <w:rPr/>
        <w:t>采购包2：</w:t>
      </w:r>
    </w:p>
    <w:p>
      <w:pPr>
        <w:pStyle w:val="null3"/>
      </w:pPr>
      <w:r>
        <w:rPr/>
        <w:t>1.供应商需在线提交所有通过电子化交易平台实施的政府采购项目的响应文件，另外，在谈判截止时间前向代理机构递交密封、系统生成的纸质版响应文件贰份（胶装，封袋标注供应商名称、项目名称及包号）。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合同生效后，乙方开具合同金额等额银行保函，甲方收到银行保函正本后，预付合同货款，待货物到达指定地点、安装调试验收合格后，甲方退还银行保函正本。。付款方式第三章支付约定不一致，以此处为准。 4.本项目采用两次报价，响应文件中的报价为首次报价，评审以第二次（最终报价）为准。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法定代表人授权委托书 法定代表人证明书</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法定代表人授权委托书 法定代表人证明书</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谈判有效期</w:t>
            </w:r>
          </w:p>
        </w:tc>
        <w:tc>
          <w:tcPr>
            <w:tcW w:type="dxa" w:w="3322"/>
          </w:tcPr>
          <w:p>
            <w:pPr>
              <w:pStyle w:val="null3"/>
            </w:pPr>
            <w:r>
              <w:rPr/>
              <w:t>不少于90日历天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首次响应报价</w:t>
            </w:r>
          </w:p>
        </w:tc>
        <w:tc>
          <w:tcPr>
            <w:tcW w:type="dxa" w:w="3322"/>
          </w:tcPr>
          <w:p>
            <w:pPr>
              <w:pStyle w:val="null3"/>
            </w:pPr>
            <w:r>
              <w:rPr/>
              <w:t>首次报价未超过采购预算。</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合同签订之日起180日到货安装调试交付使用</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西北大学信息科学与技术学院指定地点</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主要商务条款</w:t>
            </w:r>
          </w:p>
        </w:tc>
        <w:tc>
          <w:tcPr>
            <w:tcW w:type="dxa" w:w="3322"/>
          </w:tcPr>
          <w:p>
            <w:pPr>
              <w:pStyle w:val="null3"/>
            </w:pPr>
            <w:r>
              <w:rPr/>
              <w:t>1.质保期：自学校验收合格之日起3年。 2.售后服务标准要求： ①质保期与维修保障：要求设备提供至少3年的质保期，质保期内需包含维修、更换零件及维护服务，所产生的费用由供应商承担。质保期后提供有偿的维修和保养服务，并明示各项服务的收费标准。 ②响应时间与技术支持：在质保期内，要求售后服务响应时间不超过24小时，并在48小时内派遣专业工程师到场维修或提供远程技术支持。提供不定期的技术巡检和维护服务，确保设备长期处于最佳运行状态。 ③软件更新与技术升级： 在质保期内提供固件和软件更新，确保系统功能的持续优化，所产生的费用由供应商承担。若设备在使用期间有技术升级，可优惠提供相应升级组件及服务，并确保系统的兼容性。 ④ 备件和耗材供应：确保售后期间提供10年以上的零部件供应支持，备件要包括常用的校准件、衰减器等核心组件。建立耗材快速供应通道，以便设备在日常实验和教学中不因耗材短缺而受到影响。⑤培训与操作指导： 在设备交付后提供至少2次现场操作培训，并根据实际需要提供深度技术讲解，确保相关科研人员及教学人员充分掌握设备使用方法。提供详尽的设备操作手册和视频培训资料，便于后续培训和知识传递。 ⑥定期回访与客户反馈：定期进行使用情况回访，每年最少进行一次全面的设备检查，并记录用户反馈，提升设备使用体验。根据反馈情况改进服务和技术支持，帮助用户更好地开展研究和教学。 3.售后服务效率要求：即时响应（包括电话响应）；电话响应无法解决时， 48 小时内到达现场。修复时间 12 小时内；如 12 小时内无法修复，应提供相应解决方案。 4.支付方式：合同生效后，乙方开具合同金额等额银行保函，甲方收到银行保函正本后，预付合同货款，待货物到达指定地点、安装调试验收合格后，甲方退还银行保函正本。</w:t>
            </w:r>
          </w:p>
        </w:tc>
        <w:tc>
          <w:tcPr>
            <w:tcW w:type="dxa" w:w="1661"/>
          </w:tcPr>
          <w:p>
            <w:pPr>
              <w:pStyle w:val="null3"/>
            </w:pPr>
            <w:r>
              <w:rPr/>
              <w:t>主要商务条款响应偏离表（仅适用于包1）</w:t>
            </w:r>
          </w:p>
        </w:tc>
      </w:tr>
      <w:tr>
        <w:tc>
          <w:tcPr>
            <w:tcW w:type="dxa" w:w="831"/>
          </w:tcPr>
          <w:p>
            <w:pPr>
              <w:pStyle w:val="null3"/>
            </w:pPr>
            <w:r>
              <w:rPr/>
              <w:t>8</w:t>
            </w:r>
          </w:p>
        </w:tc>
        <w:tc>
          <w:tcPr>
            <w:tcW w:type="dxa" w:w="2492"/>
          </w:tcPr>
          <w:p>
            <w:pPr>
              <w:pStyle w:val="null3"/>
            </w:pPr>
            <w:r>
              <w:rPr/>
              <w:t>投标内容</w:t>
            </w:r>
          </w:p>
        </w:tc>
        <w:tc>
          <w:tcPr>
            <w:tcW w:type="dxa" w:w="3322"/>
          </w:tcPr>
          <w:p>
            <w:pPr>
              <w:pStyle w:val="null3"/>
            </w:pPr>
            <w:r>
              <w:rPr/>
              <w:t>投标产品品目、数量、技术参数符合谈判文件要求。 注：①技术参数以《投标产品技术指标偏离表》中响应为准。②本项目投标产品按套计算。</w:t>
            </w:r>
          </w:p>
        </w:tc>
        <w:tc>
          <w:tcPr>
            <w:tcW w:type="dxa" w:w="1661"/>
          </w:tcPr>
          <w:p>
            <w:pPr>
              <w:pStyle w:val="null3"/>
            </w:pPr>
            <w:r>
              <w:rPr/>
              <w:t>投标产品技术参数明细表 标的清单 投标产品技术指标偏离表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谈判有效期</w:t>
            </w:r>
          </w:p>
        </w:tc>
        <w:tc>
          <w:tcPr>
            <w:tcW w:type="dxa" w:w="3322"/>
          </w:tcPr>
          <w:p>
            <w:pPr>
              <w:pStyle w:val="null3"/>
            </w:pPr>
            <w:r>
              <w:rPr/>
              <w:t>不少于90日历天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首次响应报价</w:t>
            </w:r>
          </w:p>
        </w:tc>
        <w:tc>
          <w:tcPr>
            <w:tcW w:type="dxa" w:w="3322"/>
          </w:tcPr>
          <w:p>
            <w:pPr>
              <w:pStyle w:val="null3"/>
            </w:pPr>
            <w:r>
              <w:rPr/>
              <w:t>首次报价未超过采购预算。</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合同签订之日起180日到货安装调试交付使用</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西北大学信息科学与技术学院指定地点</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主要商务条款</w:t>
            </w:r>
          </w:p>
        </w:tc>
        <w:tc>
          <w:tcPr>
            <w:tcW w:type="dxa" w:w="3322"/>
          </w:tcPr>
          <w:p>
            <w:pPr>
              <w:pStyle w:val="null3"/>
            </w:pPr>
            <w:r>
              <w:rPr/>
              <w:t>1.质保期：自学校验收合格之日起3年。 2.售后服务标准要求： ①质保期与维修保障：要求设备提供至少3年的质保期，质保期内需包含维修、更换零件及维护服务，所产生的费用由供应商承担。质保期后提供有偿的维修和保养服务，并明示各项服务的收费标准。 ②响应时间与技术支持：在质保期内，要求售后服务响应时间不超过24小时，并在48小时内派遣专业工程师到场维修或提供远程技术支持。提供不定期的技术巡检和维护服务，确保设备长期处于最佳运行状态。 ③软件更新与技术升级： 在质保期内提供固件和软件更新，确保系统功能的持续优化，所产生的费用由供应商承担。若设备在使用期间有技术升级，可优惠提供相应升级组件及服务，并确保系统的兼容性。 ④ 备件和耗材供应：确保售后期间提供10年以上的零部件供应支持。建立耗材快速供应通道，以便设备在日常实验和教学中不因耗材短缺而受到影响。 ⑤培训与操作指导： 在设备交付后提供至少2次现场操作培训，并根据实际需要提供深度技术讲解，确保相关科研人员及教学人员充分掌握设备使用方法。提供详尽的设备操作手册和视频培训资料，便于后续培训和知识传递。 ⑥定期回访与客户反馈：定期进行使用情况回访，每年最少进行一次全面的设备检查，并记录用户反馈，提升设备使用体验。根据反馈情况改进服务和技术支持，帮助用户更好地开展研究和教学。 3.售后服务效率要求：即时响应（包括电话响应）；电话响应无法解决时， 48 小时内到达现场。修复时间 12 小时内；如 12 小时内无法修复，应提供相应解决方案。 4.支付方式：合同生效后，乙方开具合同金额等额银行保函，甲方收到银行保函正本后，预付合同货款，待货物到达指定地点、安装调试验收合格后，甲方退还银行保函正本。</w:t>
            </w:r>
          </w:p>
        </w:tc>
        <w:tc>
          <w:tcPr>
            <w:tcW w:type="dxa" w:w="1661"/>
          </w:tcPr>
          <w:p>
            <w:pPr>
              <w:pStyle w:val="null3"/>
            </w:pPr>
            <w:r>
              <w:rPr/>
              <w:t>主要商务条款响应偏离表（仅适用于包2）</w:t>
            </w:r>
          </w:p>
        </w:tc>
      </w:tr>
      <w:tr>
        <w:tc>
          <w:tcPr>
            <w:tcW w:type="dxa" w:w="831"/>
          </w:tcPr>
          <w:p>
            <w:pPr>
              <w:pStyle w:val="null3"/>
            </w:pPr>
            <w:r>
              <w:rPr/>
              <w:t>8</w:t>
            </w:r>
          </w:p>
        </w:tc>
        <w:tc>
          <w:tcPr>
            <w:tcW w:type="dxa" w:w="2492"/>
          </w:tcPr>
          <w:p>
            <w:pPr>
              <w:pStyle w:val="null3"/>
            </w:pPr>
            <w:r>
              <w:rPr/>
              <w:t>投标内容</w:t>
            </w:r>
          </w:p>
        </w:tc>
        <w:tc>
          <w:tcPr>
            <w:tcW w:type="dxa" w:w="3322"/>
          </w:tcPr>
          <w:p>
            <w:pPr>
              <w:pStyle w:val="null3"/>
            </w:pPr>
            <w:r>
              <w:rPr/>
              <w:t>投标产品品目、数量、技术参数符合谈判文件要求。 注：①技术参数以《投标产品技术指标偏离表》中响应为准。②本项目投标产品按套计算。</w:t>
            </w:r>
          </w:p>
        </w:tc>
        <w:tc>
          <w:tcPr>
            <w:tcW w:type="dxa" w:w="1661"/>
          </w:tcPr>
          <w:p>
            <w:pPr>
              <w:pStyle w:val="null3"/>
            </w:pPr>
            <w:r>
              <w:rPr/>
              <w:t>投标产品技术参数明细表 标的清单 投标产品技术指标偏离表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详见附件：财务状况证明</w:t>
      </w:r>
    </w:p>
    <w:p>
      <w:pPr>
        <w:pStyle w:val="null3"/>
        <w:ind w:firstLine="960"/>
      </w:pPr>
      <w:r>
        <w:rPr/>
        <w:t>详见附件：法定代表人授权委托书</w:t>
      </w:r>
    </w:p>
    <w:p>
      <w:pPr>
        <w:pStyle w:val="null3"/>
        <w:ind w:firstLine="960"/>
      </w:pPr>
      <w:r>
        <w:rPr/>
        <w:t>详见附件：法定代表人证明书</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详见附件：投标产品技术参数明细表</w:t>
      </w:r>
    </w:p>
    <w:p>
      <w:pPr>
        <w:pStyle w:val="null3"/>
        <w:ind w:firstLine="960"/>
      </w:pPr>
      <w:r>
        <w:rPr/>
        <w:t>详见附件：投标产品技术指标偏离表</w:t>
      </w:r>
    </w:p>
    <w:p>
      <w:pPr>
        <w:pStyle w:val="null3"/>
        <w:ind w:firstLine="960"/>
      </w:pPr>
      <w:r>
        <w:rPr/>
        <w:t>详见附件：主要商务条款响应偏离表（仅适用于包1）</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详见附件：财务状况证明</w:t>
      </w:r>
    </w:p>
    <w:p>
      <w:pPr>
        <w:pStyle w:val="null3"/>
        <w:ind w:firstLine="960"/>
      </w:pPr>
      <w:r>
        <w:rPr/>
        <w:t>详见附件：法定代表人授权委托书</w:t>
      </w:r>
    </w:p>
    <w:p>
      <w:pPr>
        <w:pStyle w:val="null3"/>
        <w:ind w:firstLine="960"/>
      </w:pPr>
      <w:r>
        <w:rPr/>
        <w:t>详见附件：法定代表人证明书</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详见附件：投标产品技术参数明细表</w:t>
      </w:r>
    </w:p>
    <w:p>
      <w:pPr>
        <w:pStyle w:val="null3"/>
        <w:ind w:firstLine="960"/>
      </w:pPr>
      <w:r>
        <w:rPr/>
        <w:t>详见附件：投标产品技术指标偏离表</w:t>
      </w:r>
    </w:p>
    <w:p>
      <w:pPr>
        <w:pStyle w:val="null3"/>
        <w:ind w:firstLine="960"/>
      </w:pPr>
      <w:r>
        <w:rPr/>
        <w:t>详见附件：主要商务条款响应偏离表（仅适用于包2）</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