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文化遗产本体感知与虚实融合活化传承平台采购项目</w:t>
      </w:r>
    </w:p>
    <w:p>
      <w:pPr>
        <w:pStyle w:val="null3"/>
        <w:jc w:val="center"/>
        <w:outlineLvl w:val="2"/>
      </w:pPr>
      <w:r>
        <w:rPr>
          <w:sz w:val="28"/>
          <w:b/>
        </w:rPr>
        <w:t>采购项目编号：</w:t>
      </w:r>
      <w:r>
        <w:rPr>
          <w:sz w:val="28"/>
          <w:b/>
        </w:rPr>
        <w:t>ZX2024-11-76</w:t>
      </w:r>
      <w:r>
        <w:br/>
      </w:r>
      <w:r>
        <w:br/>
      </w:r>
      <w:r>
        <w:br/>
      </w:r>
    </w:p>
    <w:p>
      <w:pPr>
        <w:pStyle w:val="null3"/>
        <w:jc w:val="center"/>
        <w:outlineLvl w:val="2"/>
      </w:pPr>
      <w:r>
        <w:rPr>
          <w:sz w:val="28"/>
          <w:b/>
        </w:rPr>
        <w:t>西北大学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2024年12月07日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西北大学</w:t>
      </w:r>
      <w:r>
        <w:rPr/>
        <w:t>委托，拟对</w:t>
      </w:r>
      <w:r>
        <w:rPr/>
        <w:t>文化遗产本体感知与虚实融合活化传承平台采购项目</w:t>
      </w:r>
      <w:r>
        <w:rPr/>
        <w:t>进行国内公开招标，兹邀请符合本次招标要求的供应商参加投标。</w:t>
      </w:r>
    </w:p>
    <w:p>
      <w:pPr>
        <w:pStyle w:val="null3"/>
        <w:outlineLvl w:val="2"/>
      </w:pPr>
      <w:r>
        <w:rPr>
          <w:sz w:val="28"/>
          <w:b/>
        </w:rPr>
        <w:t>一、采购项目编号：</w:t>
      </w:r>
      <w:r>
        <w:rPr>
          <w:sz w:val="28"/>
          <w:b/>
        </w:rPr>
        <w:t>ZX2024-11-76</w:t>
      </w:r>
    </w:p>
    <w:p>
      <w:pPr>
        <w:pStyle w:val="null3"/>
        <w:outlineLvl w:val="2"/>
      </w:pPr>
      <w:r>
        <w:rPr>
          <w:sz w:val="28"/>
          <w:b/>
        </w:rPr>
        <w:t>二、采购项目名称：</w:t>
      </w:r>
      <w:r>
        <w:rPr>
          <w:sz w:val="28"/>
          <w:b/>
        </w:rPr>
        <w:t>文化遗产本体感知与虚实融合活化传承平台采购项目</w:t>
      </w:r>
    </w:p>
    <w:p>
      <w:pPr>
        <w:pStyle w:val="null3"/>
        <w:outlineLvl w:val="2"/>
      </w:pPr>
      <w:r>
        <w:rPr>
          <w:sz w:val="28"/>
          <w:b/>
        </w:rPr>
        <w:t>三、招标项目简介</w:t>
      </w:r>
    </w:p>
    <w:p>
      <w:pPr>
        <w:pStyle w:val="null3"/>
        <w:ind w:firstLine="480"/>
      </w:pPr>
      <w:r>
        <w:rPr/>
        <w:t>文化遗产本体感知与虚实融合活化传承平台采购项目,1套，具体详见招标文件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1、法定代表人授权委托书：法定代表人参加投标的，须提供法定代表人身份证；法定代表人授权本单位他人参加投标的，须提供法定代表人授权委托书。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029-88303475</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陈晶晶 马演 蔡丹 王琦</w:t>
      </w:r>
    </w:p>
    <w:p>
      <w:pPr>
        <w:pStyle w:val="null3"/>
      </w:pPr>
      <w:r>
        <w:rPr/>
        <w:t xml:space="preserve"> 联系电话： </w:t>
      </w:r>
      <w:r>
        <w:rPr/>
        <w:t>029-88411508转8030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采购包1：3,109,800.00元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采购包1保证金金额：61,176.00元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凭中标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西北大学采购与招标办公室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20%收取，由中标人支付代理服务费。2、收款单位：陕西正信招标有限公司；开户银行：中国银行股份有限公司西安四府街支行； 银行账号：102460065607。3、转账时需备注：241176服务费。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w:t>
      </w:r>
      <w:r>
        <w:rPr/>
        <w:t>和</w:t>
      </w:r>
      <w:r>
        <w:rPr/>
        <w:t>陕西正信招标有限公司</w:t>
      </w:r>
      <w:r>
        <w:rPr/>
        <w:t>享有。对招标文件中供应商参加本次政府采购活动应当具备的条件，招标项目技术、服务、商务及其他要求，评标细则及标准由</w:t>
      </w:r>
      <w:r>
        <w:rPr/>
        <w:t>西北大学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联系人：马演 陈晶晶</w:t>
      </w:r>
    </w:p>
    <w:p>
      <w:pPr>
        <w:pStyle w:val="null3"/>
      </w:pPr>
      <w:r>
        <w:rPr/>
        <w:t>联系电话：029-88411508-8030（2237707407@qq.com）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文化遗产本体感知与虚实融合活化传承平台采购，1套，具体详见招标文件</w:t>
      </w:r>
    </w:p>
    <w:p>
      <w:pPr>
        <w:pStyle w:val="null3"/>
        <w:outlineLvl w:val="2"/>
      </w:pPr>
      <w:r>
        <w:rPr>
          <w:sz w:val="28"/>
          <w:b/>
        </w:rPr>
        <w:t>3.2采购内容</w:t>
      </w:r>
    </w:p>
    <w:p>
      <w:pPr>
        <w:pStyle w:val="null3"/>
      </w:pPr>
      <w:r>
        <w:rPr/>
        <w:t>采购包1：</w:t>
      </w:r>
    </w:p>
    <w:p>
      <w:pPr>
        <w:pStyle w:val="null3"/>
      </w:pPr>
      <w:r>
        <w:rPr/>
        <w:t>采购包预算金额（元）: 3,109,800.00</w:t>
      </w:r>
    </w:p>
    <w:p>
      <w:pPr>
        <w:pStyle w:val="null3"/>
      </w:pPr>
      <w:r>
        <w:rPr/>
        <w:t>采购包最高限价（元）: 3,109,800.00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文化遗产本体感知与虚实融合活化传承平台</w:t>
            </w:r>
          </w:p>
        </w:tc>
        <w:tc>
          <w:tcPr>
            <w:tcW w:type="dxa" w:w="831"/>
          </w:tcPr>
          <w:p>
            <w:pPr>
              <w:pStyle w:val="null3"/>
              <w:jc w:val="right"/>
            </w:pPr>
            <w:r>
              <w:rPr/>
              <w:t>1.00</w:t>
            </w:r>
          </w:p>
        </w:tc>
        <w:tc>
          <w:tcPr>
            <w:tcW w:type="dxa" w:w="831"/>
          </w:tcPr>
          <w:p>
            <w:pPr>
              <w:pStyle w:val="null3"/>
              <w:jc w:val="right"/>
            </w:pPr>
            <w:r>
              <w:rPr/>
              <w:t>3,109,800.00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标的名称：文化遗产本体感知与虚实融合活化传承平台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货物名称</w:t>
                  </w:r>
                </w:p>
              </w:tc>
              <w:tc>
                <w:tcPr>
                  <w:tcW w:type="dxa" w:w="511"/>
                </w:tcPr>
                <w:p>
                  <w:pPr>
                    <w:pStyle w:val="null3"/>
                  </w:pPr>
                  <w:r>
                    <w:rPr/>
                    <w:t>数量</w:t>
                  </w:r>
                </w:p>
              </w:tc>
              <w:tc>
                <w:tcPr>
                  <w:tcW w:type="dxa" w:w="511"/>
                </w:tcPr>
                <w:p>
                  <w:pPr>
                    <w:pStyle w:val="null3"/>
                  </w:pPr>
                  <w:r>
                    <w:rPr/>
                    <w:t>单位</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近红外高光谱成像系统</w:t>
                  </w:r>
                </w:p>
              </w:tc>
              <w:tc>
                <w:tcPr>
                  <w:tcW w:type="dxa" w:w="511"/>
                </w:tcPr>
                <w:p>
                  <w:pPr>
                    <w:pStyle w:val="null3"/>
                  </w:pPr>
                  <w:r>
                    <w:rPr/>
                    <w:t>1</w:t>
                  </w:r>
                </w:p>
              </w:tc>
              <w:tc>
                <w:tcPr>
                  <w:tcW w:type="dxa" w:w="511"/>
                </w:tcPr>
                <w:p>
                  <w:pPr>
                    <w:pStyle w:val="null3"/>
                  </w:pPr>
                  <w:r>
                    <w:rPr/>
                    <w:t>台</w:t>
                  </w:r>
                </w:p>
              </w:tc>
              <w:tc>
                <w:tcPr>
                  <w:tcW w:type="dxa" w:w="511"/>
                </w:tcPr>
                <w:p>
                  <w:pPr>
                    <w:pStyle w:val="null3"/>
                  </w:pPr>
                  <w:r>
                    <w:rPr/>
                    <w:t xml:space="preserve"> </w:t>
                  </w:r>
                </w:p>
              </w:tc>
            </w:tr>
            <w:tr>
              <w:tc>
                <w:tcPr>
                  <w:tcW w:type="dxa" w:w="511"/>
                </w:tcPr>
                <w:p>
                  <w:pPr>
                    <w:pStyle w:val="null3"/>
                  </w:pPr>
                  <w:r>
                    <w:rPr/>
                    <w:t>2</w:t>
                  </w:r>
                </w:p>
              </w:tc>
              <w:tc>
                <w:tcPr>
                  <w:tcW w:type="dxa" w:w="511"/>
                </w:tcPr>
                <w:p>
                  <w:pPr>
                    <w:pStyle w:val="null3"/>
                  </w:pPr>
                  <w:r>
                    <w:rPr/>
                    <w:t>动作捕捉系统</w:t>
                  </w:r>
                </w:p>
              </w:tc>
              <w:tc>
                <w:tcPr>
                  <w:tcW w:type="dxa" w:w="511"/>
                </w:tcPr>
                <w:p>
                  <w:pPr>
                    <w:pStyle w:val="null3"/>
                  </w:pPr>
                  <w:r>
                    <w:rPr/>
                    <w:t>1</w:t>
                  </w:r>
                </w:p>
              </w:tc>
              <w:tc>
                <w:tcPr>
                  <w:tcW w:type="dxa" w:w="511"/>
                </w:tcPr>
                <w:p>
                  <w:pPr>
                    <w:pStyle w:val="null3"/>
                  </w:pPr>
                  <w:r>
                    <w:rPr/>
                    <w:t>台</w:t>
                  </w:r>
                </w:p>
              </w:tc>
              <w:tc>
                <w:tcPr>
                  <w:tcW w:type="dxa" w:w="511"/>
                </w:tcPr>
                <w:p>
                  <w:pPr>
                    <w:pStyle w:val="null3"/>
                  </w:pPr>
                  <w:r>
                    <w:rPr/>
                    <w:t xml:space="preserve"> </w:t>
                  </w:r>
                </w:p>
              </w:tc>
            </w:tr>
            <w:tr>
              <w:tc>
                <w:tcPr>
                  <w:tcW w:type="dxa" w:w="511"/>
                </w:tcPr>
                <w:p>
                  <w:pPr>
                    <w:pStyle w:val="null3"/>
                  </w:pPr>
                  <w:r>
                    <w:rPr/>
                    <w:t>3</w:t>
                  </w:r>
                </w:p>
              </w:tc>
              <w:tc>
                <w:tcPr>
                  <w:tcW w:type="dxa" w:w="511"/>
                </w:tcPr>
                <w:p>
                  <w:pPr>
                    <w:pStyle w:val="null3"/>
                  </w:pPr>
                  <w:r>
                    <w:rPr/>
                    <w:t>增强现实眼镜</w:t>
                  </w:r>
                </w:p>
              </w:tc>
              <w:tc>
                <w:tcPr>
                  <w:tcW w:type="dxa" w:w="511"/>
                </w:tcPr>
                <w:p>
                  <w:pPr>
                    <w:pStyle w:val="null3"/>
                  </w:pPr>
                  <w:r>
                    <w:rPr/>
                    <w:t>1</w:t>
                  </w:r>
                </w:p>
              </w:tc>
              <w:tc>
                <w:tcPr>
                  <w:tcW w:type="dxa" w:w="511"/>
                </w:tcPr>
                <w:p>
                  <w:pPr>
                    <w:pStyle w:val="null3"/>
                  </w:pPr>
                  <w:r>
                    <w:rPr/>
                    <w:t>台</w:t>
                  </w:r>
                </w:p>
              </w:tc>
              <w:tc>
                <w:tcPr>
                  <w:tcW w:type="dxa" w:w="511"/>
                </w:tcPr>
                <w:p>
                  <w:pPr>
                    <w:pStyle w:val="null3"/>
                  </w:pPr>
                  <w:r>
                    <w:rPr/>
                    <w:t xml:space="preserve"> </w:t>
                  </w:r>
                </w:p>
              </w:tc>
            </w:tr>
            <w:tr>
              <w:tc>
                <w:tcPr>
                  <w:tcW w:type="dxa" w:w="511"/>
                </w:tcPr>
                <w:p>
                  <w:pPr>
                    <w:pStyle w:val="null3"/>
                  </w:pPr>
                  <w:r>
                    <w:rPr/>
                    <w:t>4</w:t>
                  </w:r>
                </w:p>
              </w:tc>
              <w:tc>
                <w:tcPr>
                  <w:tcW w:type="dxa" w:w="511"/>
                </w:tcPr>
                <w:p>
                  <w:pPr>
                    <w:pStyle w:val="null3"/>
                  </w:pPr>
                  <w:r>
                    <w:rPr/>
                    <w:t>3D扫描仪与大遗址观测</w:t>
                  </w:r>
                </w:p>
              </w:tc>
              <w:tc>
                <w:tcPr>
                  <w:tcW w:type="dxa" w:w="511"/>
                </w:tcPr>
                <w:p>
                  <w:pPr>
                    <w:pStyle w:val="null3"/>
                  </w:pPr>
                  <w:r>
                    <w:rPr/>
                    <w:t>1</w:t>
                  </w:r>
                </w:p>
              </w:tc>
              <w:tc>
                <w:tcPr>
                  <w:tcW w:type="dxa" w:w="511"/>
                </w:tcPr>
                <w:p>
                  <w:pPr>
                    <w:pStyle w:val="null3"/>
                  </w:pPr>
                  <w:r>
                    <w:rPr/>
                    <w:t>台</w:t>
                  </w:r>
                </w:p>
              </w:tc>
              <w:tc>
                <w:tcPr>
                  <w:tcW w:type="dxa" w:w="511"/>
                </w:tcPr>
                <w:p>
                  <w:pPr>
                    <w:pStyle w:val="null3"/>
                  </w:pPr>
                  <w:r>
                    <w:rPr/>
                    <w:t xml:space="preserve"> </w:t>
                  </w:r>
                </w:p>
              </w:tc>
            </w:tr>
            <w:tr>
              <w:tc>
                <w:tcPr>
                  <w:tcW w:type="dxa" w:w="511"/>
                </w:tcPr>
                <w:p>
                  <w:pPr>
                    <w:pStyle w:val="null3"/>
                  </w:pPr>
                  <w:r>
                    <w:rPr/>
                    <w:t>5</w:t>
                  </w:r>
                </w:p>
              </w:tc>
              <w:tc>
                <w:tcPr>
                  <w:tcW w:type="dxa" w:w="511"/>
                </w:tcPr>
                <w:p>
                  <w:pPr>
                    <w:pStyle w:val="null3"/>
                  </w:pPr>
                  <w:r>
                    <w:rPr/>
                    <w:t>训练计算节点</w:t>
                  </w:r>
                </w:p>
              </w:tc>
              <w:tc>
                <w:tcPr>
                  <w:tcW w:type="dxa" w:w="511"/>
                </w:tcPr>
                <w:p>
                  <w:pPr>
                    <w:pStyle w:val="null3"/>
                  </w:pPr>
                  <w:r>
                    <w:rPr/>
                    <w:t>1</w:t>
                  </w:r>
                </w:p>
              </w:tc>
              <w:tc>
                <w:tcPr>
                  <w:tcW w:type="dxa" w:w="511"/>
                </w:tcPr>
                <w:p>
                  <w:pPr>
                    <w:pStyle w:val="null3"/>
                  </w:pPr>
                  <w:r>
                    <w:rPr/>
                    <w:t>台</w:t>
                  </w:r>
                </w:p>
              </w:tc>
              <w:tc>
                <w:tcPr>
                  <w:tcW w:type="dxa" w:w="511"/>
                </w:tcPr>
                <w:p>
                  <w:pPr>
                    <w:pStyle w:val="null3"/>
                  </w:pPr>
                  <w:r>
                    <w:rPr/>
                    <w:t>核心产品</w:t>
                  </w:r>
                </w:p>
              </w:tc>
            </w:tr>
            <w:tr>
              <w:tc>
                <w:tcPr>
                  <w:tcW w:type="dxa" w:w="511"/>
                </w:tcPr>
                <w:p>
                  <w:pPr>
                    <w:pStyle w:val="null3"/>
                  </w:pPr>
                  <w:r>
                    <w:rPr/>
                    <w:t>6</w:t>
                  </w:r>
                </w:p>
              </w:tc>
              <w:tc>
                <w:tcPr>
                  <w:tcW w:type="dxa" w:w="511"/>
                </w:tcPr>
                <w:p>
                  <w:pPr>
                    <w:pStyle w:val="null3"/>
                  </w:pPr>
                  <w:r>
                    <w:rPr/>
                    <w:t>训推一体节点</w:t>
                  </w:r>
                </w:p>
              </w:tc>
              <w:tc>
                <w:tcPr>
                  <w:tcW w:type="dxa" w:w="511"/>
                </w:tcPr>
                <w:p>
                  <w:pPr>
                    <w:pStyle w:val="null3"/>
                  </w:pPr>
                  <w:r>
                    <w:rPr/>
                    <w:t>2</w:t>
                  </w:r>
                </w:p>
              </w:tc>
              <w:tc>
                <w:tcPr>
                  <w:tcW w:type="dxa" w:w="511"/>
                </w:tcPr>
                <w:p>
                  <w:pPr>
                    <w:pStyle w:val="null3"/>
                  </w:pPr>
                  <w:r>
                    <w:rPr/>
                    <w:t>台</w:t>
                  </w:r>
                </w:p>
              </w:tc>
              <w:tc>
                <w:tcPr>
                  <w:tcW w:type="dxa" w:w="511"/>
                </w:tcPr>
                <w:p>
                  <w:pPr>
                    <w:pStyle w:val="null3"/>
                  </w:pPr>
                  <w:r>
                    <w:rPr/>
                    <w:t xml:space="preserve"> </w:t>
                  </w:r>
                </w:p>
              </w:tc>
            </w:tr>
          </w:tbl>
          <w:p>
            <w:pPr>
              <w:pStyle w:val="null3"/>
            </w:pPr>
            <w:r>
              <w:rPr/>
              <w:t xml:space="preserve"> </w:t>
            </w:r>
          </w:p>
          <w:p>
            <w:pPr>
              <w:pStyle w:val="null3"/>
            </w:pPr>
            <w:r>
              <w:rPr/>
              <w:t>二、技术参数</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序号</w:t>
                  </w:r>
                </w:p>
              </w:tc>
              <w:tc>
                <w:tcPr>
                  <w:tcW w:type="dxa" w:w="851"/>
                </w:tcPr>
                <w:p>
                  <w:pPr>
                    <w:pStyle w:val="null3"/>
                  </w:pPr>
                  <w:r>
                    <w:rPr/>
                    <w:t>货物名称</w:t>
                  </w:r>
                </w:p>
              </w:tc>
              <w:tc>
                <w:tcPr>
                  <w:tcW w:type="dxa" w:w="851"/>
                </w:tcPr>
                <w:p>
                  <w:pPr>
                    <w:pStyle w:val="null3"/>
                  </w:pPr>
                  <w:r>
                    <w:rPr/>
                    <w:t>技术参数</w:t>
                  </w:r>
                </w:p>
              </w:tc>
            </w:tr>
            <w:tr>
              <w:tc>
                <w:tcPr>
                  <w:tcW w:type="dxa" w:w="851"/>
                </w:tcPr>
                <w:p>
                  <w:pPr>
                    <w:pStyle w:val="null3"/>
                  </w:pPr>
                  <w:r>
                    <w:rPr/>
                    <w:t>1</w:t>
                  </w:r>
                </w:p>
              </w:tc>
              <w:tc>
                <w:tcPr>
                  <w:tcW w:type="dxa" w:w="851"/>
                </w:tcPr>
                <w:p>
                  <w:pPr>
                    <w:pStyle w:val="null3"/>
                  </w:pPr>
                  <w:r>
                    <w:rPr/>
                    <w:t>近红外高光谱成像系统</w:t>
                  </w:r>
                </w:p>
              </w:tc>
              <w:tc>
                <w:tcPr>
                  <w:tcW w:type="dxa" w:w="851"/>
                </w:tcPr>
                <w:p>
                  <w:pPr>
                    <w:pStyle w:val="null3"/>
                  </w:pPr>
                  <w:r>
                    <w:rPr/>
                    <w:t>1.▲光谱范围≥900-1700nm, 光谱分辨率≤5nm;</w:t>
                  </w:r>
                </w:p>
                <w:p>
                  <w:pPr>
                    <w:pStyle w:val="null3"/>
                  </w:pPr>
                  <w:r>
                    <w:rPr/>
                    <w:t>2.▲配置25mm焦距镜头，视场角≥20.5°；</w:t>
                  </w:r>
                </w:p>
                <w:p>
                  <w:pPr>
                    <w:pStyle w:val="null3"/>
                  </w:pPr>
                  <w:r>
                    <w:rPr/>
                    <w:t>3.▲单幅图像分辨率≥640x660,单幅成像时间≤8s;</w:t>
                  </w:r>
                </w:p>
                <w:p>
                  <w:pPr>
                    <w:pStyle w:val="null3"/>
                  </w:pPr>
                  <w:r>
                    <w:rPr/>
                    <w:t>4.具有辅助取景窗口，有自动曝光、自动速度匹配功能，具有数据快速预览功能，具有黑白校正、区域校正、镜头校准等功能；</w:t>
                  </w:r>
                </w:p>
                <w:p>
                  <w:pPr>
                    <w:pStyle w:val="null3"/>
                  </w:pPr>
                  <w:r>
                    <w:rPr/>
                    <w:t>5.配置专业文物扫描架，高度≥1.5米，长度≥1.2米；</w:t>
                  </w:r>
                </w:p>
                <w:p>
                  <w:pPr>
                    <w:pStyle w:val="null3"/>
                  </w:pPr>
                  <w:r>
                    <w:rPr/>
                    <w:t>6.内置存储：≥512G SSD存储；</w:t>
                  </w:r>
                </w:p>
                <w:p>
                  <w:pPr>
                    <w:pStyle w:val="null3"/>
                  </w:pPr>
                  <w:r>
                    <w:rPr/>
                    <w:t>7.多种操作模式：触摸显示屏、无线控制、外界大尺寸显示屏操作；</w:t>
                  </w:r>
                </w:p>
                <w:p>
                  <w:pPr>
                    <w:pStyle w:val="null3"/>
                  </w:pPr>
                  <w:r>
                    <w:rPr/>
                    <w:t>8.具备自动电控调焦功能；</w:t>
                  </w:r>
                </w:p>
                <w:p>
                  <w:pPr>
                    <w:pStyle w:val="null3"/>
                  </w:pPr>
                  <w:r>
                    <w:rPr/>
                    <w:t>9.配置高清RGB相机辅助摄像头，高光谱成像仪数据采集时可实时显示被测区域；</w:t>
                  </w:r>
                </w:p>
                <w:p>
                  <w:pPr>
                    <w:pStyle w:val="null3"/>
                  </w:pPr>
                  <w:r>
                    <w:rPr/>
                    <w:t>10.单组电池可连续采集超过3小时。</w:t>
                  </w:r>
                </w:p>
              </w:tc>
            </w:tr>
            <w:tr>
              <w:tc>
                <w:tcPr>
                  <w:tcW w:type="dxa" w:w="851"/>
                </w:tcPr>
                <w:p>
                  <w:pPr>
                    <w:pStyle w:val="null3"/>
                  </w:pPr>
                  <w:r>
                    <w:rPr/>
                    <w:t>2</w:t>
                  </w:r>
                </w:p>
              </w:tc>
              <w:tc>
                <w:tcPr>
                  <w:tcW w:type="dxa" w:w="851"/>
                </w:tcPr>
                <w:p>
                  <w:pPr>
                    <w:pStyle w:val="null3"/>
                  </w:pPr>
                  <w:r>
                    <w:rPr/>
                    <w:t>动作捕捉系统</w:t>
                  </w:r>
                </w:p>
              </w:tc>
              <w:tc>
                <w:tcPr>
                  <w:tcW w:type="dxa" w:w="851"/>
                </w:tcPr>
                <w:p>
                  <w:pPr>
                    <w:pStyle w:val="null3"/>
                  </w:pPr>
                  <w:r>
                    <w:rPr/>
                    <w:t>1.静态姿态精度： Rol/Pitch 0.7°,Yaw 2.0°；</w:t>
                  </w:r>
                </w:p>
                <w:p>
                  <w:pPr>
                    <w:pStyle w:val="null3"/>
                  </w:pPr>
                  <w:r>
                    <w:rPr/>
                    <w:t>2.数据输出帧率：  24-240Hz；</w:t>
                  </w:r>
                </w:p>
                <w:p>
                  <w:pPr>
                    <w:pStyle w:val="null3"/>
                  </w:pPr>
                  <w:r>
                    <w:rPr/>
                    <w:t>3.传感器：全身×17个备用×1个</w:t>
                  </w:r>
                </w:p>
                <w:p>
                  <w:pPr>
                    <w:pStyle w:val="null3"/>
                  </w:pPr>
                  <w:r>
                    <w:rPr/>
                    <w:t>4.▲兼容性：支持主流VR/AR开发平台。</w:t>
                  </w:r>
                </w:p>
              </w:tc>
            </w:tr>
            <w:tr>
              <w:tc>
                <w:tcPr>
                  <w:tcW w:type="dxa" w:w="851"/>
                </w:tcPr>
                <w:p>
                  <w:pPr>
                    <w:pStyle w:val="null3"/>
                  </w:pPr>
                  <w:r>
                    <w:rPr/>
                    <w:t>3</w:t>
                  </w:r>
                </w:p>
              </w:tc>
              <w:tc>
                <w:tcPr>
                  <w:tcW w:type="dxa" w:w="851"/>
                </w:tcPr>
                <w:p>
                  <w:pPr>
                    <w:pStyle w:val="null3"/>
                  </w:pPr>
                  <w:r>
                    <w:rPr/>
                    <w:t>增强现实眼镜</w:t>
                  </w:r>
                </w:p>
              </w:tc>
              <w:tc>
                <w:tcPr>
                  <w:tcW w:type="dxa" w:w="851"/>
                </w:tcPr>
                <w:p>
                  <w:pPr>
                    <w:pStyle w:val="null3"/>
                  </w:pPr>
                  <w:r>
                    <w:rPr/>
                    <w:t>1.▲处理器：不低于Amlogic 905D3处理器、2GB内存；</w:t>
                  </w:r>
                </w:p>
                <w:p>
                  <w:pPr>
                    <w:pStyle w:val="null3"/>
                  </w:pPr>
                  <w:r>
                    <w:rPr/>
                    <w:t>2.重量：≤100g；</w:t>
                  </w:r>
                </w:p>
                <w:p>
                  <w:pPr>
                    <w:pStyle w:val="null3"/>
                  </w:pPr>
                  <w:r>
                    <w:rPr/>
                    <w:t>3.双眼分辨率：≥1920*1080；</w:t>
                  </w:r>
                </w:p>
                <w:p>
                  <w:pPr>
                    <w:pStyle w:val="null3"/>
                  </w:pPr>
                  <w:r>
                    <w:rPr/>
                    <w:t>4.成像系统：自动对焦，像素≥800万、录像≥1080P；</w:t>
                  </w:r>
                </w:p>
                <w:p>
                  <w:pPr>
                    <w:pStyle w:val="null3"/>
                  </w:pPr>
                  <w:r>
                    <w:rPr/>
                    <w:t>5.▲传感器：增强型9轴IMU传感器；</w:t>
                  </w:r>
                </w:p>
                <w:p>
                  <w:pPr>
                    <w:pStyle w:val="null3"/>
                  </w:pPr>
                  <w:r>
                    <w:rPr/>
                    <w:t>6.需要能够获得访问设备采集数据的接口。</w:t>
                  </w:r>
                </w:p>
              </w:tc>
            </w:tr>
            <w:tr>
              <w:tc>
                <w:tcPr>
                  <w:tcW w:type="dxa" w:w="851"/>
                </w:tcPr>
                <w:p>
                  <w:pPr>
                    <w:pStyle w:val="null3"/>
                  </w:pPr>
                  <w:r>
                    <w:rPr/>
                    <w:t>4</w:t>
                  </w:r>
                </w:p>
              </w:tc>
              <w:tc>
                <w:tcPr>
                  <w:tcW w:type="dxa" w:w="851"/>
                </w:tcPr>
                <w:p>
                  <w:pPr>
                    <w:pStyle w:val="null3"/>
                  </w:pPr>
                  <w:r>
                    <w:rPr/>
                    <w:t>3D扫描仪与大遗址观测</w:t>
                  </w:r>
                </w:p>
              </w:tc>
              <w:tc>
                <w:tcPr>
                  <w:tcW w:type="dxa" w:w="851"/>
                </w:tcPr>
                <w:p>
                  <w:pPr>
                    <w:pStyle w:val="null3"/>
                  </w:pPr>
                  <w:r>
                    <w:rPr/>
                    <w:t>1.多模式扫描方式：手持精细和快速扫描，固定式全自动和自由扫描；</w:t>
                  </w:r>
                </w:p>
                <w:p>
                  <w:pPr>
                    <w:pStyle w:val="null3"/>
                  </w:pPr>
                  <w:r>
                    <w:rPr/>
                    <w:t>2.手持精细扫描：0.045mm，手持快速扫描模式：±0.1mm，各方向误差≤0.3mm/m；</w:t>
                  </w:r>
                </w:p>
                <w:p>
                  <w:pPr>
                    <w:pStyle w:val="null3"/>
                  </w:pPr>
                  <w:r>
                    <w:rPr/>
                    <w:t>3.▲固定扫描模式：单幅扫描精度≤0.02mm；</w:t>
                  </w:r>
                </w:p>
                <w:p>
                  <w:pPr>
                    <w:pStyle w:val="null3"/>
                  </w:pPr>
                  <w:r>
                    <w:rPr/>
                    <w:t>4.数据获取速度：手持精细扫描模式：≥10帧/秒；</w:t>
                  </w:r>
                </w:p>
                <w:p>
                  <w:pPr>
                    <w:pStyle w:val="null3"/>
                  </w:pPr>
                  <w:r>
                    <w:rPr/>
                    <w:t>5.近场扫描范围：209mm*160mm；</w:t>
                  </w:r>
                </w:p>
                <w:p>
                  <w:pPr>
                    <w:pStyle w:val="null3"/>
                  </w:pPr>
                  <w:r>
                    <w:rPr/>
                    <w:t>6.远场扫描范围：310mm*240mm；</w:t>
                  </w:r>
                </w:p>
                <w:p>
                  <w:pPr>
                    <w:pStyle w:val="null3"/>
                  </w:pPr>
                  <w:r>
                    <w:rPr/>
                    <w:t>7.景深：±100mm；</w:t>
                  </w:r>
                </w:p>
                <w:p>
                  <w:pPr>
                    <w:pStyle w:val="null3"/>
                  </w:pPr>
                  <w:r>
                    <w:rPr/>
                    <w:t>8.扫描头重量：≤1.2KG；</w:t>
                  </w:r>
                </w:p>
              </w:tc>
            </w:tr>
            <w:tr>
              <w:tc>
                <w:tcPr>
                  <w:tcW w:type="dxa" w:w="851"/>
                </w:tcPr>
                <w:p>
                  <w:pPr>
                    <w:pStyle w:val="null3"/>
                  </w:pPr>
                  <w:r>
                    <w:rPr/>
                    <w:t>5</w:t>
                  </w:r>
                </w:p>
              </w:tc>
              <w:tc>
                <w:tcPr>
                  <w:tcW w:type="dxa" w:w="851"/>
                </w:tcPr>
                <w:p>
                  <w:pPr>
                    <w:pStyle w:val="null3"/>
                  </w:pPr>
                  <w:r>
                    <w:rPr/>
                    <w:t>训练计算节点</w:t>
                  </w:r>
                </w:p>
              </w:tc>
              <w:tc>
                <w:tcPr>
                  <w:tcW w:type="dxa" w:w="851"/>
                </w:tcPr>
                <w:p>
                  <w:pPr>
                    <w:pStyle w:val="null3"/>
                  </w:pPr>
                  <w:r>
                    <w:rPr/>
                    <w:t>1.外形：标准≤6U机架式服务器；</w:t>
                  </w:r>
                </w:p>
                <w:p>
                  <w:pPr>
                    <w:pStyle w:val="null3"/>
                  </w:pPr>
                  <w:r>
                    <w:rPr/>
                    <w:t>2.★处理器：≥2颗Intel Xeon 8480+ CPU（56C，2.0GHz）；</w:t>
                  </w:r>
                </w:p>
                <w:p>
                  <w:pPr>
                    <w:pStyle w:val="null3"/>
                  </w:pPr>
                  <w:r>
                    <w:rPr/>
                    <w:t>3.内存：≥1536GB DDR5-4800MHz_ECC-RDIMM内存，板载内存插槽≥32个；</w:t>
                  </w:r>
                </w:p>
                <w:p>
                  <w:pPr>
                    <w:pStyle w:val="null3"/>
                  </w:pPr>
                  <w:r>
                    <w:rPr/>
                    <w:t>4.硬盘：≥2块480GB企业级SSD盘，≥4块；3.84TB企业级SSD盘，最多支持24块2.5英寸SSD硬盘，其中最大支持16块NVMe；</w:t>
                  </w:r>
                </w:p>
                <w:p>
                  <w:pPr>
                    <w:pStyle w:val="null3"/>
                  </w:pPr>
                  <w:r>
                    <w:rPr/>
                    <w:t>5.RAID：配置独立8通道2GB缓存高性能SAS RAID卡，支持RAID0/1/5等；</w:t>
                  </w:r>
                </w:p>
                <w:p>
                  <w:pPr>
                    <w:pStyle w:val="null3"/>
                  </w:pPr>
                  <w:r>
                    <w:rPr/>
                    <w:t>6.网络：≥2个万兆光口（含模块）, 2个千兆网口，1个独立管理千兆网口；</w:t>
                  </w:r>
                </w:p>
                <w:p>
                  <w:pPr>
                    <w:pStyle w:val="null3"/>
                  </w:pPr>
                  <w:r>
                    <w:rPr/>
                    <w:t>7.HCA：≥1块单口400G NDR高速网卡；</w:t>
                  </w:r>
                </w:p>
                <w:p>
                  <w:pPr>
                    <w:pStyle w:val="null3"/>
                  </w:pPr>
                  <w:r>
                    <w:rPr/>
                    <w:t>8.★GPU：≥8张GPU，总显存1128GB、互联带宽不低于900GB/s；由整机厂商提供GPU产品维保；</w:t>
                  </w:r>
                </w:p>
                <w:p>
                  <w:pPr>
                    <w:pStyle w:val="null3"/>
                  </w:pPr>
                  <w:r>
                    <w:rPr/>
                    <w:t>9.▲可靠性设计：支持BMC/BIOS flash（ROM）硬件冗余、升级失败后自动回退或切换至另一片Flash启动，并提供相关证明材料；</w:t>
                  </w:r>
                </w:p>
                <w:p>
                  <w:pPr>
                    <w:pStyle w:val="null3"/>
                  </w:pPr>
                  <w:r>
                    <w:rPr/>
                    <w:t>10.电源及其他：2块12V 3200W及6块54V 2700W钛金级 CRPS电源，支持N+N冗余，GPU区域配置6个54V N+1冗余热插拔风扇，CPU区域配置6个12V N+1冗余热插拔风扇；</w:t>
                  </w:r>
                </w:p>
                <w:p>
                  <w:pPr>
                    <w:pStyle w:val="null3"/>
                  </w:pPr>
                  <w:r>
                    <w:rPr/>
                    <w:t>11.提供大模型（已完成训练的）服务，大模型包括≥1000亿、≥500亿、≥20亿至少三款参数规模，在数理逻辑、代码生成、知识问答、中英文翻译、理解和生成等表现出色。</w:t>
                  </w:r>
                </w:p>
                <w:p>
                  <w:pPr>
                    <w:pStyle w:val="null3"/>
                  </w:pPr>
                  <w:r>
                    <w:rPr/>
                    <w:t>12.▲基于主流开源模型Llama2-7B（TP=8，序列长度=2048）的整机FP16训练实测算力效率与理论算力效率比例不低于70%，要求提供相关证明材料；</w:t>
                  </w:r>
                </w:p>
                <w:p>
                  <w:pPr>
                    <w:pStyle w:val="null3"/>
                  </w:pPr>
                  <w:r>
                    <w:rPr/>
                    <w:t>13.软件要求：需提供成熟的商用人工智能平台产品，产品内容包括但不限于数据管理；模型开发、训练、微调；推理服务接入、编排、部署和管理；异构计算集群调度、监控和管理等功能，支撑企业人工智能能力建设和运营的全过程；支持共享GPU调度，可动态调度任务到最优的节点和GPU上；支持Jupyter，JupyterLab，PyCharm，Terminal, VSCode 等多种交互式开发方式和调试；</w:t>
                  </w:r>
                </w:p>
                <w:p>
                  <w:pPr>
                    <w:pStyle w:val="null3"/>
                  </w:pPr>
                  <w:r>
                    <w:rPr/>
                    <w:t>14.▲授权：提供原厂软件著作版权证书，license满足节点使用；须提供软件的永久授权；</w:t>
                  </w:r>
                </w:p>
                <w:p>
                  <w:pPr>
                    <w:pStyle w:val="null3"/>
                  </w:pPr>
                  <w:r>
                    <w:rPr/>
                    <w:t>15.▲数据下载：平台应提供开源模型和数据集的下载能力，支持http(s)、ftp/sftp、git clone的下载方式。提供相关证明材料；</w:t>
                  </w:r>
                </w:p>
                <w:p>
                  <w:pPr>
                    <w:pStyle w:val="null3"/>
                  </w:pPr>
                  <w:r>
                    <w:rPr/>
                    <w:t>16.▲交互式开发：支持0.x张卡(GPU显存隔离/MIG)、单卡/多卡，单机/多机不同算力配置下的环境创建；支持开发环境的端口开放，可集成部署第三方\自定义业务服务；提供相关证明材料；</w:t>
                  </w:r>
                </w:p>
                <w:p>
                  <w:pPr>
                    <w:pStyle w:val="null3"/>
                  </w:pPr>
                  <w:r>
                    <w:rPr/>
                    <w:t>17.推理部署服务：支持模型部署、应用（镜像）部署、原生部署（yaml）、Helm部署等部署方式，支持服务上线过程中的离线测试、定时发布、流量调节、在线部署、多分桶测试、在线服务评估等全流程服务管理能力，支持服务部署后对外提供http/gRPC/tcp协议的请求。提供相关证明材料；</w:t>
                  </w:r>
                </w:p>
                <w:p>
                  <w:pPr>
                    <w:pStyle w:val="null3"/>
                  </w:pPr>
                  <w:r>
                    <w:rPr/>
                    <w:t>18.模型微调：支持用户对大语言模型进行微调，支持主流的SFT任务，可以选择Full、Freeze、LoRA三种微调方法，满足不同业务场景诉求。提供图形化界面，降低用户使用门槛；支持模型训练任务的新建、编辑、删除等操作。支持查看模型训练日志，方便用户了解训练过程和结果；支持用户选择内置数据和用户数据。平台应内置alpaca、llama、oaast、glaive、identity等数据集，方便用户直接选择训练；针对长时间多机多卡分布式训练场景的断点续训功能。在出现硬件故障或其他导致训练任务异常中断的情况下，具备在上一次训练状态的基础上继续训练的能力，避免从头开始训练；以上功能提供相关证明材料；</w:t>
                  </w:r>
                </w:p>
                <w:p>
                  <w:pPr>
                    <w:pStyle w:val="null3"/>
                  </w:pPr>
                  <w:r>
                    <w:rPr/>
                    <w:t>19.prompt管理：支持Prompt的创建、管理。支持查看prompt详细信息，包括：名称、标签、权限、内容；直接将Prompt共享给组内和公共使用。提供相关证明材料；</w:t>
                  </w:r>
                </w:p>
                <w:p>
                  <w:pPr>
                    <w:pStyle w:val="null3"/>
                  </w:pPr>
                  <w:r>
                    <w:rPr/>
                    <w:t>20.Chat应用：平台应内置chat应用，方便用户调用大模型进行交互。支持选择部署好的大模型推理服务进行chat交互。支持查看历史记录。支持设置chat应用参数，包括温度、终止字符、重复惩罚、最大token 数量、系统人设。支持选择Prompt模板。提供相关证明材料；</w:t>
                  </w:r>
                </w:p>
                <w:p>
                  <w:pPr>
                    <w:pStyle w:val="null3"/>
                  </w:pPr>
                  <w:r>
                    <w:rPr/>
                    <w:t>21.GPU细粒度调度：支持基于WEB页面的GPU细粒度调度设置，包括： 1）MIG模式：每张卡独立配置MIG方案；2）显存隔离：按GPU显存进行任意大小的切分，最小支持1GB显存；3）复用率：按GPU上并发任务个数进行配置。提供相关证明材料；</w:t>
                  </w:r>
                </w:p>
                <w:p>
                  <w:pPr>
                    <w:pStyle w:val="null3"/>
                  </w:pPr>
                  <w:r>
                    <w:rPr/>
                    <w:t>22.资源使用策略设置，支持资源超时配置、资源空占检测回收、任务优先级策略配置保证计算资源使用的高效性、公平性；</w:t>
                  </w:r>
                </w:p>
                <w:p>
                  <w:pPr>
                    <w:pStyle w:val="null3"/>
                  </w:pPr>
                  <w:r>
                    <w:rPr/>
                    <w:t>23.监控信息查看：支持以集群视图、节点视图、加速卡视图查看集群整体运行情况，提供不同层级的监控信息查看，提供GPU、CPU、内存、IB/RoCE网络、存储等关键设施的性能曲线、图表展示；支持DCGM健康检查，支持查看当前节点的GPU物理信息、健康检查选项与开启状态、健康检查结果信息，支持健康检查选项的开启和关闭，支持查看卡的健康信息，包括设备信息、功率限制、温度限制、clocks提供相关证明材料。</w:t>
                  </w:r>
                </w:p>
              </w:tc>
            </w:tr>
            <w:tr>
              <w:tc>
                <w:tcPr>
                  <w:tcW w:type="dxa" w:w="851"/>
                </w:tcPr>
                <w:p>
                  <w:pPr>
                    <w:pStyle w:val="null3"/>
                  </w:pPr>
                  <w:r>
                    <w:rPr/>
                    <w:t>6</w:t>
                  </w:r>
                </w:p>
              </w:tc>
              <w:tc>
                <w:tcPr>
                  <w:tcW w:type="dxa" w:w="851"/>
                </w:tcPr>
                <w:p>
                  <w:pPr>
                    <w:pStyle w:val="null3"/>
                  </w:pPr>
                  <w:r>
                    <w:rPr/>
                    <w:t>训推一体节点</w:t>
                  </w:r>
                </w:p>
              </w:tc>
              <w:tc>
                <w:tcPr>
                  <w:tcW w:type="dxa" w:w="851"/>
                </w:tcPr>
                <w:p>
                  <w:pPr>
                    <w:pStyle w:val="null3"/>
                  </w:pPr>
                  <w:r>
                    <w:rPr/>
                    <w:t>1.外形：标准≤4U机架式服务器；</w:t>
                  </w:r>
                </w:p>
                <w:p>
                  <w:pPr>
                    <w:pStyle w:val="null3"/>
                  </w:pPr>
                  <w:r>
                    <w:rPr/>
                    <w:t>2.★处理器：≥2颗Intel Xeon 6530 CPU（32C，2.1GHz）；</w:t>
                  </w:r>
                </w:p>
                <w:p>
                  <w:pPr>
                    <w:pStyle w:val="null3"/>
                  </w:pPr>
                  <w:r>
                    <w:rPr/>
                    <w:t>3.内存：≥512GB DDR5-4800MHz_ECC-RDIMM内存，板载内存插槽≥32个；</w:t>
                  </w:r>
                </w:p>
                <w:p>
                  <w:pPr>
                    <w:pStyle w:val="null3"/>
                  </w:pPr>
                  <w:r>
                    <w:rPr/>
                    <w:t>4.▲硬盘：≥2块480GB企业级SSD盘，≥4块3.84TB企业级SSD盘，可最大支持≥16块NVMe SSD硬盘或E3.S；提供相关证明材料；</w:t>
                  </w:r>
                </w:p>
                <w:p>
                  <w:pPr>
                    <w:pStyle w:val="null3"/>
                  </w:pPr>
                  <w:r>
                    <w:rPr/>
                    <w:t>5.RAID：配置独立8通道4GB缓存高性能SAS RAID卡，支持RAID0/1/5等；</w:t>
                  </w:r>
                </w:p>
                <w:p>
                  <w:pPr>
                    <w:pStyle w:val="null3"/>
                  </w:pPr>
                  <w:r>
                    <w:rPr/>
                    <w:t>6.网络：≥2个万兆光口（含模块），4个千兆网口，1个独立管理千兆网口；</w:t>
                  </w:r>
                </w:p>
                <w:p>
                  <w:pPr>
                    <w:pStyle w:val="null3"/>
                  </w:pPr>
                  <w:r>
                    <w:rPr/>
                    <w:t>7.HCA：≥1块单口400G NDR高速网卡；</w:t>
                  </w:r>
                </w:p>
                <w:p>
                  <w:pPr>
                    <w:pStyle w:val="null3"/>
                  </w:pPr>
                  <w:r>
                    <w:rPr/>
                    <w:t>8.★GPU卡：≥8张GPU卡，总显存384GB，Ada Lovelace架构；由整机厂商提供GPU产品维保；</w:t>
                  </w:r>
                </w:p>
                <w:p>
                  <w:pPr>
                    <w:pStyle w:val="null3"/>
                  </w:pPr>
                  <w:r>
                    <w:rPr/>
                    <w:t>9.可靠性设计：支持BMC/BIOS flash（ROM）硬件冗余、升级失败后自动回退或切换至另一片Flash启动，并提供相关证明材料；</w:t>
                  </w:r>
                </w:p>
                <w:p>
                  <w:pPr>
                    <w:pStyle w:val="null3"/>
                  </w:pPr>
                  <w:r>
                    <w:rPr/>
                    <w:t>10.电源及其他：2+2冗余热插拔电源，机架安装导轨及电源线；</w:t>
                  </w:r>
                </w:p>
                <w:p>
                  <w:pPr>
                    <w:pStyle w:val="null3"/>
                  </w:pPr>
                  <w:r>
                    <w:rPr/>
                    <w:t>11.▲提供大模型（已完成训练的）服务，大模型包括≥1000亿、≥500亿、≥20亿至少三款参数规模，在数理逻辑、代码生成、知识问答、中英文翻译、理解和生成等表现出色。</w:t>
                  </w:r>
                </w:p>
                <w:p>
                  <w:pPr>
                    <w:pStyle w:val="null3"/>
                  </w:pPr>
                  <w:r>
                    <w:rPr/>
                    <w:t>12.软件要求：需提供成熟的商用人工智能平台产品，产品内容包括但不限于数据管理；模型开发、训练、微调；推理服务接入、编排、部署和管理；异构计算集群调度、监控和管理等功能，支撑企业人工智能能力建设和运营的全过程；支持共享GPU调度，可动态调度任务到最优的节点和GPU上；支持Jupyter，JupyterLab，PyCharm，Terminal, VSCode 等多种交互式开发方式和调试。</w:t>
                  </w:r>
                </w:p>
                <w:p>
                  <w:pPr>
                    <w:pStyle w:val="null3"/>
                  </w:pPr>
                  <w:r>
                    <w:rPr/>
                    <w:t>13.▲授权：提供原厂软件著作版权证书，license满足节点使用；须提供软件的永久授权；</w:t>
                  </w:r>
                </w:p>
                <w:p>
                  <w:pPr>
                    <w:pStyle w:val="null3"/>
                  </w:pPr>
                  <w:r>
                    <w:rPr/>
                    <w:t>14.数据下载：平台应提供开源模型和数据集的下载能力，支持http(s)、ftp/sftp、git clone的下载方式。提供相关证明材料；</w:t>
                  </w:r>
                </w:p>
                <w:p>
                  <w:pPr>
                    <w:pStyle w:val="null3"/>
                  </w:pPr>
                  <w:r>
                    <w:rPr/>
                    <w:t>15.交互式开发：支持0.x张卡(GPU显存隔离/MIG)、单卡/多卡，单机/多机不同算力配置下的环境创建；支持开发环境的端口开放，可集成部署第三方\自定义业务服务；提供相关证明材料；</w:t>
                  </w:r>
                </w:p>
                <w:p>
                  <w:pPr>
                    <w:pStyle w:val="null3"/>
                  </w:pPr>
                  <w:r>
                    <w:rPr/>
                    <w:t>16.▲推理部署服务：支持模型部署、应用（镜像）部署、原生部署（yaml）、Helm部署等部署方式，支持服务上线过程中的离线测试、定时发布、流量调节、在线部署、多分桶测试、在线服务评估等全流程服务管理能力，支持服务部署后对外提供http/gRPC/tcp协议的请求。提供相关证明材料；</w:t>
                  </w:r>
                </w:p>
                <w:p>
                  <w:pPr>
                    <w:pStyle w:val="null3"/>
                  </w:pPr>
                  <w:r>
                    <w:rPr/>
                    <w:t>17.▲模型微调：支持用户对大语言模型进行微调，支持主流的SFT任务，可以选择Full、Freeze、LoRA三种微调方法，满足不同业务场景诉求。提供图形化界面，降低用户使用门槛；支持模型训练任务的新建、编辑、删除等操作。支持查看模型训练日志，方便用户了解训练过程和结果；支持用户选择内置数据和用户数据。平台应内置alpaca、llama、oaast、glaive、identity等数据集，方便用户直接选择训练；针对长时间多机多卡分布式训练场景的断点续训功能。在出现硬件故障或其他导致训练任务异常中断的情况下，具备在上一次训练状态的基础上继续训练的能力，避免从头开始训练；以上功能提供相关证明材料；</w:t>
                  </w:r>
                </w:p>
                <w:p>
                  <w:pPr>
                    <w:pStyle w:val="null3"/>
                  </w:pPr>
                  <w:r>
                    <w:rPr/>
                    <w:t>18.▲prompt管理：支持Prompt的创建、管理。支持查看prompt详细信息，包括：名称、标签、权限、内容；直接将Prompt共享给组内和公共使用。提供相关证明材料。</w:t>
                  </w:r>
                </w:p>
                <w:p>
                  <w:pPr>
                    <w:pStyle w:val="null3"/>
                  </w:pPr>
                  <w:r>
                    <w:rPr/>
                    <w:t>19.Chat应用：平台应内置chat应用，方便用户调用大模型进行交互。支持选择部署好的大模型推理服务进行chat交互。支持查看历史记录。支持设置chat应用参数，包括温度、终止字符、重复惩罚、最大token 数量、系统人设。支持选择Prompt模板。提供相关证明材料。</w:t>
                  </w:r>
                </w:p>
                <w:p>
                  <w:pPr>
                    <w:pStyle w:val="null3"/>
                  </w:pPr>
                  <w:r>
                    <w:rPr/>
                    <w:t>20.GPU细粒度调度：支持基于WEB页面的GPU细粒度调度设置，包括： 1）MIG模式：每张卡独立配置MIG方案；2）显存隔离：按GPU显存进行任意大小的切分，最小支持1GB显存；3）复用率：按GPU上并发任务个数进行配置。提供相关证明材料。</w:t>
                  </w:r>
                </w:p>
                <w:p>
                  <w:pPr>
                    <w:pStyle w:val="null3"/>
                  </w:pPr>
                  <w:r>
                    <w:rPr/>
                    <w:t>21.资源使用策略设置，支持资源超时配置、资源空占检测回收、任务优先级策略配置保证计算资源使用的高效性、公平性。</w:t>
                  </w:r>
                </w:p>
                <w:p>
                  <w:pPr>
                    <w:pStyle w:val="null3"/>
                  </w:pPr>
                  <w:r>
                    <w:rPr/>
                    <w:t>22.监控信息查看：支持以集群视图、节点视图、加速卡视图查看集群整体运行情况，提供不同层级的监控信息查看，提供GPU、CPU、内存、IB/RoCE网络、存储等关键设施的性能曲线、图表展示；支持DCGM健康检查，支持查看当前节点的GPU物理信息、健康检查选项与开启状态、健康检查结果信息，支持健康检查选项的开启和关闭，支持查看卡的健康信息，包括设备信息、功率限制、温度限制、clocks。提供相关证明材料。</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合同签订后90日内供货，10日内安装调试到位并交付使用</w:t>
      </w:r>
    </w:p>
    <w:p>
      <w:pPr>
        <w:pStyle w:val="null3"/>
        <w:outlineLvl w:val="3"/>
      </w:pPr>
      <w:r>
        <w:rPr>
          <w:sz w:val="24"/>
          <w:b/>
        </w:rPr>
        <w:t>3.4.2交货地点</w:t>
      </w:r>
    </w:p>
    <w:p>
      <w:pPr>
        <w:pStyle w:val="null3"/>
      </w:pPr>
      <w:r>
        <w:rPr/>
        <w:t>采购包1：</w:t>
      </w:r>
    </w:p>
    <w:p>
      <w:pPr>
        <w:pStyle w:val="null3"/>
      </w:pPr>
      <w:r>
        <w:rPr/>
        <w:t>西北大信息科学与技术学院指定地点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合同生效后，投标人开具合同金额等额银行保函，采购人收到银行保函正本后预付合同货款，待货物到达指定地点、安装调试验收合格后，采购人退还银行保函正本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 验收分初次开箱验收和学校最终验收两个阶段，以最终验收为准； (2) 货物到货后，甲、乙双方共同开箱验收。如属于检验检疫法检目录内货物，由甲乙双方会同海关共同开箱验收。在检查货物原产地、型号、规格配置符合合同要求后，由乙方负责安装调试、甲方负责技术验收( 乙方协助 ).验收以国内行业标准或合同文本货物供货配置清单中描述的有关技术要求为准； (3) 在货物安装调试运行正常后，甲方(采购单位) 按学校相关业务部门规定提交验收申请，学校根据采购单位技术验收结果，组织有关专家进行货物的最终验收。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项目验收合格之日起5年原厂质保服务；2、售后服务和培训：（1）投标人需根据产品所包含的内容，通过电话、网络远程或上门等方式为采购产品提供使用操作、安装培训及疑难解答等服务。投标人须承诺在1个工作日内针对采购人提出的具体问题予以回复；（2）如果在质保期内产品出现使用缺陷，投标人负责维修、置换同等产品，产生的费用由投标人承担；（3）投标人针对产品操作人员及相关人员提供每年不少于3次的线上培训，保证采购人熟练操作；3、售后服务效率要求即时响应（包括电话响应）；电话响应无法解决时，48小时内到达现场。修复时间24小时内；如24小时内无法修复，应提供相应解决方案。</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陕西省西安市碑林区红缨路南口6号均明拍卖广场3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1）投标总报价是指设备到达使用地点、验收合格达到正常使用条件前的所有费用，包括但不限于以下费用：货物价值、安装调试费、国内运杂费（含保险）、仓储保管费、技术培训费、检测费、施工费、人工费等及按国家政策征收的一切税费等。（2）投标报价表中标明本次货物、服务的所有单项价格和总价，任何有选择的报价将不予接受，否则按无效投标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12月1日以来至少一个月的纳税证明或完税证明，纳税证明或完税证明上应有代收机构或税务机关的公章或业务专用章；其他组织和自然人提供自2023年12月1日以来至少一个月缴纳税收的凭据；依法免税的或者依法不需缴税的投标人应提供相关文件证明； ③社会保障资金缴纳证明：提供自2023年12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财务状况报告：法人提供会计师事务所出具的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法定代表人参加投标的，须提供法定代表人身份证；法定代表人授权本单位他人参加投标的，须提供法定代表人授权委托书。</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投标文件按照招标文件规定要求签署、盖章的</w:t>
            </w:r>
          </w:p>
        </w:tc>
        <w:tc>
          <w:tcPr>
            <w:tcW w:type="dxa" w:w="1661"/>
          </w:tcPr>
          <w:p>
            <w:pPr>
              <w:pStyle w:val="null3"/>
            </w:pPr>
            <w:r>
              <w:rPr/>
              <w:t>开标一览表 1分项价格表 3承诺书 投标函 中小企业声明函 残疾人福利性单位声明函 商务应答表 标的清单 投标文件封面 4技术响应与偏离表、佐证材料 2资格证明文件 监狱企业的证明文件</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报价未超过招标文件中规定的预算金额或最高限价</w:t>
            </w:r>
          </w:p>
        </w:tc>
        <w:tc>
          <w:tcPr>
            <w:tcW w:type="dxa" w:w="1661"/>
          </w:tcPr>
          <w:p>
            <w:pPr>
              <w:pStyle w:val="null3"/>
            </w:pPr>
            <w:r>
              <w:rPr/>
              <w:t>开标一览表 1分项价格表 标的清单 投标文件封面</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满足本招标文件中的实质性商务条款“交货时间、交货地点、质量保修范围和保修期、支付方式和约定”要求的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无其他不符合法律、规章、规范性文件和招标文件规定的</w:t>
            </w:r>
          </w:p>
        </w:tc>
        <w:tc>
          <w:tcPr>
            <w:tcW w:type="dxa" w:w="1661"/>
          </w:tcPr>
          <w:p>
            <w:pPr>
              <w:pStyle w:val="null3"/>
            </w:pPr>
            <w:r>
              <w:rPr/>
              <w:t>开标一览表 1分项价格表 3承诺书 投标函 中小企业声明函 残疾人福利性单位声明函 商务应答表 标的清单 投标文件封面 2资格证明文件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基本分：所投产品技术参数完全符合、响应招标文件要求，没有负偏离计37.5分。 1、技术参数中标“★”项（共4项）为实质性要求，不满足废标； 2、技术参数中标“▲”项（共18项）满分22.5分，负偏离一项扣1.25分； 3、技术参数中非“★”项和非“▲”项（共51项）满分15分，负偏离一项扣0.3分； 加分项：技术参数中标“★”、“▲”项参数性能优于招标文件要求，具有实际使用价值的提升，经评标委员会一致认定每项可加分，满分6.5分。 1、标“★”项参数技术指标和性能优于招标文件要求，加0.5分，满分2分； 2、标“▲”项参数技术指标和性能优于招标文件要求，每项加0.25分，满分4.5分。 备注：1.此项评分因素，仅针对技术参数与性能指标中“技术参数”进行评审。 2.标“★”项参数须提供佐证材料（佐证材料不限于产品彩页或检测报告或技术说明书或官网功能截图等），否则按无效文件处理。 3.所有优于参数须提供佐证材料（佐证材料不限于产品彩页或检测报告或技术说明书或官网功能截图等），否则不予加分。</w:t>
            </w:r>
          </w:p>
        </w:tc>
        <w:tc>
          <w:tcPr>
            <w:tcW w:type="dxa" w:w="831"/>
          </w:tcPr>
          <w:p>
            <w:pPr>
              <w:pStyle w:val="null3"/>
              <w:jc w:val="right"/>
            </w:pPr>
            <w:r>
              <w:rPr/>
              <w:t>44.0000</w:t>
            </w:r>
          </w:p>
        </w:tc>
        <w:tc>
          <w:tcPr>
            <w:tcW w:type="dxa" w:w="831"/>
          </w:tcPr>
          <w:p>
            <w:pPr>
              <w:pStyle w:val="null3"/>
            </w:pPr>
            <w:r>
              <w:rPr/>
              <w:t>客观</w:t>
            </w:r>
          </w:p>
        </w:tc>
        <w:tc>
          <w:tcPr>
            <w:tcW w:type="dxa" w:w="1661"/>
          </w:tcPr>
          <w:p>
            <w:pPr>
              <w:pStyle w:val="null3"/>
            </w:pPr>
            <w:r>
              <w:rPr/>
              <w:t>4技术响应与偏离表、佐证材料</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根据项目实际需求，提供质量保证方案。内容包含：①产品性能、设备选型、产品使用寿命及效果②质量保证措施。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5质量保证</w:t>
            </w:r>
          </w:p>
        </w:tc>
      </w:tr>
      <w:tr>
        <w:tc>
          <w:tcPr>
            <w:tcW w:type="dxa" w:w="831"/>
            <w:vMerge/>
          </w:tcPr>
          <w:p/>
        </w:tc>
        <w:tc>
          <w:tcPr>
            <w:tcW w:type="dxa" w:w="1661"/>
          </w:tcPr>
          <w:p>
            <w:pPr>
              <w:pStyle w:val="null3"/>
            </w:pPr>
            <w:r>
              <w:rPr/>
              <w:t>整体实施方案</w:t>
            </w:r>
          </w:p>
        </w:tc>
        <w:tc>
          <w:tcPr>
            <w:tcW w:type="dxa" w:w="2492"/>
          </w:tcPr>
          <w:p>
            <w:pPr>
              <w:pStyle w:val="null3"/>
            </w:pPr>
            <w:r>
              <w:rPr/>
              <w:t>一、评审内容 投标人针对本项目需求提供整体实施方案。内容包含：①供货组织安排、进度安排及实施重点难点分析②安装调试验收方案。 二、评审标准 1、完整性：方案须全面，对评审内容中的各项要求描述详细； 2、可实施性：切合本项目实际情况，实施步骤清晰、合理； 3、针对性：方案能够紧扣项目实际情况，内容科学合理。 三、赋分依据（满分3分） ①供货组织安排、进度安排及实施重点难点分析：每完全满足一个评审标准得0.5分，满分1.5分；未提供不得分； ②安装调试验收方案：每完全满足一个评审标准得0.5分，满分1.5分；未提供不得分。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6整体实施方案</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三、赋分依据（满分3分） ①培训计划、培训内容：每完全满足一个评审标准得0.5分，满分1.5分；未提供不得分； ②培训效果：每完全满足一个评审标准得0.5分，满分1.5分；未提供不得分。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提供投标人2021年12月1日至今项目同类业绩（至少包含核心产品在内的3个产品），每提供1个计1分，满分5分；未提供不得分。 （以合同签订日期为准）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8业绩</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提供所投产品合法来源渠道证明文件（包括但不限于销售协议或代理协议或原厂授权等），每提供一个计0.2分，满分1分，未提供不计分。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9供货渠道证明</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 计算分数时四舍五入取小数点后两位。</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10质保期</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①售后服务流程、服务方式、响应时间：每完全满足一个评审标准得0.5分，满分1.5分；未提供不得分； ②应急处理方案、常规仪器保养和维护的日程安排及措施：每完全满足一个评审标准得0.5分，满分1.5分；未提供不得分。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11售后服务</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12节能环保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 且投标价格最低的投标报价为评标基准价，其价格分为满分。其他投标人的价格分统一按照下列公式计算：投标报价得分=(评标基准价／投标报价)×35 计算分数时四舍五入取小数点后两位。 注：1、计算分数时四舍五入取小数点后两位； 2、落实采购政策：详见价格扣除。</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1分项价格表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1分项价格表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详见附件：3承诺书</w:t>
      </w:r>
    </w:p>
    <w:p>
      <w:pPr>
        <w:pStyle w:val="null3"/>
        <w:ind w:firstLine="960"/>
      </w:pPr>
      <w:r>
        <w:rPr/>
        <w:t>详见附件：4技术响应与偏离表、佐证材料</w:t>
      </w:r>
    </w:p>
    <w:p>
      <w:pPr>
        <w:pStyle w:val="null3"/>
        <w:ind w:firstLine="960"/>
      </w:pPr>
      <w:r>
        <w:rPr/>
        <w:t>详见附件：5质量保证</w:t>
      </w:r>
    </w:p>
    <w:p>
      <w:pPr>
        <w:pStyle w:val="null3"/>
        <w:ind w:firstLine="960"/>
      </w:pPr>
      <w:r>
        <w:rPr/>
        <w:t>详见附件：6整体实施方案</w:t>
      </w:r>
    </w:p>
    <w:p>
      <w:pPr>
        <w:pStyle w:val="null3"/>
        <w:ind w:firstLine="960"/>
      </w:pPr>
      <w:r>
        <w:rPr/>
        <w:t>详见附件：7培训方案</w:t>
      </w:r>
    </w:p>
    <w:p>
      <w:pPr>
        <w:pStyle w:val="null3"/>
        <w:ind w:firstLine="960"/>
      </w:pPr>
      <w:r>
        <w:rPr/>
        <w:t>详见附件：8业绩</w:t>
      </w:r>
    </w:p>
    <w:p>
      <w:pPr>
        <w:pStyle w:val="null3"/>
        <w:ind w:firstLine="960"/>
      </w:pPr>
      <w:r>
        <w:rPr/>
        <w:t>详见附件：9供货渠道证明</w:t>
      </w:r>
    </w:p>
    <w:p>
      <w:pPr>
        <w:pStyle w:val="null3"/>
        <w:ind w:firstLine="960"/>
      </w:pPr>
      <w:r>
        <w:rPr/>
        <w:t>详见附件：10质保期</w:t>
      </w:r>
    </w:p>
    <w:p>
      <w:pPr>
        <w:pStyle w:val="null3"/>
        <w:ind w:firstLine="960"/>
      </w:pPr>
      <w:r>
        <w:rPr/>
        <w:t>详见附件：11售后服务</w:t>
      </w:r>
    </w:p>
    <w:p>
      <w:pPr>
        <w:pStyle w:val="null3"/>
        <w:ind w:firstLine="960"/>
      </w:pPr>
      <w:r>
        <w:rPr/>
        <w:t>详见附件：12节能环保</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详见附件：合同模板12.7.docx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