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高性能全自动拉曼光谱仪、纤维表面等离子体处理系统采购项目</w:t>
      </w:r>
    </w:p>
    <w:p>
      <w:pPr>
        <w:pStyle w:val="null3"/>
        <w:jc w:val="center"/>
        <w:outlineLvl w:val="2"/>
      </w:pPr>
      <w:r>
        <w:rPr>
          <w:sz w:val="28"/>
          <w:b/>
        </w:rPr>
        <w:t>采购项目编号：</w:t>
      </w:r>
      <w:r>
        <w:rPr>
          <w:sz w:val="28"/>
          <w:b/>
        </w:rPr>
        <w:t>THXZB2024-1063</w:t>
      </w:r>
      <w:r>
        <w:br/>
      </w:r>
      <w:r>
        <w:br/>
      </w:r>
      <w:r>
        <w:br/>
      </w:r>
    </w:p>
    <w:p>
      <w:pPr>
        <w:pStyle w:val="null3"/>
        <w:jc w:val="center"/>
        <w:outlineLvl w:val="2"/>
      </w:pPr>
      <w:r>
        <w:rPr>
          <w:sz w:val="28"/>
          <w:b/>
        </w:rPr>
        <w:t>西安工程大学</w:t>
      </w:r>
    </w:p>
    <w:p>
      <w:pPr>
        <w:pStyle w:val="null3"/>
        <w:jc w:val="center"/>
        <w:outlineLvl w:val="2"/>
      </w:pPr>
      <w:r>
        <w:rPr>
          <w:sz w:val="28"/>
          <w:b/>
        </w:rPr>
        <w:t>陕西天鸿信项目管理有限公司</w:t>
      </w:r>
      <w:r>
        <w:rPr>
          <w:sz w:val="28"/>
          <w:b/>
        </w:rPr>
        <w:t>共同编制</w:t>
      </w:r>
    </w:p>
    <w:p>
      <w:pPr>
        <w:pStyle w:val="null3"/>
        <w:jc w:val="center"/>
        <w:outlineLvl w:val="2"/>
      </w:pPr>
      <w:r>
        <w:rPr>
          <w:sz w:val="28"/>
          <w:b/>
        </w:rPr>
        <w:t>2024年12月07日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陕西天鸿信项目管理有限公司</w:t>
      </w:r>
      <w:r>
        <w:rPr/>
        <w:t>（以下简称“代理机构”）受</w:t>
      </w:r>
      <w:r>
        <w:rPr/>
        <w:t>西安工程大学</w:t>
      </w:r>
      <w:r>
        <w:rPr/>
        <w:t>委托，拟对</w:t>
      </w:r>
      <w:r>
        <w:rPr/>
        <w:t>高性能全自动拉曼光谱仪、纤维表面等离子体处理系统采购项目</w:t>
      </w:r>
      <w:r>
        <w:rPr/>
        <w:t>采用竞争性磋商采购方式进行采购，兹邀请供应商参加本项目的竞争性磋商。</w:t>
      </w:r>
    </w:p>
    <w:p>
      <w:pPr>
        <w:pStyle w:val="null3"/>
        <w:outlineLvl w:val="2"/>
      </w:pPr>
      <w:r>
        <w:rPr>
          <w:sz w:val="28"/>
          <w:b/>
        </w:rPr>
        <w:t>一、项目编号：</w:t>
      </w:r>
      <w:r>
        <w:rPr>
          <w:sz w:val="28"/>
          <w:b/>
        </w:rPr>
        <w:t>THXZB2024-1063</w:t>
      </w:r>
    </w:p>
    <w:p>
      <w:pPr>
        <w:pStyle w:val="null3"/>
        <w:outlineLvl w:val="2"/>
      </w:pPr>
      <w:r>
        <w:rPr>
          <w:sz w:val="28"/>
          <w:b/>
        </w:rPr>
        <w:t>二、项目名称：</w:t>
      </w:r>
      <w:r>
        <w:rPr>
          <w:sz w:val="28"/>
          <w:b/>
        </w:rPr>
        <w:t>高性能全自动拉曼光谱仪、纤维表面等离子体处理系统采购项目</w:t>
      </w:r>
    </w:p>
    <w:p>
      <w:pPr>
        <w:pStyle w:val="null3"/>
        <w:outlineLvl w:val="2"/>
      </w:pPr>
      <w:r>
        <w:rPr>
          <w:sz w:val="28"/>
          <w:b/>
        </w:rPr>
        <w:t>三、磋商项目简介</w:t>
      </w:r>
    </w:p>
    <w:p>
      <w:pPr>
        <w:pStyle w:val="null3"/>
        <w:ind w:firstLine="480"/>
      </w:pPr>
      <w:r>
        <w:rPr/>
        <w:t>西安工程大学高性能全自动拉曼光谱仪、纤维表面等离子体处理系统采购</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采购包2（纤维表面等离子体处理系统）：属于专门面向中小企业采购。</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t>2、法定代表人证明书或授权书：法定代表人直接参加投标的须提交法定代表人证明书；法定代表人授权代表参加投标的，须出具法定代表人证明书及授权书，供应商需在项目电子化交易系统中按要求上传相应证明文件并进行电子签章</w:t>
      </w:r>
    </w:p>
    <w:p>
      <w:pPr>
        <w:pStyle w:val="null3"/>
      </w:pPr>
      <w:r>
        <w:rPr/>
        <w:t>3、财务状况报告：供应商须提供2023年度经会计师事务所审计的审计报告（新成立企业可从成立当年开始提供相对应的财务报表）或其投标前三个月内基本存款账户开户银行出具的资信证明，供应商需在项目电子化交易系统中按要求上传相应证明文件并进行电子签章</w:t>
      </w:r>
    </w:p>
    <w:p>
      <w:pPr>
        <w:pStyle w:val="null3"/>
      </w:pPr>
      <w:r>
        <w:rPr/>
        <w:t>4、税收缴纳证明：供应商须提供投标截止时间前半年内任意一个月的缴税证明（依法免税或零申报的投标人须提供相关文件证明；若为新成立企业可提供相应月度的缴税证明），供应商需在项目电子化交易系统中按要求上传相应证明文件并进行电子签章</w:t>
      </w:r>
    </w:p>
    <w:p>
      <w:pPr>
        <w:pStyle w:val="null3"/>
      </w:pPr>
      <w:r>
        <w:rPr/>
        <w:t>5、社会保障资金缴纳证明：供应商须提供投标截止时间前半年内任意一个月的社会保险缴纳证明（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t>6、具有履行合同所必需的设备和专业技术能力的承诺函：供应商须提供具有履行合同所必需的设备和专业技术能力的承诺函，供应商需在项目电子化交易系统中按要求上传相应证明文件并进行电子签章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t>7、无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t>8、进口产品要求：供应商所投产品为进口产品须提供产品制造厂商针对该产品完整授权链的授权书。供应商需在项目电子化交易系统中按要求上传相应证明文件并进行电子签章。国产产品不需要提供。</w:t>
      </w:r>
    </w:p>
    <w:p>
      <w:pPr>
        <w:pStyle w:val="null3"/>
      </w:pPr>
      <w:r>
        <w:rPr/>
        <w:t>采购包2：</w:t>
      </w:r>
    </w:p>
    <w:p>
      <w:pPr>
        <w:pStyle w:val="null3"/>
      </w:pPr>
      <w:r>
        <w:rPr/>
        <w:t>1、具有独立承担民事责任的能力：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t>2、法定代表人证明书或授权书：法定代表人直接参加投标的须提交法定代表人证明书；法定代表人授权代表参加投标的，须出具法定代表人证明书及授权书，供应商需在项目电子化交易系统中按要求上传相应证明文件并进行电子签章</w:t>
      </w:r>
    </w:p>
    <w:p>
      <w:pPr>
        <w:pStyle w:val="null3"/>
      </w:pPr>
      <w:r>
        <w:rPr/>
        <w:t>3、财务状况报告：供应商须提供2023年度经会计师事务所审计的审计报告（新成立企业可从成立当年开始提供相对应的财务报表）或其投标前三个月内基本存款账户开户银行出具的资信证明，供应商需在项目电子化交易系统中按要求上传相应证明文件并进行电子签章</w:t>
      </w:r>
    </w:p>
    <w:p>
      <w:pPr>
        <w:pStyle w:val="null3"/>
      </w:pPr>
      <w:r>
        <w:rPr/>
        <w:t>4、税收缴纳证明：供应商须提供投标截止时间前半年内任意一个月的缴税证明（依法免税或零申报的供应商须提供相关文件证明；若为新成立企业可提供相应月度的缴税证明），供应商需在项目电子化交易系统中按要求上传相应证明文件并进行电子签章</w:t>
      </w:r>
    </w:p>
    <w:p>
      <w:pPr>
        <w:pStyle w:val="null3"/>
      </w:pPr>
      <w:r>
        <w:rPr/>
        <w:t>5、社会保障资金缴纳证明：供应商须提供投标截止时间前半年内任意一个月的社会保险缴纳证明（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t>6、履行合同所必需的设备和专业技术能力的承诺函：供应商须提供具有履行合同所必需的设备和专业技术能力的承诺函，供应商需在项目电子化交易系统中按要求上传相应证明文件并进行电子签章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t>7、无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t>8、中小企业声明函：本项目专门面向中小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西安工程大学</w:t>
      </w:r>
    </w:p>
    <w:p>
      <w:pPr>
        <w:pStyle w:val="null3"/>
      </w:pPr>
      <w:r>
        <w:rPr/>
        <w:t xml:space="preserve"> 地址： </w:t>
      </w:r>
      <w:r>
        <w:rPr/>
        <w:t>金花南路19号</w:t>
      </w:r>
    </w:p>
    <w:p>
      <w:pPr>
        <w:pStyle w:val="null3"/>
      </w:pPr>
      <w:r>
        <w:rPr/>
        <w:t xml:space="preserve"> 邮编： </w:t>
      </w:r>
      <w:r>
        <w:rPr/>
        <w:t>/</w:t>
      </w:r>
    </w:p>
    <w:p>
      <w:pPr>
        <w:pStyle w:val="null3"/>
      </w:pPr>
      <w:r>
        <w:rPr/>
        <w:t xml:space="preserve"> 联系人： </w:t>
      </w:r>
      <w:r>
        <w:rPr/>
        <w:t>西安工程大学经办</w:t>
      </w:r>
    </w:p>
    <w:p>
      <w:pPr>
        <w:pStyle w:val="null3"/>
      </w:pPr>
      <w:r>
        <w:rPr/>
        <w:t xml:space="preserve"> 联系电话： </w:t>
      </w:r>
      <w:r>
        <w:rPr/>
        <w:t>81369288</w:t>
      </w:r>
    </w:p>
    <w:p>
      <w:pPr>
        <w:pStyle w:val="null3"/>
        <w:outlineLvl w:val="3"/>
      </w:pPr>
      <w:r>
        <w:rPr>
          <w:sz w:val="24"/>
          <w:b/>
        </w:rPr>
        <w:t>代理机构：</w:t>
      </w:r>
      <w:r>
        <w:rPr>
          <w:sz w:val="24"/>
          <w:b/>
        </w:rPr>
        <w:t>陕西天鸿信项目管理有限公司</w:t>
      </w:r>
    </w:p>
    <w:p>
      <w:pPr>
        <w:pStyle w:val="null3"/>
      </w:pPr>
      <w:r>
        <w:rPr/>
        <w:t xml:space="preserve"> 地址： </w:t>
      </w:r>
      <w:r>
        <w:rPr/>
        <w:t>西安市雁塔区唐延南路8号泰维智链中心二期南楼1602室</w:t>
      </w:r>
    </w:p>
    <w:p>
      <w:pPr>
        <w:pStyle w:val="null3"/>
      </w:pPr>
      <w:r>
        <w:rPr/>
        <w:t xml:space="preserve"> 邮编： </w:t>
      </w:r>
      <w:r>
        <w:rPr/>
        <w:t>710076</w:t>
      </w:r>
    </w:p>
    <w:p>
      <w:pPr>
        <w:pStyle w:val="null3"/>
      </w:pPr>
      <w:r>
        <w:rPr/>
        <w:t xml:space="preserve"> 联系人： </w:t>
      </w:r>
      <w:r>
        <w:rPr/>
        <w:t>卢工</w:t>
      </w:r>
    </w:p>
    <w:p>
      <w:pPr>
        <w:pStyle w:val="null3"/>
      </w:pPr>
      <w:r>
        <w:rPr/>
        <w:t xml:space="preserve"> 联系电话： </w:t>
      </w:r>
      <w:r>
        <w:rPr/>
        <w:t>029-88210791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p>
          <w:p>
            <w:pPr>
              <w:pStyle w:val="null3"/>
            </w:pPr>
            <w:r>
              <w:rPr/>
              <w:t>采购包2：500,000.00元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说明：本采购包履约保证金为合同金额的 10 %， （1）投标人成交后凭中标通知书向采购人缴纳成交金额的10%作为履约保证金； （2）履约保证金应使用人民币，可选择使用银行转账、支票（汇票、本票）、保函（保险）等非现金形式缴纳或提交； （3）设备到货并由甲方核查验收合格后，乙方申请，甲方将履约保证金（无息）退还乙方。</w:t>
            </w:r>
          </w:p>
          <w:p>
            <w:pPr>
              <w:pStyle w:val="null3"/>
            </w:pPr>
            <w:r>
              <w:rPr/>
              <w:t>采购包2：缴纳</w:t>
            </w:r>
          </w:p>
          <w:p>
            <w:pPr>
              <w:pStyle w:val="null3"/>
            </w:pPr>
            <w:r>
              <w:rPr/>
              <w:t>本采购包履约保证金为合同金额的10.0%</w:t>
            </w:r>
          </w:p>
          <w:p>
            <w:pPr>
              <w:pStyle w:val="null3"/>
            </w:pPr>
            <w:r>
              <w:rPr/>
              <w:t>说明：本采购包履约保证金为合同金额的 10 %， （1）投标人成交后凭中标通知书向采购人缴纳成交金额的10%作为履约保证金； （2）履约保证金应使用人民币，可选择使用银行转账、支票（汇票、本票）、保函（保险）等非现金形式缴纳或提交； （3）设备到货并由甲方核查验收合格后，乙方申请，甲方将履约保证金（无息）退还乙方。</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和改革委员会办公厅颁发的《关于招标代理服务收费有关问题的通知》（发改办价格〔2003〕857号）的有关规定计取，以中标金额作为基数，差额累进法进行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西安工程大学</w:t>
      </w:r>
      <w:r>
        <w:rPr/>
        <w:t>和</w:t>
      </w:r>
      <w:r>
        <w:rPr/>
        <w:t>陕西天鸿信项目管理有限公司</w:t>
      </w:r>
      <w:r>
        <w:rPr/>
        <w:t>享有。对磋商文件中供应商参加本次政府采购活动应当具备的条件，磋商项目技术、服务、商务及其他要求，评审细则及标准由</w:t>
      </w:r>
      <w:r>
        <w:rPr/>
        <w:t>西安工程大学</w:t>
      </w:r>
      <w:r>
        <w:rPr/>
        <w:t>负责解释。除上述磋商文件内容，其他内容由</w:t>
      </w:r>
      <w:r>
        <w:rPr/>
        <w:t>陕西天鸿信项目管理有限公司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陕西天鸿信项目管理有限公司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详见合同约定。</w:t>
      </w:r>
    </w:p>
    <w:p>
      <w:pPr>
        <w:pStyle w:val="null3"/>
      </w:pPr>
      <w:r>
        <w:rPr/>
        <w:t>采购包2：</w:t>
      </w:r>
    </w:p>
    <w:p>
      <w:pPr>
        <w:pStyle w:val="null3"/>
      </w:pPr>
      <w:r>
        <w:rPr/>
        <w:t>详见合同约定。</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陕西天鸿信项目管理有限公司</w:t>
      </w:r>
      <w:r>
        <w:rPr/>
        <w:t xml:space="preserve"> 负责答复；供应商对采购过程的询问、质疑由</w:t>
      </w:r>
      <w:r>
        <w:rPr/>
        <w:t>陕西天鸿信项目管理有限公司</w:t>
      </w:r>
      <w:r>
        <w:rPr/>
        <w:t xml:space="preserve"> 负责答复；供应商对采购结果的询问、质疑由 </w:t>
      </w:r>
      <w:r>
        <w:rPr/>
        <w:t>陕西天鸿信项目管理有限公司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联系人：卢工</w:t>
      </w:r>
    </w:p>
    <w:p>
      <w:pPr>
        <w:pStyle w:val="null3"/>
      </w:pPr>
      <w:r>
        <w:rPr/>
        <w:t>联系电话：029-88210791</w:t>
      </w:r>
    </w:p>
    <w:p>
      <w:pPr>
        <w:pStyle w:val="null3"/>
      </w:pPr>
      <w:r>
        <w:rPr/>
        <w:t>地址：西安市雁塔区唐延南路8号泰维智链中心二期南楼1602室</w:t>
      </w:r>
    </w:p>
    <w:p>
      <w:pPr>
        <w:pStyle w:val="null3"/>
      </w:pPr>
      <w:r>
        <w:rPr/>
        <w:t>邮编：710076</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西安工程大学高性能全自动拉曼光谱仪、纤维表面等离子体处理系统采购项目</w:t>
      </w:r>
    </w:p>
    <w:p>
      <w:pPr>
        <w:pStyle w:val="null3"/>
        <w:outlineLvl w:val="2"/>
      </w:pPr>
      <w:r>
        <w:rPr>
          <w:sz w:val="28"/>
          <w:b/>
        </w:rPr>
        <w:t>3.2采购内容</w:t>
      </w:r>
    </w:p>
    <w:p>
      <w:pPr>
        <w:pStyle w:val="null3"/>
      </w:pPr>
      <w:r>
        <w:rPr/>
        <w:t>采购包1：</w:t>
      </w:r>
    </w:p>
    <w:p>
      <w:pPr>
        <w:pStyle w:val="null3"/>
      </w:pPr>
      <w:r>
        <w:rPr/>
        <w:t>采购包预算金额（元）: 1,500,000.00</w:t>
      </w:r>
    </w:p>
    <w:p>
      <w:pPr>
        <w:pStyle w:val="null3"/>
      </w:pPr>
      <w:r>
        <w:rPr/>
        <w:t>采购包最高限价（元）: 1,500,000.00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高性能全自动拉曼光谱仪</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纤维表面等离子体处理系统</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标的名称：高性能全自动拉曼光谱仪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 </w:t>
            </w:r>
          </w:p>
          <w:p>
            <w:pPr>
              <w:pStyle w:val="null3"/>
              <w:jc w:val="both"/>
            </w:pPr>
            <w:r>
              <w:rPr>
                <w:rFonts w:ascii="宋体" w:hAnsi="宋体" w:cs="宋体" w:eastAsia="宋体"/>
                <w:sz w:val="24"/>
              </w:rPr>
              <w:t>★</w:t>
            </w:r>
            <w:r>
              <w:rPr>
                <w:rFonts w:ascii="宋体" w:hAnsi="宋体" w:cs="宋体" w:eastAsia="宋体"/>
                <w:sz w:val="24"/>
                <w:b/>
              </w:rPr>
              <w:t>号项条款为实质性响应条款，不允许负偏离，且须提供相应的指标证明文件，负责视为无效文件。</w:t>
            </w:r>
          </w:p>
          <w:tbl>
            <w:tblPr>
              <w:tblBorders>
                <w:top w:val="none" w:color="000000" w:sz="4"/>
                <w:left w:val="none" w:color="000000" w:sz="4"/>
                <w:bottom w:val="none" w:color="000000" w:sz="4"/>
                <w:right w:val="none" w:color="000000" w:sz="4"/>
                <w:insideH w:val="none"/>
                <w:insideV w:val="none"/>
              </w:tblBorders>
            </w:tblPr>
            <w:tblGrid>
              <w:gridCol w:w="332"/>
              <w:gridCol w:w="215"/>
              <w:gridCol w:w="2001"/>
            </w:tblGrid>
            <w:tr>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参数性质</w:t>
                  </w:r>
                </w:p>
              </w:tc>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2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技术参数与性能指标</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333333"/>
                      <w:shd w:fill="FFFFFF" w:val="clear"/>
                    </w:rPr>
                    <w:t>配置要求</w:t>
                  </w:r>
                </w:p>
                <w:p>
                  <w:pPr>
                    <w:pStyle w:val="null3"/>
                    <w:jc w:val="center"/>
                  </w:pP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1</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shd w:fill="FFFFFF" w:val="clear"/>
                    </w:rPr>
                    <w:t>高性能全自动拉曼光谱仪</w:t>
                  </w:r>
                  <w:r>
                    <w:rPr>
                      <w:rFonts w:ascii="宋体" w:hAnsi="宋体" w:cs="宋体" w:eastAsia="宋体"/>
                      <w:sz w:val="24"/>
                      <w:shd w:fill="FFFFFF" w:val="clear"/>
                    </w:rPr>
                    <w:t xml:space="preserve">   </w:t>
                  </w:r>
                  <w:r>
                    <w:rPr>
                      <w:rFonts w:ascii="宋体" w:hAnsi="宋体" w:cs="宋体" w:eastAsia="宋体"/>
                      <w:sz w:val="24"/>
                      <w:shd w:fill="FFFFFF" w:val="clear"/>
                    </w:rPr>
                    <w:t>1台</w:t>
                  </w:r>
                </w:p>
                <w:p>
                  <w:pPr>
                    <w:pStyle w:val="null3"/>
                    <w:jc w:val="both"/>
                  </w:pPr>
                  <w:r>
                    <w:rPr>
                      <w:rFonts w:ascii="宋体" w:hAnsi="宋体" w:cs="宋体" w:eastAsia="宋体"/>
                      <w:sz w:val="24"/>
                      <w:color w:val="333333"/>
                      <w:shd w:fill="FFFFFF" w:val="clear"/>
                    </w:rPr>
                    <w:t>配置要求</w:t>
                  </w:r>
                  <w:r>
                    <w:rPr>
                      <w:rFonts w:ascii="宋体" w:hAnsi="宋体" w:cs="宋体" w:eastAsia="宋体"/>
                      <w:sz w:val="24"/>
                      <w:color w:val="333333"/>
                      <w:shd w:fill="FFFFFF" w:val="clear"/>
                    </w:rPr>
                    <w:t>：</w:t>
                  </w:r>
                </w:p>
                <w:p>
                  <w:pPr>
                    <w:pStyle w:val="null3"/>
                    <w:jc w:val="both"/>
                  </w:pPr>
                  <w:r>
                    <w:rPr>
                      <w:rFonts w:ascii="宋体" w:hAnsi="宋体" w:cs="宋体" w:eastAsia="宋体"/>
                      <w:sz w:val="24"/>
                      <w:color w:val="333333"/>
                      <w:shd w:fill="FFFFFF" w:val="clear"/>
                    </w:rPr>
                    <w:t>1、光谱仪主机（内置至少四块刻线密度光栅，研究级显微镜配置物镜：10X； 100X 5X ；50X长焦物镜）</w:t>
                  </w:r>
                </w:p>
                <w:p>
                  <w:pPr>
                    <w:pStyle w:val="null3"/>
                    <w:jc w:val="both"/>
                  </w:pPr>
                  <w:r>
                    <w:rPr>
                      <w:rFonts w:ascii="宋体" w:hAnsi="宋体" w:cs="宋体" w:eastAsia="宋体"/>
                      <w:sz w:val="24"/>
                      <w:color w:val="333333"/>
                      <w:shd w:fill="FFFFFF" w:val="clear"/>
                    </w:rPr>
                    <w:t>2、532nm激发波长；785nm激发波长全自动切换，自动准直</w:t>
                  </w:r>
                </w:p>
                <w:p>
                  <w:pPr>
                    <w:pStyle w:val="null3"/>
                    <w:jc w:val="both"/>
                  </w:pPr>
                  <w:r>
                    <w:rPr>
                      <w:rFonts w:ascii="宋体" w:hAnsi="宋体" w:cs="宋体" w:eastAsia="宋体"/>
                      <w:sz w:val="24"/>
                      <w:color w:val="333333"/>
                      <w:shd w:fill="FFFFFF" w:val="clear"/>
                    </w:rPr>
                    <w:t>3、高精密XYZ自动平台</w:t>
                  </w:r>
                </w:p>
                <w:p>
                  <w:pPr>
                    <w:pStyle w:val="null3"/>
                    <w:jc w:val="both"/>
                  </w:pPr>
                  <w:r>
                    <w:rPr>
                      <w:rFonts w:ascii="宋体" w:hAnsi="宋体" w:cs="宋体" w:eastAsia="宋体"/>
                      <w:sz w:val="24"/>
                      <w:color w:val="333333"/>
                      <w:shd w:fill="FFFFFF" w:val="clear"/>
                    </w:rPr>
                    <w:t>4、超快速成像模块及实时聚焦附件</w:t>
                  </w:r>
                </w:p>
                <w:p>
                  <w:pPr>
                    <w:pStyle w:val="null3"/>
                    <w:jc w:val="both"/>
                  </w:pPr>
                  <w:r>
                    <w:rPr>
                      <w:rFonts w:ascii="宋体" w:hAnsi="宋体" w:cs="宋体" w:eastAsia="宋体"/>
                      <w:sz w:val="24"/>
                      <w:color w:val="333333"/>
                      <w:shd w:fill="FFFFFF" w:val="clear"/>
                    </w:rPr>
                    <w:t>5、操作软件及计算机</w:t>
                  </w:r>
                </w:p>
                <w:p>
                  <w:pPr>
                    <w:pStyle w:val="null3"/>
                    <w:jc w:val="both"/>
                  </w:pPr>
                  <w:r>
                    <w:rPr>
                      <w:rFonts w:ascii="宋体" w:hAnsi="宋体" w:cs="宋体" w:eastAsia="宋体"/>
                      <w:sz w:val="24"/>
                      <w:color w:val="333333"/>
                      <w:shd w:fill="FFFFFF" w:val="clear"/>
                    </w:rPr>
                    <w:t>6、国内配套：光学防震平台，UPS（3KVA）</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技术标准</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2</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一、技术指标和要求：</w:t>
                  </w:r>
                </w:p>
                <w:p>
                  <w:pPr>
                    <w:pStyle w:val="null3"/>
                    <w:jc w:val="both"/>
                  </w:pPr>
                  <w:r>
                    <w:rPr>
                      <w:rFonts w:ascii="宋体" w:hAnsi="宋体" w:cs="宋体" w:eastAsia="宋体"/>
                      <w:sz w:val="24"/>
                    </w:rPr>
                    <w:t>1.主机</w:t>
                  </w:r>
                </w:p>
                <w:p>
                  <w:pPr>
                    <w:pStyle w:val="null3"/>
                    <w:jc w:val="both"/>
                  </w:pPr>
                  <w:r>
                    <w:rPr>
                      <w:rFonts w:ascii="宋体" w:hAnsi="宋体" w:cs="宋体" w:eastAsia="宋体"/>
                      <w:sz w:val="24"/>
                    </w:rPr>
                    <w:t>1.1具有高度整体性，激光器，滤光片，光栅，探测器等均集成在同一主机内。</w:t>
                  </w:r>
                </w:p>
                <w:p>
                  <w:pPr>
                    <w:pStyle w:val="null3"/>
                    <w:jc w:val="both"/>
                  </w:pPr>
                  <w:r>
                    <w:rPr>
                      <w:rFonts w:ascii="宋体" w:hAnsi="宋体" w:cs="宋体" w:eastAsia="宋体"/>
                      <w:sz w:val="24"/>
                    </w:rPr>
                    <w:t>1.2内置全反射式平场校正单级光谱仪。</w:t>
                  </w:r>
                </w:p>
                <w:p>
                  <w:pPr>
                    <w:pStyle w:val="null3"/>
                    <w:jc w:val="both"/>
                  </w:pPr>
                  <w:r>
                    <w:rPr>
                      <w:rFonts w:ascii="宋体" w:hAnsi="宋体" w:cs="宋体" w:eastAsia="宋体"/>
                      <w:sz w:val="24"/>
                    </w:rPr>
                    <w:t>1.3★仪器采用针孔共焦技术，内置机械共焦针孔，非狭缝虚拟共焦和光纤。</w:t>
                  </w:r>
                </w:p>
                <w:p>
                  <w:pPr>
                    <w:pStyle w:val="null3"/>
                    <w:jc w:val="both"/>
                  </w:pPr>
                  <w:r>
                    <w:rPr>
                      <w:rFonts w:ascii="宋体" w:hAnsi="宋体" w:cs="宋体" w:eastAsia="宋体"/>
                      <w:sz w:val="24"/>
                    </w:rPr>
                    <w:t>1.4▲数据采集模式数量≥4种</w:t>
                  </w:r>
                </w:p>
                <w:p>
                  <w:pPr>
                    <w:pStyle w:val="null3"/>
                    <w:jc w:val="both"/>
                  </w:pPr>
                  <w:r>
                    <w:rPr>
                      <w:rFonts w:ascii="宋体" w:hAnsi="宋体" w:cs="宋体" w:eastAsia="宋体"/>
                      <w:sz w:val="24"/>
                    </w:rPr>
                    <w:t>1.5多账户管理：软件内置权限控制，具有≥3种不同级别管理权限。</w:t>
                  </w:r>
                </w:p>
                <w:p>
                  <w:pPr>
                    <w:pStyle w:val="null3"/>
                    <w:jc w:val="both"/>
                  </w:pPr>
                  <w:r>
                    <w:rPr>
                      <w:rFonts w:ascii="宋体" w:hAnsi="宋体" w:cs="宋体" w:eastAsia="宋体"/>
                      <w:sz w:val="24"/>
                    </w:rPr>
                    <w:t>1.6</w:t>
                  </w:r>
                  <w:r>
                    <w:rPr>
                      <w:rFonts w:ascii="宋体" w:hAnsi="宋体" w:cs="宋体" w:eastAsia="宋体"/>
                      <w:sz w:val="24"/>
                    </w:rPr>
                    <w:t>▲</w:t>
                  </w:r>
                  <w:r>
                    <w:rPr>
                      <w:rFonts w:ascii="宋体" w:hAnsi="宋体" w:cs="宋体" w:eastAsia="宋体"/>
                      <w:sz w:val="24"/>
                    </w:rPr>
                    <w:t>扩展性：升级可与原子力显微镜联用。</w:t>
                  </w:r>
                </w:p>
                <w:p>
                  <w:pPr>
                    <w:pStyle w:val="null3"/>
                    <w:jc w:val="both"/>
                  </w:pPr>
                  <w:r>
                    <w:rPr>
                      <w:rFonts w:ascii="宋体" w:hAnsi="宋体" w:cs="宋体" w:eastAsia="宋体"/>
                      <w:sz w:val="24"/>
                    </w:rPr>
                    <w:t>2.自动化功能</w:t>
                  </w:r>
                </w:p>
                <w:p>
                  <w:pPr>
                    <w:pStyle w:val="null3"/>
                    <w:jc w:val="both"/>
                  </w:pPr>
                  <w:r>
                    <w:rPr>
                      <w:rFonts w:ascii="宋体" w:hAnsi="宋体" w:cs="宋体" w:eastAsia="宋体"/>
                      <w:sz w:val="24"/>
                    </w:rPr>
                    <w:t>2.1</w:t>
                  </w:r>
                  <w:r>
                    <w:rPr>
                      <w:rFonts w:ascii="宋体" w:hAnsi="宋体" w:cs="宋体" w:eastAsia="宋体"/>
                      <w:sz w:val="24"/>
                    </w:rPr>
                    <w:t>▲</w:t>
                  </w:r>
                  <w:r>
                    <w:rPr>
                      <w:rFonts w:ascii="宋体" w:hAnsi="宋体" w:cs="宋体" w:eastAsia="宋体"/>
                      <w:sz w:val="24"/>
                    </w:rPr>
                    <w:t>自动切换激发波长：</w:t>
                  </w:r>
                  <w:r>
                    <w:rPr>
                      <w:rFonts w:ascii="宋体" w:hAnsi="宋体" w:cs="宋体" w:eastAsia="宋体"/>
                      <w:sz w:val="24"/>
                    </w:rPr>
                    <w:t>软件控制一键式切换多个激发波长，无需任何手动插拔和调整。</w:t>
                  </w:r>
                </w:p>
                <w:p>
                  <w:pPr>
                    <w:pStyle w:val="null3"/>
                    <w:jc w:val="both"/>
                  </w:pPr>
                  <w:r>
                    <w:rPr>
                      <w:rFonts w:ascii="宋体" w:hAnsi="宋体" w:cs="宋体" w:eastAsia="宋体"/>
                      <w:sz w:val="24"/>
                    </w:rPr>
                    <w:t>2.2自动切换白光照明和拉曼测量。</w:t>
                  </w:r>
                </w:p>
                <w:p>
                  <w:pPr>
                    <w:pStyle w:val="null3"/>
                    <w:jc w:val="both"/>
                  </w:pPr>
                  <w:r>
                    <w:rPr>
                      <w:rFonts w:ascii="宋体" w:hAnsi="宋体" w:cs="宋体" w:eastAsia="宋体"/>
                      <w:sz w:val="24"/>
                    </w:rPr>
                    <w:t>2.3自动切换共焦针孔，自动切换狭缝。</w:t>
                  </w:r>
                </w:p>
                <w:p>
                  <w:pPr>
                    <w:pStyle w:val="null3"/>
                    <w:jc w:val="both"/>
                  </w:pPr>
                  <w:r>
                    <w:rPr>
                      <w:rFonts w:ascii="宋体" w:hAnsi="宋体" w:cs="宋体" w:eastAsia="宋体"/>
                      <w:sz w:val="24"/>
                    </w:rPr>
                    <w:t>2.4▲自动切换≥4块光栅。</w:t>
                  </w:r>
                </w:p>
                <w:p>
                  <w:pPr>
                    <w:pStyle w:val="null3"/>
                    <w:jc w:val="both"/>
                  </w:pPr>
                  <w:r>
                    <w:rPr>
                      <w:rFonts w:ascii="宋体" w:hAnsi="宋体" w:cs="宋体" w:eastAsia="宋体"/>
                      <w:sz w:val="24"/>
                    </w:rPr>
                    <w:t>2.5自动波长和强度校准，自动仪器状态校验。</w:t>
                  </w:r>
                </w:p>
                <w:p>
                  <w:pPr>
                    <w:pStyle w:val="null3"/>
                    <w:jc w:val="both"/>
                  </w:pPr>
                  <w:r>
                    <w:rPr>
                      <w:rFonts w:ascii="宋体" w:hAnsi="宋体" w:cs="宋体" w:eastAsia="宋体"/>
                      <w:sz w:val="24"/>
                    </w:rPr>
                    <w:t>2.6自动荧光背影校正，自动曝光。</w:t>
                  </w:r>
                </w:p>
                <w:p>
                  <w:pPr>
                    <w:pStyle w:val="null3"/>
                    <w:jc w:val="both"/>
                  </w:pPr>
                  <w:r>
                    <w:rPr>
                      <w:rFonts w:ascii="宋体" w:hAnsi="宋体" w:cs="宋体" w:eastAsia="宋体"/>
                      <w:sz w:val="24"/>
                    </w:rPr>
                    <w:t>3.激发波长（包括激光器、光学元件及滤光片等）</w:t>
                  </w:r>
                </w:p>
                <w:p>
                  <w:pPr>
                    <w:pStyle w:val="null3"/>
                    <w:jc w:val="both"/>
                  </w:pPr>
                  <w:r>
                    <w:rPr>
                      <w:rFonts w:ascii="宋体" w:hAnsi="宋体" w:cs="宋体" w:eastAsia="宋体"/>
                      <w:sz w:val="24"/>
                    </w:rPr>
                    <w:t>3.1 532nm高稳定性固体激光器，激光输出功率≥90mW。</w:t>
                  </w:r>
                </w:p>
                <w:p>
                  <w:pPr>
                    <w:pStyle w:val="null3"/>
                    <w:jc w:val="both"/>
                  </w:pPr>
                  <w:r>
                    <w:rPr>
                      <w:rFonts w:ascii="宋体" w:hAnsi="宋体" w:cs="宋体" w:eastAsia="宋体"/>
                      <w:sz w:val="24"/>
                    </w:rPr>
                    <w:t>3.2 785nm高稳定性固体激光器，激光输出功率≥90mW。</w:t>
                  </w:r>
                </w:p>
                <w:p>
                  <w:pPr>
                    <w:pStyle w:val="null3"/>
                    <w:jc w:val="both"/>
                  </w:pPr>
                  <w:r>
                    <w:rPr>
                      <w:rFonts w:ascii="宋体" w:hAnsi="宋体" w:cs="宋体" w:eastAsia="宋体"/>
                      <w:sz w:val="24"/>
                    </w:rPr>
                    <w:t>3.3使用高性能Edge瑞利滤光片，2片，达到低波数效果。</w:t>
                  </w:r>
                </w:p>
                <w:p>
                  <w:pPr>
                    <w:pStyle w:val="null3"/>
                    <w:jc w:val="both"/>
                  </w:pPr>
                  <w:r>
                    <w:rPr>
                      <w:rFonts w:ascii="宋体" w:hAnsi="宋体" w:cs="宋体" w:eastAsia="宋体"/>
                      <w:sz w:val="24"/>
                    </w:rPr>
                    <w:t>3.4软件控制，自动切换激光光路。</w:t>
                  </w:r>
                </w:p>
                <w:p>
                  <w:pPr>
                    <w:pStyle w:val="null3"/>
                    <w:jc w:val="both"/>
                  </w:pPr>
                  <w:r>
                    <w:rPr>
                      <w:rFonts w:ascii="宋体" w:hAnsi="宋体" w:cs="宋体" w:eastAsia="宋体"/>
                      <w:sz w:val="24"/>
                    </w:rPr>
                    <w:t>4.研究级显微镜</w:t>
                  </w:r>
                </w:p>
                <w:p>
                  <w:pPr>
                    <w:pStyle w:val="null3"/>
                    <w:jc w:val="both"/>
                  </w:pPr>
                  <w:r>
                    <w:rPr>
                      <w:rFonts w:ascii="宋体" w:hAnsi="宋体" w:cs="宋体" w:eastAsia="宋体"/>
                      <w:sz w:val="24"/>
                    </w:rPr>
                    <w:t>4.1高稳定性研究级显微镜。</w:t>
                  </w:r>
                </w:p>
                <w:p>
                  <w:pPr>
                    <w:pStyle w:val="null3"/>
                    <w:jc w:val="both"/>
                  </w:pPr>
                  <w:r>
                    <w:rPr>
                      <w:rFonts w:ascii="宋体" w:hAnsi="宋体" w:cs="宋体" w:eastAsia="宋体"/>
                      <w:sz w:val="24"/>
                    </w:rPr>
                    <w:t>4.2采用双摄像头设计（顶部和侧向）：摄像头≥500万像素。</w:t>
                  </w:r>
                </w:p>
                <w:p>
                  <w:pPr>
                    <w:pStyle w:val="null3"/>
                    <w:jc w:val="both"/>
                  </w:pPr>
                  <w:r>
                    <w:rPr>
                      <w:rFonts w:ascii="宋体" w:hAnsi="宋体" w:cs="宋体" w:eastAsia="宋体"/>
                      <w:sz w:val="24"/>
                    </w:rPr>
                    <w:t>4.3同时观察样品和激光光斑，以精确定位激光激发样品点。</w:t>
                  </w:r>
                </w:p>
                <w:p>
                  <w:pPr>
                    <w:pStyle w:val="null3"/>
                    <w:jc w:val="both"/>
                  </w:pPr>
                  <w:r>
                    <w:rPr>
                      <w:rFonts w:ascii="宋体" w:hAnsi="宋体" w:cs="宋体" w:eastAsia="宋体"/>
                      <w:sz w:val="24"/>
                    </w:rPr>
                    <w:t>4.4反射及透射明场科勒白光照明。</w:t>
                  </w:r>
                </w:p>
                <w:p>
                  <w:pPr>
                    <w:pStyle w:val="null3"/>
                    <w:jc w:val="both"/>
                  </w:pPr>
                  <w:r>
                    <w:rPr>
                      <w:rFonts w:ascii="宋体" w:hAnsi="宋体" w:cs="宋体" w:eastAsia="宋体"/>
                      <w:sz w:val="24"/>
                    </w:rPr>
                    <w:t>4.5物镜：5X，10X（0.25, 10.6mm），100X (0.9,0.21mm), 50X长焦物镜（工作距离≥10mm）。</w:t>
                  </w:r>
                </w:p>
                <w:p>
                  <w:pPr>
                    <w:pStyle w:val="null3"/>
                    <w:jc w:val="both"/>
                  </w:pPr>
                  <w:r>
                    <w:rPr>
                      <w:rFonts w:ascii="宋体" w:hAnsi="宋体" w:cs="宋体" w:eastAsia="宋体"/>
                      <w:sz w:val="24"/>
                    </w:rPr>
                    <w:t>4.6物镜到样品台空间可调节，至少有50mm空间放置原位样品台。</w:t>
                  </w:r>
                </w:p>
                <w:p>
                  <w:pPr>
                    <w:pStyle w:val="null3"/>
                    <w:jc w:val="both"/>
                  </w:pPr>
                  <w:r>
                    <w:rPr>
                      <w:rFonts w:ascii="宋体" w:hAnsi="宋体" w:cs="宋体" w:eastAsia="宋体"/>
                      <w:sz w:val="24"/>
                    </w:rPr>
                    <w:t>5.针孔共焦技术</w:t>
                  </w:r>
                </w:p>
                <w:p>
                  <w:pPr>
                    <w:pStyle w:val="null3"/>
                    <w:jc w:val="both"/>
                  </w:pPr>
                  <w:r>
                    <w:rPr>
                      <w:rFonts w:ascii="宋体" w:hAnsi="宋体" w:cs="宋体" w:eastAsia="宋体"/>
                      <w:sz w:val="24"/>
                    </w:rPr>
                    <w:t>5.1▲内置≥3个物理针孔，三维空间滤波，同时存在针孔和狭缝，同时保证高通光量和高分辨率。（需提供仪器内部物理针孔的实物照片作为技术证明文件）。</w:t>
                  </w:r>
                </w:p>
                <w:p>
                  <w:pPr>
                    <w:pStyle w:val="null3"/>
                    <w:jc w:val="both"/>
                  </w:pPr>
                  <w:r>
                    <w:rPr>
                      <w:rFonts w:ascii="宋体" w:hAnsi="宋体" w:cs="宋体" w:eastAsia="宋体"/>
                      <w:sz w:val="24"/>
                    </w:rPr>
                    <w:t>5.2采用软件控制共焦针孔，至少三档位自动调节。</w:t>
                  </w:r>
                </w:p>
                <w:p>
                  <w:pPr>
                    <w:pStyle w:val="null3"/>
                    <w:jc w:val="both"/>
                  </w:pPr>
                  <w:r>
                    <w:rPr>
                      <w:rFonts w:ascii="宋体" w:hAnsi="宋体" w:cs="宋体" w:eastAsia="宋体"/>
                      <w:sz w:val="24"/>
                    </w:rPr>
                    <w:t>5.3采用自由光路耦合光谱仪，非光纤连接，保证高通光效率。</w:t>
                  </w:r>
                </w:p>
                <w:p>
                  <w:pPr>
                    <w:pStyle w:val="null3"/>
                    <w:jc w:val="both"/>
                  </w:pPr>
                  <w:r>
                    <w:rPr>
                      <w:rFonts w:ascii="宋体" w:hAnsi="宋体" w:cs="宋体" w:eastAsia="宋体"/>
                      <w:sz w:val="24"/>
                    </w:rPr>
                    <w:t>6.光谱仪</w:t>
                  </w:r>
                </w:p>
                <w:p>
                  <w:pPr>
                    <w:pStyle w:val="null3"/>
                    <w:jc w:val="both"/>
                  </w:pPr>
                  <w:r>
                    <w:rPr>
                      <w:rFonts w:ascii="宋体" w:hAnsi="宋体" w:cs="宋体" w:eastAsia="宋体"/>
                      <w:sz w:val="24"/>
                    </w:rPr>
                    <w:t>6.1拉曼频移范围：≥60-9000 cm</w:t>
                  </w:r>
                  <w:r>
                    <w:rPr>
                      <w:rFonts w:ascii="宋体" w:hAnsi="宋体" w:cs="宋体" w:eastAsia="宋体"/>
                      <w:sz w:val="24"/>
                      <w:vertAlign w:val="superscript"/>
                    </w:rPr>
                    <w:t>-1</w:t>
                  </w:r>
                  <w:r>
                    <w:rPr>
                      <w:rFonts w:ascii="宋体" w:hAnsi="宋体" w:cs="宋体" w:eastAsia="宋体"/>
                      <w:sz w:val="24"/>
                    </w:rPr>
                    <w:t>（</w:t>
                  </w:r>
                  <w:r>
                    <w:rPr>
                      <w:rFonts w:ascii="宋体" w:hAnsi="宋体" w:cs="宋体" w:eastAsia="宋体"/>
                      <w:sz w:val="24"/>
                    </w:rPr>
                    <w:t>532nm激发），50cm</w:t>
                  </w:r>
                  <w:r>
                    <w:rPr>
                      <w:rFonts w:ascii="宋体" w:hAnsi="宋体" w:cs="宋体" w:eastAsia="宋体"/>
                      <w:sz w:val="24"/>
                      <w:vertAlign w:val="superscript"/>
                    </w:rPr>
                    <w:t>-1</w:t>
                  </w:r>
                  <w:r>
                    <w:rPr>
                      <w:rFonts w:ascii="宋体" w:hAnsi="宋体" w:cs="宋体" w:eastAsia="宋体"/>
                      <w:sz w:val="24"/>
                    </w:rPr>
                    <w:t>-3200cm</w:t>
                  </w:r>
                  <w:r>
                    <w:rPr>
                      <w:rFonts w:ascii="宋体" w:hAnsi="宋体" w:cs="宋体" w:eastAsia="宋体"/>
                      <w:sz w:val="24"/>
                      <w:vertAlign w:val="superscript"/>
                    </w:rPr>
                    <w:t>-1</w:t>
                  </w:r>
                  <w:r>
                    <w:rPr>
                      <w:rFonts w:ascii="宋体" w:hAnsi="宋体" w:cs="宋体" w:eastAsia="宋体"/>
                      <w:sz w:val="24"/>
                    </w:rPr>
                    <w:t>（</w:t>
                  </w:r>
                  <w:r>
                    <w:rPr>
                      <w:rFonts w:ascii="宋体" w:hAnsi="宋体" w:cs="宋体" w:eastAsia="宋体"/>
                      <w:sz w:val="24"/>
                    </w:rPr>
                    <w:t>785nm激发）。</w:t>
                  </w:r>
                </w:p>
                <w:p>
                  <w:pPr>
                    <w:pStyle w:val="null3"/>
                    <w:jc w:val="both"/>
                  </w:pPr>
                  <w:r>
                    <w:rPr>
                      <w:rFonts w:ascii="宋体" w:hAnsi="宋体" w:cs="宋体" w:eastAsia="宋体"/>
                      <w:sz w:val="24"/>
                    </w:rPr>
                    <w:t>6.2</w:t>
                  </w:r>
                  <w:r>
                    <w:rPr>
                      <w:rFonts w:ascii="宋体" w:hAnsi="宋体" w:cs="宋体" w:eastAsia="宋体"/>
                      <w:sz w:val="24"/>
                    </w:rPr>
                    <w:t>▲</w:t>
                  </w:r>
                  <w:r>
                    <w:rPr>
                      <w:rFonts w:ascii="宋体" w:hAnsi="宋体" w:cs="宋体" w:eastAsia="宋体"/>
                      <w:sz w:val="24"/>
                    </w:rPr>
                    <w:t>光谱分辨率：</w:t>
                  </w:r>
                </w:p>
                <w:p>
                  <w:pPr>
                    <w:pStyle w:val="null3"/>
                    <w:jc w:val="both"/>
                  </w:pPr>
                  <w:r>
                    <w:rPr>
                      <w:rFonts w:ascii="宋体" w:hAnsi="宋体" w:cs="宋体" w:eastAsia="宋体"/>
                      <w:sz w:val="24"/>
                    </w:rPr>
                    <w:t>≤1cm</w:t>
                  </w:r>
                  <w:r>
                    <w:rPr>
                      <w:rFonts w:ascii="宋体" w:hAnsi="宋体" w:cs="宋体" w:eastAsia="宋体"/>
                      <w:sz w:val="24"/>
                      <w:vertAlign w:val="superscript"/>
                    </w:rPr>
                    <w:t>-1</w:t>
                  </w:r>
                  <w:r>
                    <w:rPr>
                      <w:rFonts w:ascii="宋体" w:hAnsi="宋体" w:cs="宋体" w:eastAsia="宋体"/>
                      <w:sz w:val="24"/>
                    </w:rPr>
                    <w:t>（氖灯线半高宽，测试条件：</w:t>
                  </w:r>
                  <w:r>
                    <w:rPr>
                      <w:rFonts w:ascii="宋体" w:hAnsi="宋体" w:cs="宋体" w:eastAsia="宋体"/>
                      <w:sz w:val="24"/>
                    </w:rPr>
                    <w:t>≤1800光栅，狭缝宽度≥50μm）。</w:t>
                  </w:r>
                </w:p>
                <w:p>
                  <w:pPr>
                    <w:pStyle w:val="null3"/>
                    <w:jc w:val="both"/>
                  </w:pPr>
                  <w:r>
                    <w:rPr>
                      <w:rFonts w:ascii="宋体" w:hAnsi="宋体" w:cs="宋体" w:eastAsia="宋体"/>
                      <w:sz w:val="24"/>
                    </w:rPr>
                    <w:t>6.3灵敏度：硅三阶峰的信噪比≥30 :1，并能观察到四阶峰。</w:t>
                  </w:r>
                </w:p>
                <w:p>
                  <w:pPr>
                    <w:pStyle w:val="null3"/>
                    <w:jc w:val="both"/>
                  </w:pPr>
                  <w:r>
                    <w:rPr>
                      <w:rFonts w:ascii="宋体" w:hAnsi="宋体" w:cs="宋体" w:eastAsia="宋体"/>
                      <w:sz w:val="24"/>
                    </w:rPr>
                    <w:t>6.4重复性：≤±0.02cm</w:t>
                  </w:r>
                  <w:r>
                    <w:rPr>
                      <w:rFonts w:ascii="宋体" w:hAnsi="宋体" w:cs="宋体" w:eastAsia="宋体"/>
                      <w:sz w:val="24"/>
                      <w:vertAlign w:val="superscript"/>
                    </w:rPr>
                    <w:t>-1</w:t>
                  </w:r>
                  <w:r>
                    <w:rPr>
                      <w:rFonts w:ascii="宋体" w:hAnsi="宋体" w:cs="宋体" w:eastAsia="宋体"/>
                      <w:sz w:val="24"/>
                    </w:rPr>
                    <w:t>（</w:t>
                  </w:r>
                  <w:r>
                    <w:rPr>
                      <w:rFonts w:ascii="宋体" w:hAnsi="宋体" w:cs="宋体" w:eastAsia="宋体"/>
                      <w:sz w:val="24"/>
                    </w:rPr>
                    <w:t>30次测量Si 520cm</w:t>
                  </w:r>
                  <w:r>
                    <w:rPr>
                      <w:rFonts w:ascii="宋体" w:hAnsi="宋体" w:cs="宋体" w:eastAsia="宋体"/>
                      <w:sz w:val="24"/>
                      <w:vertAlign w:val="superscript"/>
                    </w:rPr>
                    <w:t>-1</w:t>
                  </w:r>
                  <w:r>
                    <w:rPr>
                      <w:rFonts w:ascii="宋体" w:hAnsi="宋体" w:cs="宋体" w:eastAsia="宋体"/>
                      <w:sz w:val="24"/>
                    </w:rPr>
                    <w:t>拉曼峰）。</w:t>
                  </w:r>
                </w:p>
                <w:p>
                  <w:pPr>
                    <w:pStyle w:val="null3"/>
                    <w:jc w:val="both"/>
                  </w:pPr>
                  <w:r>
                    <w:rPr>
                      <w:rFonts w:ascii="宋体" w:hAnsi="宋体" w:cs="宋体" w:eastAsia="宋体"/>
                      <w:sz w:val="24"/>
                    </w:rPr>
                    <w:t>6.5★内置 ≥4块光栅：包括</w:t>
                  </w:r>
                  <w:r>
                    <w:rPr>
                      <w:rFonts w:ascii="宋体" w:hAnsi="宋体" w:cs="宋体" w:eastAsia="宋体"/>
                      <w:sz w:val="24"/>
                    </w:rPr>
                    <w:t>2400gr/mm, 1800gr/mm, 1200gr/mm和600gr/mm，所有光栅均内置在光谱仪内，软件控制</w:t>
                  </w:r>
                  <w:r>
                    <w:rPr>
                      <w:rFonts w:ascii="宋体" w:hAnsi="宋体" w:cs="宋体" w:eastAsia="宋体"/>
                      <w:sz w:val="24"/>
                    </w:rPr>
                    <w:t>自动切换。</w:t>
                  </w:r>
                </w:p>
                <w:p>
                  <w:pPr>
                    <w:pStyle w:val="null3"/>
                    <w:jc w:val="both"/>
                  </w:pPr>
                  <w:r>
                    <w:rPr>
                      <w:rFonts w:ascii="宋体" w:hAnsi="宋体" w:cs="宋体" w:eastAsia="宋体"/>
                      <w:sz w:val="24"/>
                    </w:rPr>
                    <w:t>6.6全谱直读技术：采集光谱过程中光栅不转，100-4000cm</w:t>
                  </w:r>
                  <w:r>
                    <w:rPr>
                      <w:rFonts w:ascii="宋体" w:hAnsi="宋体" w:cs="宋体" w:eastAsia="宋体"/>
                      <w:sz w:val="24"/>
                      <w:vertAlign w:val="superscript"/>
                    </w:rPr>
                    <w:t>-1</w:t>
                  </w:r>
                  <w:r>
                    <w:rPr>
                      <w:rFonts w:ascii="宋体" w:hAnsi="宋体" w:cs="宋体" w:eastAsia="宋体"/>
                      <w:sz w:val="24"/>
                    </w:rPr>
                    <w:t>一次性同步采集，避免在线监控起点和终点不同步。</w:t>
                  </w:r>
                </w:p>
                <w:p>
                  <w:pPr>
                    <w:pStyle w:val="null3"/>
                    <w:jc w:val="both"/>
                  </w:pPr>
                  <w:r>
                    <w:rPr>
                      <w:rFonts w:ascii="宋体" w:hAnsi="宋体" w:cs="宋体" w:eastAsia="宋体"/>
                      <w:sz w:val="24"/>
                    </w:rPr>
                    <w:t>6.7高分辨光谱拼接技术：采用2400gr/mm一次性连续扫描100-4000cm</w:t>
                  </w:r>
                  <w:r>
                    <w:rPr>
                      <w:rFonts w:ascii="宋体" w:hAnsi="宋体" w:cs="宋体" w:eastAsia="宋体"/>
                      <w:sz w:val="24"/>
                      <w:vertAlign w:val="superscript"/>
                    </w:rPr>
                    <w:t>-1</w:t>
                  </w:r>
                  <w:r>
                    <w:rPr>
                      <w:rFonts w:ascii="宋体" w:hAnsi="宋体" w:cs="宋体" w:eastAsia="宋体"/>
                      <w:sz w:val="24"/>
                    </w:rPr>
                    <w:t>，无缝拼接，获得高分辨率拉曼光谱。</w:t>
                  </w:r>
                </w:p>
                <w:p>
                  <w:pPr>
                    <w:pStyle w:val="null3"/>
                    <w:jc w:val="both"/>
                  </w:pPr>
                  <w:r>
                    <w:rPr>
                      <w:rFonts w:ascii="宋体" w:hAnsi="宋体" w:cs="宋体" w:eastAsia="宋体"/>
                      <w:sz w:val="24"/>
                    </w:rPr>
                    <w:t>6.8采用Czerny Turner反射式光路设计，整个光谱范围内无色差，切换波长时无需更换光谱仪内的光学元件，无需重新调整仪器。</w:t>
                  </w:r>
                </w:p>
                <w:p>
                  <w:pPr>
                    <w:pStyle w:val="null3"/>
                    <w:jc w:val="both"/>
                  </w:pPr>
                  <w:r>
                    <w:rPr>
                      <w:rFonts w:ascii="宋体" w:hAnsi="宋体" w:cs="宋体" w:eastAsia="宋体"/>
                      <w:sz w:val="24"/>
                    </w:rPr>
                    <w:t>6.9 TE制冷开放电极式CCD探测器，≥1024*256像素，量子效率：≥50%(峰值),暗噪声：0.002 e-/pixel/s（16um像素相对值）。</w:t>
                  </w:r>
                </w:p>
                <w:p>
                  <w:pPr>
                    <w:pStyle w:val="null3"/>
                    <w:jc w:val="both"/>
                  </w:pPr>
                  <w:r>
                    <w:rPr>
                      <w:rFonts w:ascii="宋体" w:hAnsi="宋体" w:cs="宋体" w:eastAsia="宋体"/>
                      <w:sz w:val="24"/>
                    </w:rPr>
                    <w:t>7.XYZ自动平台</w:t>
                  </w:r>
                </w:p>
                <w:p>
                  <w:pPr>
                    <w:pStyle w:val="null3"/>
                    <w:jc w:val="both"/>
                  </w:pPr>
                  <w:r>
                    <w:rPr>
                      <w:rFonts w:ascii="宋体" w:hAnsi="宋体" w:cs="宋体" w:eastAsia="宋体"/>
                      <w:sz w:val="24"/>
                    </w:rPr>
                    <w:t>7.1XYZ自动平台：X≥75mm；Y≥50mm；Z≥20mm。</w:t>
                  </w:r>
                </w:p>
                <w:p>
                  <w:pPr>
                    <w:pStyle w:val="null3"/>
                    <w:jc w:val="both"/>
                  </w:pPr>
                  <w:r>
                    <w:rPr>
                      <w:rFonts w:ascii="宋体" w:hAnsi="宋体" w:cs="宋体" w:eastAsia="宋体"/>
                      <w:sz w:val="24"/>
                    </w:rPr>
                    <w:t>7.2★XYZ最小步进10nm。扫描范围75mm*50mm，采用单一平台进行大面积和高分辨成像。</w:t>
                  </w:r>
                </w:p>
                <w:p>
                  <w:pPr>
                    <w:pStyle w:val="null3"/>
                    <w:jc w:val="both"/>
                  </w:pPr>
                  <w:r>
                    <w:rPr>
                      <w:rFonts w:ascii="宋体" w:hAnsi="宋体" w:cs="宋体" w:eastAsia="宋体"/>
                      <w:sz w:val="24"/>
                    </w:rPr>
                    <w:t>7.3自动定位测量点和进行光谱成像。</w:t>
                  </w:r>
                </w:p>
                <w:p>
                  <w:pPr>
                    <w:pStyle w:val="null3"/>
                    <w:jc w:val="both"/>
                  </w:pPr>
                  <w:r>
                    <w:rPr>
                      <w:rFonts w:ascii="宋体" w:hAnsi="宋体" w:cs="宋体" w:eastAsia="宋体"/>
                      <w:sz w:val="24"/>
                    </w:rPr>
                    <w:t>8.大面积超快速成像附件</w:t>
                  </w:r>
                </w:p>
                <w:p>
                  <w:pPr>
                    <w:pStyle w:val="null3"/>
                    <w:jc w:val="both"/>
                  </w:pPr>
                  <w:r>
                    <w:rPr>
                      <w:rFonts w:ascii="宋体" w:hAnsi="宋体" w:cs="宋体" w:eastAsia="宋体"/>
                      <w:sz w:val="24"/>
                    </w:rPr>
                    <w:t>8.1软件控制，自动选择普通模式和超快速成像模式，无需更换光学元件和调整仪器。</w:t>
                  </w:r>
                </w:p>
                <w:p>
                  <w:pPr>
                    <w:pStyle w:val="null3"/>
                    <w:jc w:val="both"/>
                  </w:pPr>
                  <w:r>
                    <w:rPr>
                      <w:rFonts w:ascii="宋体" w:hAnsi="宋体" w:cs="宋体" w:eastAsia="宋体"/>
                      <w:sz w:val="24"/>
                    </w:rPr>
                    <w:t>8.2集成拉曼软件包，包括实时数据采集，处理，显示等功能，可针对特定拉曼峰位，半高宽，强度，峰面积，全谱分析等进行成像。</w:t>
                  </w:r>
                </w:p>
                <w:p>
                  <w:pPr>
                    <w:pStyle w:val="null3"/>
                    <w:jc w:val="both"/>
                  </w:pPr>
                  <w:r>
                    <w:rPr>
                      <w:rFonts w:ascii="宋体" w:hAnsi="宋体" w:cs="宋体" w:eastAsia="宋体"/>
                      <w:sz w:val="24"/>
                    </w:rPr>
                    <w:t>8.3适用于各个激发波长。</w:t>
                  </w:r>
                </w:p>
                <w:p>
                  <w:pPr>
                    <w:pStyle w:val="null3"/>
                    <w:jc w:val="both"/>
                  </w:pPr>
                  <w:r>
                    <w:rPr>
                      <w:rFonts w:ascii="宋体" w:hAnsi="宋体" w:cs="宋体" w:eastAsia="宋体"/>
                      <w:sz w:val="24"/>
                    </w:rPr>
                    <w:t>8.4超快速成像最短积分时间≤10ms。</w:t>
                  </w:r>
                </w:p>
                <w:p>
                  <w:pPr>
                    <w:pStyle w:val="null3"/>
                    <w:jc w:val="both"/>
                  </w:pPr>
                  <w:r>
                    <w:rPr>
                      <w:rFonts w:ascii="宋体" w:hAnsi="宋体" w:cs="宋体" w:eastAsia="宋体"/>
                      <w:sz w:val="24"/>
                    </w:rPr>
                    <w:t>8.5 超快速成像范围75mm*50mm，采用单一平台进行超快速大面积成像。</w:t>
                  </w:r>
                </w:p>
                <w:p>
                  <w:pPr>
                    <w:pStyle w:val="null3"/>
                    <w:jc w:val="both"/>
                  </w:pPr>
                  <w:r>
                    <w:rPr>
                      <w:rFonts w:ascii="宋体" w:hAnsi="宋体" w:cs="宋体" w:eastAsia="宋体"/>
                      <w:sz w:val="24"/>
                    </w:rPr>
                    <w:t>9.实时聚焦附件：</w:t>
                  </w:r>
                </w:p>
                <w:p>
                  <w:pPr>
                    <w:pStyle w:val="null3"/>
                    <w:jc w:val="both"/>
                  </w:pPr>
                  <w:r>
                    <w:rPr>
                      <w:rFonts w:ascii="宋体" w:hAnsi="宋体" w:cs="宋体" w:eastAsia="宋体"/>
                      <w:sz w:val="24"/>
                    </w:rPr>
                    <w:t>9.1▲通过软件控制样品移动，采用反馈信号（激光信号，拉曼型号，白光信号）对应显微图像实时聚焦。（需提供不同反馈信号的实际测试视频作为技术证明文件）。</w:t>
                  </w:r>
                </w:p>
                <w:p>
                  <w:pPr>
                    <w:pStyle w:val="null3"/>
                    <w:jc w:val="both"/>
                  </w:pPr>
                  <w:r>
                    <w:rPr>
                      <w:rFonts w:ascii="宋体" w:hAnsi="宋体" w:cs="宋体" w:eastAsia="宋体"/>
                      <w:sz w:val="24"/>
                    </w:rPr>
                    <w:t>9.2</w:t>
                  </w:r>
                  <w:r>
                    <w:rPr>
                      <w:rFonts w:ascii="宋体" w:hAnsi="宋体" w:cs="宋体" w:eastAsia="宋体"/>
                      <w:sz w:val="24"/>
                    </w:rPr>
                    <w:t>▲</w:t>
                  </w:r>
                  <w:r>
                    <w:rPr>
                      <w:rFonts w:ascii="宋体" w:hAnsi="宋体" w:cs="宋体" w:eastAsia="宋体"/>
                      <w:sz w:val="24"/>
                    </w:rPr>
                    <w:t>具备</w:t>
                  </w:r>
                  <w:r>
                    <w:rPr>
                      <w:rFonts w:ascii="宋体" w:hAnsi="宋体" w:cs="宋体" w:eastAsia="宋体"/>
                      <w:sz w:val="24"/>
                    </w:rPr>
                    <w:t>Z轴巡航聚焦功能，可实现表面凹凸样品快速获取粗糙表面3D形貌图像。</w:t>
                  </w:r>
                </w:p>
                <w:p>
                  <w:pPr>
                    <w:pStyle w:val="null3"/>
                    <w:jc w:val="both"/>
                  </w:pPr>
                  <w:r>
                    <w:rPr>
                      <w:rFonts w:ascii="宋体" w:hAnsi="宋体" w:cs="宋体" w:eastAsia="宋体"/>
                      <w:sz w:val="24"/>
                    </w:rPr>
                    <w:t>9.3超快速进行粗糙表面拉曼实时成像。</w:t>
                  </w:r>
                </w:p>
                <w:p>
                  <w:pPr>
                    <w:pStyle w:val="null3"/>
                    <w:jc w:val="both"/>
                  </w:pPr>
                  <w:r>
                    <w:rPr>
                      <w:rFonts w:ascii="宋体" w:hAnsi="宋体" w:cs="宋体" w:eastAsia="宋体"/>
                      <w:sz w:val="24"/>
                    </w:rPr>
                    <w:t>10.计算机及软件包：</w:t>
                  </w:r>
                </w:p>
                <w:p>
                  <w:pPr>
                    <w:pStyle w:val="null3"/>
                    <w:jc w:val="both"/>
                  </w:pPr>
                  <w:r>
                    <w:rPr>
                      <w:rFonts w:ascii="宋体" w:hAnsi="宋体" w:cs="宋体" w:eastAsia="宋体"/>
                      <w:sz w:val="24"/>
                    </w:rPr>
                    <w:t>10.1主流机型：Intel i7 中央处理器，16G内存，256G固态硬盘，2T硬盘，16X刻录机，23英寸显示器，Windows10操作系统。</w:t>
                  </w:r>
                </w:p>
                <w:p>
                  <w:pPr>
                    <w:pStyle w:val="null3"/>
                    <w:jc w:val="both"/>
                  </w:pPr>
                  <w:r>
                    <w:rPr>
                      <w:rFonts w:ascii="宋体" w:hAnsi="宋体" w:cs="宋体" w:eastAsia="宋体"/>
                      <w:sz w:val="24"/>
                    </w:rPr>
                    <w:t>10.2专业拉曼PL光谱采集和处理软件包（支持中英文） - 包括仪器控制，数据采集、计算和处理及曲线拟合等各项功能。</w:t>
                  </w:r>
                </w:p>
                <w:p>
                  <w:pPr>
                    <w:pStyle w:val="null3"/>
                    <w:jc w:val="both"/>
                  </w:pPr>
                  <w:r>
                    <w:rPr>
                      <w:rFonts w:ascii="宋体" w:hAnsi="宋体" w:cs="宋体" w:eastAsia="宋体"/>
                      <w:sz w:val="24"/>
                    </w:rPr>
                    <w:t>10.3报告输出：可自定义输出报告模板，自动输出实验报告</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标的名称：纤维表面等离子体处理系统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 </w:t>
            </w:r>
          </w:p>
          <w:p>
            <w:pPr>
              <w:pStyle w:val="null3"/>
            </w:pPr>
            <w:r>
              <w:rPr>
                <w:rFonts w:ascii="宋体" w:hAnsi="宋体" w:cs="宋体" w:eastAsia="宋体"/>
                <w:sz w:val="24"/>
              </w:rPr>
              <w:t>★</w:t>
            </w:r>
            <w:r>
              <w:rPr>
                <w:rFonts w:ascii="宋体" w:hAnsi="宋体" w:cs="宋体" w:eastAsia="宋体"/>
                <w:sz w:val="24"/>
                <w:b/>
              </w:rPr>
              <w:t>号项条款为实质性响应条款，不允许负偏离，且须提供相应的指标证明文件，负责视为无效文件。</w:t>
            </w:r>
          </w:p>
          <w:tbl>
            <w:tblPr>
              <w:tblBorders>
                <w:top w:val="none" w:color="000000" w:sz="4"/>
                <w:left w:val="none" w:color="000000" w:sz="4"/>
                <w:bottom w:val="none" w:color="000000" w:sz="4"/>
                <w:right w:val="none" w:color="000000" w:sz="4"/>
                <w:insideH w:val="none"/>
                <w:insideV w:val="none"/>
              </w:tblBorders>
            </w:tblPr>
            <w:tblGrid>
              <w:gridCol w:w="332"/>
              <w:gridCol w:w="215"/>
              <w:gridCol w:w="2001"/>
            </w:tblGrid>
            <w:tr>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参数性质</w:t>
                  </w:r>
                </w:p>
              </w:tc>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2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技术参数与性能指标</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技术标准</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1</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shd w:fill="FFFFFF" w:val="clear"/>
                    </w:rPr>
                    <w:t>纤维表面等离子体处理系统</w:t>
                  </w:r>
                  <w:r>
                    <w:rPr>
                      <w:rFonts w:ascii="宋体" w:hAnsi="宋体" w:cs="宋体" w:eastAsia="宋体"/>
                      <w:sz w:val="24"/>
                      <w:shd w:fill="FFFFFF" w:val="clear"/>
                    </w:rPr>
                    <w:t xml:space="preserve">   </w:t>
                  </w:r>
                  <w:r>
                    <w:rPr>
                      <w:rFonts w:ascii="宋体" w:hAnsi="宋体" w:cs="宋体" w:eastAsia="宋体"/>
                      <w:sz w:val="24"/>
                      <w:shd w:fill="FFFFFF" w:val="clear"/>
                    </w:rPr>
                    <w:t>1套</w:t>
                  </w:r>
                </w:p>
                <w:p>
                  <w:pPr>
                    <w:pStyle w:val="null3"/>
                    <w:jc w:val="both"/>
                  </w:pPr>
                  <w:r>
                    <w:rPr>
                      <w:rFonts w:ascii="宋体" w:hAnsi="宋体" w:cs="宋体" w:eastAsia="宋体"/>
                      <w:sz w:val="24"/>
                    </w:rPr>
                    <w:t>1.</w:t>
                  </w:r>
                  <w:r>
                    <w:rPr>
                      <w:rFonts w:ascii="宋体" w:hAnsi="宋体" w:cs="宋体" w:eastAsia="宋体"/>
                      <w:sz w:val="24"/>
                    </w:rPr>
                    <w:t>本系统</w:t>
                  </w:r>
                  <w:r>
                    <w:rPr>
                      <w:rFonts w:ascii="宋体" w:hAnsi="宋体" w:cs="宋体" w:eastAsia="宋体"/>
                      <w:sz w:val="24"/>
                    </w:rPr>
                    <w:t>功能要求：</w:t>
                  </w:r>
                </w:p>
                <w:p>
                  <w:pPr>
                    <w:pStyle w:val="null3"/>
                    <w:ind w:firstLine="240"/>
                    <w:jc w:val="both"/>
                  </w:pPr>
                  <w:r>
                    <w:rPr>
                      <w:rFonts w:ascii="宋体" w:hAnsi="宋体" w:cs="宋体" w:eastAsia="宋体"/>
                      <w:sz w:val="24"/>
                    </w:rPr>
                    <w:t>（</w:t>
                  </w:r>
                  <w:r>
                    <w:rPr>
                      <w:rFonts w:ascii="宋体" w:hAnsi="宋体" w:cs="宋体" w:eastAsia="宋体"/>
                      <w:sz w:val="24"/>
                    </w:rPr>
                    <w:t>1）为满足材料科学与工程、高分子材料与工程专业、纺织复合材料及功能纤维表面处理方向的学生实验、教学和科研，</w:t>
                  </w:r>
                  <w:r>
                    <w:rPr>
                      <w:rFonts w:ascii="宋体" w:hAnsi="宋体" w:cs="宋体" w:eastAsia="宋体"/>
                      <w:sz w:val="24"/>
                    </w:rPr>
                    <w:t>纤维表面等离子体处理设备</w:t>
                  </w:r>
                  <w:r>
                    <w:rPr>
                      <w:rFonts w:ascii="宋体" w:hAnsi="宋体" w:cs="宋体" w:eastAsia="宋体"/>
                      <w:sz w:val="24"/>
                    </w:rPr>
                    <w:t>可</w:t>
                  </w:r>
                  <w:r>
                    <w:rPr>
                      <w:rFonts w:ascii="宋体" w:hAnsi="宋体" w:cs="宋体" w:eastAsia="宋体"/>
                      <w:sz w:val="24"/>
                    </w:rPr>
                    <w:t>实现改善纤维表面物理和化学性质，增强纤维与其他材料之间黏附力和相互作用</w:t>
                  </w:r>
                  <w:r>
                    <w:rPr>
                      <w:rFonts w:ascii="宋体" w:hAnsi="宋体" w:cs="宋体" w:eastAsia="宋体"/>
                      <w:sz w:val="24"/>
                    </w:rPr>
                    <w:t>等功能为实现目标奠定基础</w:t>
                  </w:r>
                  <w:r>
                    <w:rPr>
                      <w:rFonts w:ascii="宋体" w:hAnsi="宋体" w:cs="宋体" w:eastAsia="宋体"/>
                      <w:sz w:val="24"/>
                    </w:rPr>
                    <w:t>；</w:t>
                  </w:r>
                </w:p>
                <w:p>
                  <w:pPr>
                    <w:pStyle w:val="null3"/>
                    <w:ind w:firstLine="24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纤维表面等离子体处理设备为下位受控机，开发一套运行于主控上位机的软件，用大数据采集、存储、统计分析、算法归纳等相结合的物联网软硬件系统，让研究人员、教师、学生等能参与实战，总结出可用于纺织材料科研教学方面的技术方法。</w:t>
                  </w:r>
                </w:p>
                <w:p>
                  <w:pPr>
                    <w:pStyle w:val="null3"/>
                    <w:ind w:firstLine="240"/>
                    <w:jc w:val="both"/>
                  </w:pPr>
                  <w:r>
                    <w:rPr>
                      <w:rFonts w:ascii="宋体" w:hAnsi="宋体" w:cs="宋体" w:eastAsia="宋体"/>
                      <w:sz w:val="24"/>
                    </w:rPr>
                    <w:t>（</w:t>
                  </w:r>
                  <w:r>
                    <w:rPr>
                      <w:rFonts w:ascii="宋体" w:hAnsi="宋体" w:cs="宋体" w:eastAsia="宋体"/>
                      <w:sz w:val="24"/>
                    </w:rPr>
                    <w:t>3）开发的软件系统，实时监控设备运行，将各种科研</w:t>
                  </w:r>
                  <w:r>
                    <w:rPr>
                      <w:rFonts w:ascii="宋体" w:hAnsi="宋体" w:cs="宋体" w:eastAsia="宋体"/>
                      <w:sz w:val="24"/>
                    </w:rPr>
                    <w:t>、</w:t>
                  </w:r>
                  <w:r>
                    <w:rPr>
                      <w:rFonts w:ascii="宋体" w:hAnsi="宋体" w:cs="宋体" w:eastAsia="宋体"/>
                      <w:sz w:val="24"/>
                    </w:rPr>
                    <w:t>教学数据实时获取、展示和存储，用物联网、大数据、算法等软件助力更好的服务教学和科研，</w:t>
                  </w:r>
                  <w:r>
                    <w:rPr>
                      <w:rFonts w:ascii="宋体" w:hAnsi="宋体" w:cs="宋体" w:eastAsia="宋体"/>
                      <w:sz w:val="24"/>
                    </w:rPr>
                    <w:t>开辟</w:t>
                  </w:r>
                  <w:r>
                    <w:rPr>
                      <w:rFonts w:ascii="宋体" w:hAnsi="宋体" w:cs="宋体" w:eastAsia="宋体"/>
                      <w:sz w:val="24"/>
                    </w:rPr>
                    <w:t>AI科研尝试之路。</w:t>
                  </w:r>
                </w:p>
                <w:p>
                  <w:pPr>
                    <w:pStyle w:val="null3"/>
                    <w:ind w:firstLine="24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以</w:t>
                  </w:r>
                  <w:r>
                    <w:rPr>
                      <w:rFonts w:ascii="宋体" w:hAnsi="宋体" w:cs="宋体" w:eastAsia="宋体"/>
                      <w:sz w:val="24"/>
                    </w:rPr>
                    <w:t>此为范本，推广到其它，为学科建设发挥更大作用。</w:t>
                  </w:r>
                </w:p>
                <w:p>
                  <w:pPr>
                    <w:pStyle w:val="null3"/>
                    <w:jc w:val="both"/>
                  </w:pPr>
                  <w:r>
                    <w:rPr>
                      <w:rFonts w:ascii="宋体" w:hAnsi="宋体" w:cs="宋体" w:eastAsia="宋体"/>
                      <w:sz w:val="24"/>
                    </w:rPr>
                    <w:t>2.</w:t>
                  </w:r>
                  <w:r>
                    <w:rPr>
                      <w:rFonts w:ascii="宋体" w:hAnsi="宋体" w:cs="宋体" w:eastAsia="宋体"/>
                      <w:sz w:val="24"/>
                    </w:rPr>
                    <w:t>参数及要求：</w:t>
                  </w:r>
                </w:p>
                <w:p>
                  <w:pPr>
                    <w:pStyle w:val="null3"/>
                    <w:ind w:firstLine="240"/>
                    <w:jc w:val="both"/>
                  </w:pPr>
                  <w:r>
                    <w:rPr>
                      <w:rFonts w:ascii="宋体" w:hAnsi="宋体" w:cs="宋体" w:eastAsia="宋体"/>
                      <w:sz w:val="24"/>
                    </w:rPr>
                    <w:t>A.硬件设备（纤维表面等离子体处理机及配套）：</w:t>
                  </w:r>
                </w:p>
                <w:p>
                  <w:pPr>
                    <w:pStyle w:val="null3"/>
                    <w:ind w:firstLine="420"/>
                    <w:jc w:val="both"/>
                  </w:pPr>
                  <w:r>
                    <w:rPr>
                      <w:rFonts w:ascii="宋体" w:hAnsi="宋体" w:cs="宋体" w:eastAsia="宋体"/>
                      <w:sz w:val="24"/>
                    </w:rPr>
                    <w:t>（</w:t>
                  </w:r>
                  <w:r>
                    <w:rPr>
                      <w:rFonts w:ascii="宋体" w:hAnsi="宋体" w:cs="宋体" w:eastAsia="宋体"/>
                      <w:sz w:val="24"/>
                    </w:rPr>
                    <w:t>1）控制系统： PLC+触摸屏</w:t>
                  </w:r>
                </w:p>
                <w:p>
                  <w:pPr>
                    <w:pStyle w:val="null3"/>
                    <w:ind w:firstLine="420"/>
                    <w:jc w:val="both"/>
                  </w:pPr>
                  <w:r>
                    <w:rPr>
                      <w:rFonts w:ascii="宋体" w:hAnsi="宋体" w:cs="宋体" w:eastAsia="宋体"/>
                      <w:sz w:val="24"/>
                    </w:rPr>
                    <w:t>（</w:t>
                  </w:r>
                  <w:r>
                    <w:rPr>
                      <w:rFonts w:ascii="宋体" w:hAnsi="宋体" w:cs="宋体" w:eastAsia="宋体"/>
                      <w:sz w:val="24"/>
                    </w:rPr>
                    <w:t>2）▲采用真空机组：一级干泵真空泵+二级罗茨泵</w:t>
                  </w:r>
                </w:p>
                <w:p>
                  <w:pPr>
                    <w:pStyle w:val="null3"/>
                    <w:ind w:firstLine="420"/>
                    <w:jc w:val="both"/>
                  </w:pPr>
                  <w:r>
                    <w:rPr>
                      <w:rFonts w:ascii="宋体" w:hAnsi="宋体" w:cs="宋体" w:eastAsia="宋体"/>
                      <w:sz w:val="24"/>
                    </w:rPr>
                    <w:t>（</w:t>
                  </w:r>
                  <w:r>
                    <w:rPr>
                      <w:rFonts w:ascii="宋体" w:hAnsi="宋体" w:cs="宋体" w:eastAsia="宋体"/>
                      <w:sz w:val="24"/>
                    </w:rPr>
                    <w:t>3）等离子电源：0—1000W连续可调</w:t>
                  </w:r>
                </w:p>
                <w:p>
                  <w:pPr>
                    <w:pStyle w:val="null3"/>
                    <w:ind w:firstLine="420"/>
                    <w:jc w:val="both"/>
                  </w:pPr>
                  <w:r>
                    <w:rPr>
                      <w:rFonts w:ascii="宋体" w:hAnsi="宋体" w:cs="宋体" w:eastAsia="宋体"/>
                      <w:sz w:val="24"/>
                    </w:rPr>
                    <w:t>（</w:t>
                  </w:r>
                  <w:r>
                    <w:rPr>
                      <w:rFonts w:ascii="宋体" w:hAnsi="宋体" w:cs="宋体" w:eastAsia="宋体"/>
                      <w:sz w:val="24"/>
                    </w:rPr>
                    <w:t>4）▲工作频率：10—15MHz</w:t>
                  </w:r>
                </w:p>
                <w:p>
                  <w:pPr>
                    <w:pStyle w:val="null3"/>
                    <w:ind w:firstLine="420"/>
                    <w:jc w:val="both"/>
                  </w:pPr>
                  <w:r>
                    <w:rPr>
                      <w:rFonts w:ascii="宋体" w:hAnsi="宋体" w:cs="宋体" w:eastAsia="宋体"/>
                      <w:sz w:val="24"/>
                    </w:rPr>
                    <w:t>（</w:t>
                  </w:r>
                  <w:r>
                    <w:rPr>
                      <w:rFonts w:ascii="宋体" w:hAnsi="宋体" w:cs="宋体" w:eastAsia="宋体"/>
                      <w:sz w:val="24"/>
                    </w:rPr>
                    <w:t>5）▲腔体容量：</w:t>
                  </w:r>
                  <w:r>
                    <w:rPr>
                      <w:rFonts w:ascii="宋体" w:hAnsi="宋体" w:cs="宋体" w:eastAsia="宋体"/>
                      <w:sz w:val="24"/>
                      <w:b/>
                    </w:rPr>
                    <w:t>≥</w:t>
                  </w:r>
                  <w:r>
                    <w:rPr>
                      <w:rFonts w:ascii="宋体" w:hAnsi="宋体" w:cs="宋体" w:eastAsia="宋体"/>
                      <w:sz w:val="24"/>
                    </w:rPr>
                    <w:t>150 升</w:t>
                  </w:r>
                </w:p>
                <w:p>
                  <w:pPr>
                    <w:pStyle w:val="null3"/>
                    <w:ind w:firstLine="420"/>
                    <w:jc w:val="both"/>
                  </w:pPr>
                  <w:r>
                    <w:rPr>
                      <w:rFonts w:ascii="宋体" w:hAnsi="宋体" w:cs="宋体" w:eastAsia="宋体"/>
                      <w:sz w:val="24"/>
                    </w:rPr>
                    <w:t>（</w:t>
                  </w:r>
                  <w:r>
                    <w:rPr>
                      <w:rFonts w:ascii="宋体" w:hAnsi="宋体" w:cs="宋体" w:eastAsia="宋体"/>
                      <w:sz w:val="24"/>
                    </w:rPr>
                    <w:t>6）腔体尺寸:W500×D600×H500(mm)</w:t>
                  </w:r>
                </w:p>
                <w:p>
                  <w:pPr>
                    <w:pStyle w:val="null3"/>
                    <w:ind w:firstLine="420"/>
                    <w:jc w:val="both"/>
                  </w:pPr>
                  <w:r>
                    <w:rPr>
                      <w:rFonts w:ascii="宋体" w:hAnsi="宋体" w:cs="宋体" w:eastAsia="宋体"/>
                      <w:sz w:val="24"/>
                    </w:rPr>
                    <w:t>（</w:t>
                  </w:r>
                  <w:r>
                    <w:rPr>
                      <w:rFonts w:ascii="宋体" w:hAnsi="宋体" w:cs="宋体" w:eastAsia="宋体"/>
                      <w:sz w:val="24"/>
                    </w:rPr>
                    <w:t>7）电极板数量： ≥7 层</w:t>
                  </w:r>
                </w:p>
                <w:p>
                  <w:pPr>
                    <w:pStyle w:val="null3"/>
                    <w:ind w:firstLine="420"/>
                    <w:jc w:val="both"/>
                  </w:pPr>
                  <w:r>
                    <w:rPr>
                      <w:rFonts w:ascii="宋体" w:hAnsi="宋体" w:cs="宋体" w:eastAsia="宋体"/>
                      <w:sz w:val="24"/>
                    </w:rPr>
                    <w:t>（</w:t>
                  </w:r>
                  <w:r>
                    <w:rPr>
                      <w:rFonts w:ascii="宋体" w:hAnsi="宋体" w:cs="宋体" w:eastAsia="宋体"/>
                      <w:sz w:val="24"/>
                    </w:rPr>
                    <w:t>8）载物托盘尺寸/数量： ≥W450mm × D350mm / 6 层</w:t>
                  </w:r>
                </w:p>
                <w:p>
                  <w:pPr>
                    <w:pStyle w:val="null3"/>
                    <w:ind w:firstLine="420"/>
                    <w:jc w:val="both"/>
                  </w:pPr>
                  <w:r>
                    <w:rPr>
                      <w:rFonts w:ascii="宋体" w:hAnsi="宋体" w:cs="宋体" w:eastAsia="宋体"/>
                      <w:sz w:val="24"/>
                    </w:rPr>
                    <w:t>（</w:t>
                  </w:r>
                  <w:r>
                    <w:rPr>
                      <w:rFonts w:ascii="宋体" w:hAnsi="宋体" w:cs="宋体" w:eastAsia="宋体"/>
                      <w:sz w:val="24"/>
                    </w:rPr>
                    <w:t>9）电极固定方式：插拔可拆卸</w:t>
                  </w:r>
                </w:p>
                <w:p>
                  <w:pPr>
                    <w:pStyle w:val="null3"/>
                    <w:ind w:firstLine="420"/>
                    <w:jc w:val="both"/>
                  </w:pPr>
                  <w:r>
                    <w:rPr>
                      <w:rFonts w:ascii="宋体" w:hAnsi="宋体" w:cs="宋体" w:eastAsia="宋体"/>
                      <w:sz w:val="24"/>
                    </w:rPr>
                    <w:t>（</w:t>
                  </w:r>
                  <w:r>
                    <w:rPr>
                      <w:rFonts w:ascii="宋体" w:hAnsi="宋体" w:cs="宋体" w:eastAsia="宋体"/>
                      <w:sz w:val="24"/>
                    </w:rPr>
                    <w:t>10）工作真空度 10-100Pa</w:t>
                  </w:r>
                </w:p>
                <w:p>
                  <w:pPr>
                    <w:pStyle w:val="null3"/>
                    <w:ind w:firstLine="420"/>
                    <w:jc w:val="both"/>
                  </w:pPr>
                  <w:r>
                    <w:rPr>
                      <w:rFonts w:ascii="宋体" w:hAnsi="宋体" w:cs="宋体" w:eastAsia="宋体"/>
                      <w:sz w:val="24"/>
                    </w:rPr>
                    <w:t>（</w:t>
                  </w:r>
                  <w:r>
                    <w:rPr>
                      <w:rFonts w:ascii="宋体" w:hAnsi="宋体" w:cs="宋体" w:eastAsia="宋体"/>
                      <w:sz w:val="24"/>
                    </w:rPr>
                    <w:t>11）气体流量控制：0-500mL/min</w:t>
                  </w:r>
                </w:p>
                <w:p>
                  <w:pPr>
                    <w:pStyle w:val="null3"/>
                    <w:ind w:firstLine="420"/>
                    <w:jc w:val="both"/>
                  </w:pPr>
                  <w:r>
                    <w:rPr>
                      <w:rFonts w:ascii="宋体" w:hAnsi="宋体" w:cs="宋体" w:eastAsia="宋体"/>
                      <w:sz w:val="24"/>
                    </w:rPr>
                    <w:t>（</w:t>
                  </w:r>
                  <w:r>
                    <w:rPr>
                      <w:rFonts w:ascii="宋体" w:hAnsi="宋体" w:cs="宋体" w:eastAsia="宋体"/>
                      <w:sz w:val="24"/>
                    </w:rPr>
                    <w:t>12）破真空时间： ≤20s</w:t>
                  </w:r>
                </w:p>
                <w:p>
                  <w:pPr>
                    <w:pStyle w:val="null3"/>
                    <w:ind w:firstLine="420"/>
                    <w:jc w:val="both"/>
                  </w:pPr>
                  <w:r>
                    <w:rPr>
                      <w:rFonts w:ascii="宋体" w:hAnsi="宋体" w:cs="宋体" w:eastAsia="宋体"/>
                      <w:sz w:val="24"/>
                    </w:rPr>
                    <w:t>（</w:t>
                  </w:r>
                  <w:r>
                    <w:rPr>
                      <w:rFonts w:ascii="宋体" w:hAnsi="宋体" w:cs="宋体" w:eastAsia="宋体"/>
                      <w:sz w:val="24"/>
                    </w:rPr>
                    <w:t>13）机台重量：≤580KG</w:t>
                  </w:r>
                </w:p>
                <w:p>
                  <w:pPr>
                    <w:pStyle w:val="null3"/>
                    <w:ind w:firstLine="420"/>
                    <w:jc w:val="both"/>
                  </w:pPr>
                  <w:r>
                    <w:rPr>
                      <w:rFonts w:ascii="宋体" w:hAnsi="宋体" w:cs="宋体" w:eastAsia="宋体"/>
                      <w:sz w:val="24"/>
                    </w:rPr>
                    <w:t>（</w:t>
                  </w:r>
                  <w:r>
                    <w:rPr>
                      <w:rFonts w:ascii="宋体" w:hAnsi="宋体" w:cs="宋体" w:eastAsia="宋体"/>
                      <w:sz w:val="24"/>
                    </w:rPr>
                    <w:t>14）设备功率: ≥6.5KW</w:t>
                  </w:r>
                </w:p>
                <w:p>
                  <w:pPr>
                    <w:pStyle w:val="null3"/>
                    <w:ind w:firstLine="420"/>
                    <w:jc w:val="both"/>
                  </w:pPr>
                  <w:r>
                    <w:rPr>
                      <w:rFonts w:ascii="宋体" w:hAnsi="宋体" w:cs="宋体" w:eastAsia="宋体"/>
                      <w:sz w:val="24"/>
                    </w:rPr>
                    <w:t>（</w:t>
                  </w:r>
                  <w:r>
                    <w:rPr>
                      <w:rFonts w:ascii="宋体" w:hAnsi="宋体" w:cs="宋体" w:eastAsia="宋体"/>
                      <w:sz w:val="24"/>
                    </w:rPr>
                    <w:t>15）变频控制系统：加速抽真空时间，维持真空度</w:t>
                  </w:r>
                </w:p>
                <w:p>
                  <w:pPr>
                    <w:pStyle w:val="null3"/>
                    <w:ind w:firstLine="420"/>
                    <w:jc w:val="both"/>
                  </w:pPr>
                  <w:r>
                    <w:rPr>
                      <w:rFonts w:ascii="宋体" w:hAnsi="宋体" w:cs="宋体" w:eastAsia="宋体"/>
                      <w:sz w:val="24"/>
                    </w:rPr>
                    <w:t>（</w:t>
                  </w:r>
                  <w:r>
                    <w:rPr>
                      <w:rFonts w:ascii="宋体" w:hAnsi="宋体" w:cs="宋体" w:eastAsia="宋体"/>
                      <w:sz w:val="24"/>
                    </w:rPr>
                    <w:t>16）真空腔体材质:316L不锈钢 或 AL6061材质（AL6061为优先选择）</w:t>
                  </w:r>
                </w:p>
                <w:p>
                  <w:pPr>
                    <w:pStyle w:val="null3"/>
                    <w:ind w:firstLine="420"/>
                    <w:jc w:val="both"/>
                  </w:pPr>
                  <w:r>
                    <w:rPr>
                      <w:rFonts w:ascii="宋体" w:hAnsi="宋体" w:cs="宋体" w:eastAsia="宋体"/>
                      <w:sz w:val="24"/>
                    </w:rPr>
                    <w:t>（</w:t>
                  </w:r>
                  <w:r>
                    <w:rPr>
                      <w:rFonts w:ascii="宋体" w:hAnsi="宋体" w:cs="宋体" w:eastAsia="宋体"/>
                      <w:sz w:val="24"/>
                    </w:rPr>
                    <w:t>17）输入气压检测系统：</w:t>
                  </w:r>
                  <w:r>
                    <w:rPr>
                      <w:rFonts w:ascii="宋体" w:hAnsi="宋体" w:cs="宋体" w:eastAsia="宋体"/>
                      <w:sz w:val="24"/>
                    </w:rPr>
                    <w:t>2路气压自动报警</w:t>
                  </w:r>
                </w:p>
                <w:p>
                  <w:pPr>
                    <w:pStyle w:val="null3"/>
                    <w:ind w:firstLine="420"/>
                    <w:jc w:val="both"/>
                  </w:pPr>
                  <w:r>
                    <w:rPr>
                      <w:rFonts w:ascii="宋体" w:hAnsi="宋体" w:cs="宋体" w:eastAsia="宋体"/>
                      <w:sz w:val="24"/>
                    </w:rPr>
                    <w:t>（</w:t>
                  </w:r>
                  <w:r>
                    <w:rPr>
                      <w:rFonts w:ascii="宋体" w:hAnsi="宋体" w:cs="宋体" w:eastAsia="宋体"/>
                      <w:sz w:val="24"/>
                    </w:rPr>
                    <w:t>18）反应气体：2 路，氧气、氩气、氮气等非腐蚀性气体</w:t>
                  </w:r>
                </w:p>
                <w:p>
                  <w:pPr>
                    <w:pStyle w:val="null3"/>
                    <w:ind w:firstLine="420"/>
                    <w:jc w:val="both"/>
                  </w:pPr>
                  <w:r>
                    <w:rPr>
                      <w:rFonts w:ascii="宋体" w:hAnsi="宋体" w:cs="宋体" w:eastAsia="宋体"/>
                      <w:sz w:val="24"/>
                    </w:rPr>
                    <w:t>（</w:t>
                  </w:r>
                  <w:r>
                    <w:rPr>
                      <w:rFonts w:ascii="宋体" w:hAnsi="宋体" w:cs="宋体" w:eastAsia="宋体"/>
                      <w:sz w:val="24"/>
                    </w:rPr>
                    <w:t>19）电源：采用AC380V,50/60Hz，三相五线</w:t>
                  </w:r>
                </w:p>
                <w:p>
                  <w:pPr>
                    <w:pStyle w:val="null3"/>
                    <w:ind w:firstLine="42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0</w:t>
                  </w:r>
                  <w:r>
                    <w:rPr>
                      <w:rFonts w:ascii="宋体" w:hAnsi="宋体" w:cs="宋体" w:eastAsia="宋体"/>
                      <w:sz w:val="24"/>
                    </w:rPr>
                    <w:t>）</w:t>
                  </w:r>
                  <w:r>
                    <w:rPr>
                      <w:rFonts w:ascii="宋体" w:hAnsi="宋体" w:cs="宋体" w:eastAsia="宋体"/>
                      <w:sz w:val="24"/>
                    </w:rPr>
                    <w:t>▲</w:t>
                  </w:r>
                  <w:r>
                    <w:rPr>
                      <w:rFonts w:ascii="宋体" w:hAnsi="宋体" w:cs="宋体" w:eastAsia="宋体"/>
                      <w:sz w:val="24"/>
                    </w:rPr>
                    <w:t>本项目将纤维表面等离子体处理机作为受控下位机，供应商必须提供符合实际的与下位机协同工作的上位管控服务器，并列出配置清单，使项目成为高速计算、大存储容量的一体化物联网系统</w:t>
                  </w:r>
                </w:p>
                <w:p>
                  <w:pPr>
                    <w:pStyle w:val="null3"/>
                    <w:ind w:firstLine="42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1</w:t>
                  </w:r>
                  <w:r>
                    <w:rPr>
                      <w:rFonts w:ascii="宋体" w:hAnsi="宋体" w:cs="宋体" w:eastAsia="宋体"/>
                      <w:sz w:val="24"/>
                    </w:rPr>
                    <w:t>）</w:t>
                  </w:r>
                  <w:r>
                    <w:rPr>
                      <w:rFonts w:ascii="宋体" w:hAnsi="宋体" w:cs="宋体" w:eastAsia="宋体"/>
                      <w:sz w:val="24"/>
                    </w:rPr>
                    <w:t>供应商为体现其良好的专业度，必须在预算范围内提供适用于本项目的其它相关装置，并详细列出清单，使本项目能更有体系化特点。</w:t>
                  </w:r>
                </w:p>
                <w:p>
                  <w:pPr>
                    <w:pStyle w:val="null3"/>
                    <w:ind w:firstLine="240"/>
                    <w:jc w:val="both"/>
                  </w:pPr>
                  <w:r>
                    <w:rPr>
                      <w:rFonts w:ascii="宋体" w:hAnsi="宋体" w:cs="宋体" w:eastAsia="宋体"/>
                      <w:sz w:val="24"/>
                    </w:rPr>
                    <w:t>B.设备运行物联网大数据监管软件：</w:t>
                  </w:r>
                </w:p>
                <w:p>
                  <w:pPr>
                    <w:pStyle w:val="null3"/>
                    <w:ind w:firstLine="240"/>
                    <w:jc w:val="both"/>
                  </w:pPr>
                  <w:r>
                    <w:rPr>
                      <w:rFonts w:ascii="宋体" w:hAnsi="宋体" w:cs="宋体" w:eastAsia="宋体"/>
                      <w:sz w:val="24"/>
                    </w:rPr>
                    <w:t>（</w:t>
                  </w:r>
                  <w:r>
                    <w:rPr>
                      <w:rFonts w:ascii="宋体" w:hAnsi="宋体" w:cs="宋体" w:eastAsia="宋体"/>
                      <w:sz w:val="24"/>
                    </w:rPr>
                    <w:t>1）本项目需定制物联网、大数据软件，供应商必须提供所投设备加盖原厂公章的本软件开发接口支持承诺书原件；</w:t>
                  </w:r>
                </w:p>
                <w:p>
                  <w:pPr>
                    <w:pStyle w:val="null3"/>
                    <w:ind w:firstLine="240"/>
                    <w:jc w:val="both"/>
                  </w:pPr>
                  <w:r>
                    <w:rPr>
                      <w:rFonts w:ascii="宋体" w:hAnsi="宋体" w:cs="宋体" w:eastAsia="宋体"/>
                      <w:sz w:val="24"/>
                    </w:rPr>
                    <w:t>（</w:t>
                  </w:r>
                  <w:r>
                    <w:rPr>
                      <w:rFonts w:ascii="宋体" w:hAnsi="宋体" w:cs="宋体" w:eastAsia="宋体"/>
                      <w:sz w:val="24"/>
                    </w:rPr>
                    <w:t>2）供应商必须承诺其所开发软件编译后的成果不能只在某一种操作系统上运行，如：不能只在Windows系统上运行，并逐条列出可适配的操作系统名称；</w:t>
                  </w:r>
                </w:p>
                <w:p>
                  <w:pPr>
                    <w:pStyle w:val="null3"/>
                    <w:ind w:firstLine="24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）供应商必须列出针对本项目定制软件所用开发语言、集成开发环境、数据库等相关产品的信息，列出格式：</w:t>
                  </w:r>
                  <w:r>
                    <w:rPr>
                      <w:rFonts w:ascii="宋体" w:hAnsi="宋体" w:cs="宋体" w:eastAsia="宋体"/>
                      <w:sz w:val="24"/>
                    </w:rPr>
                    <w:t>XX软件，版本号XX，可使用期限XX（XX是待填内容），必须承诺所使用软件无版权问题。</w:t>
                  </w:r>
                </w:p>
                <w:p>
                  <w:pPr>
                    <w:pStyle w:val="null3"/>
                    <w:ind w:firstLine="24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供应商所投等离子体处理设备与其选择的软件开发语言、集成开发环境、数据库等要素和定制的软件成果必须有本项目要求的物联网、大数据、跨平台和为材料科研提供支持的功能；必须逐条阐明上述每个要素和成果的哪些特征可为实现每个项目要求发挥哪些作用；然</w:t>
                  </w:r>
                  <w:r>
                    <w:rPr>
                      <w:rFonts w:ascii="宋体" w:hAnsi="宋体" w:cs="宋体" w:eastAsia="宋体"/>
                      <w:sz w:val="24"/>
                    </w:rPr>
                    <w:t>后必须用一个符合本项目功能要求的示例予以说明；</w:t>
                  </w:r>
                </w:p>
                <w:p>
                  <w:pPr>
                    <w:pStyle w:val="null3"/>
                    <w:ind w:firstLine="240"/>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供应商所投硬件和开发的软件成果必须具有在纺织材料科学所包含的教学、科研、机器学习和可扩展性等发挥作用的功能要点；必须针对上述每个功能要点逐条阐明所选硬件、开发语言、开发工具、数据库等能发挥的作用；然后必须至少用两个符合本项目要求的示例予以说明；</w:t>
                  </w:r>
                </w:p>
                <w:p>
                  <w:pPr>
                    <w:pStyle w:val="null3"/>
                    <w:ind w:firstLine="240"/>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w:t>
                  </w:r>
                  <w:r>
                    <w:rPr>
                      <w:rFonts w:ascii="宋体" w:hAnsi="宋体" w:cs="宋体" w:eastAsia="宋体"/>
                      <w:sz w:val="24"/>
                    </w:rPr>
                    <w:t>▲本项目所定制软件必须具备本项目的数据采集、展示、历史数据统计分析、可视化、教学科研支持、科学计算等功能要点；供应商必须针对上述每个功能要点逐条阐明为实现目标，采用哪些硬件、软件、软件插件库等要素，及这些要素发挥什么作用、达到什么效果；然后必须至少举出两个选用以上技术要素实现本项目功能要点的实现过程示例予以说明；</w:t>
                  </w:r>
                </w:p>
                <w:p>
                  <w:pPr>
                    <w:pStyle w:val="null3"/>
                    <w:ind w:firstLine="240"/>
                    <w:jc w:val="both"/>
                  </w:pPr>
                  <w:r>
                    <w:rPr>
                      <w:rFonts w:ascii="宋体" w:hAnsi="宋体" w:cs="宋体" w:eastAsia="宋体"/>
                      <w:sz w:val="24"/>
                    </w:rPr>
                    <w:t>（</w:t>
                  </w:r>
                  <w:r>
                    <w:rPr>
                      <w:rFonts w:ascii="宋体" w:hAnsi="宋体" w:cs="宋体" w:eastAsia="宋体"/>
                      <w:sz w:val="24"/>
                    </w:rPr>
                    <w:t>7</w:t>
                  </w:r>
                  <w:r>
                    <w:rPr>
                      <w:rFonts w:ascii="宋体" w:hAnsi="宋体" w:cs="宋体" w:eastAsia="宋体"/>
                      <w:sz w:val="24"/>
                    </w:rPr>
                    <w:t>）</w:t>
                  </w:r>
                  <w:r>
                    <w:rPr>
                      <w:rFonts w:ascii="宋体" w:hAnsi="宋体" w:cs="宋体" w:eastAsia="宋体"/>
                      <w:sz w:val="24"/>
                    </w:rPr>
                    <w:t>▲</w:t>
                  </w:r>
                  <w:r>
                    <w:rPr>
                      <w:rFonts w:ascii="宋体" w:hAnsi="宋体" w:cs="宋体" w:eastAsia="宋体"/>
                      <w:sz w:val="24"/>
                    </w:rPr>
                    <w:t>供应商所投上位机和下位机须具备互联互通的目标功能；必须阐明为实现目标功能所选择的连接拓扑、互连器材、软件、软件插件库、软件通信和数据交互方法等要素；然后逐个说明这些要素各自发挥什么作用和达到的效果；</w:t>
                  </w:r>
                </w:p>
                <w:p>
                  <w:pPr>
                    <w:pStyle w:val="null3"/>
                    <w:ind w:firstLine="240"/>
                    <w:jc w:val="both"/>
                  </w:pPr>
                  <w:r>
                    <w:rPr>
                      <w:rFonts w:ascii="宋体" w:hAnsi="宋体" w:cs="宋体" w:eastAsia="宋体"/>
                      <w:sz w:val="24"/>
                    </w:rPr>
                    <w:t>（</w:t>
                  </w:r>
                  <w:r>
                    <w:rPr>
                      <w:rFonts w:ascii="宋体" w:hAnsi="宋体" w:cs="宋体" w:eastAsia="宋体"/>
                      <w:sz w:val="24"/>
                    </w:rPr>
                    <w:t>8</w:t>
                  </w:r>
                  <w:r>
                    <w:rPr>
                      <w:rFonts w:ascii="宋体" w:hAnsi="宋体" w:cs="宋体" w:eastAsia="宋体"/>
                      <w:sz w:val="24"/>
                    </w:rPr>
                    <w:t>）供应商开发的软件必须具有可自动化的、可区分类别的人、财、物件、设备运行参数、运行状态、时间、影像、图片等数据指标获取、监控、存储的功能要点；供应商为实现以上功能，必须针对上述每个功能要点逐条说明用什么硬件、开发语言、软件插件库等技术要素在什么时候发挥什么作用、实现什么效果；然后必须至少举出两个选用以上技术要素实现本项目功能要点的实现过程示例予以说明；</w:t>
                  </w:r>
                </w:p>
                <w:p>
                  <w:pPr>
                    <w:pStyle w:val="null3"/>
                    <w:ind w:firstLine="240"/>
                    <w:jc w:val="both"/>
                  </w:pPr>
                  <w:r>
                    <w:rPr>
                      <w:rFonts w:ascii="宋体" w:hAnsi="宋体" w:cs="宋体" w:eastAsia="宋体"/>
                      <w:sz w:val="24"/>
                    </w:rPr>
                    <w:t>（</w:t>
                  </w:r>
                  <w:r>
                    <w:rPr>
                      <w:rFonts w:ascii="宋体" w:hAnsi="宋体" w:cs="宋体" w:eastAsia="宋体"/>
                      <w:sz w:val="24"/>
                    </w:rPr>
                    <w:t>9</w:t>
                  </w:r>
                  <w:r>
                    <w:rPr>
                      <w:rFonts w:ascii="宋体" w:hAnsi="宋体" w:cs="宋体" w:eastAsia="宋体"/>
                      <w:sz w:val="24"/>
                    </w:rPr>
                    <w:t>）供应商开发的软件功能必须有各种数据分类计算、图片展示、统计分析、统计图形、统计表格和界面展示等的功能要点；供应商必须对上述每个功能要点逐条说明选用何种开发语言、软件插件库、数据库等要素来实现，以及所达到的效果；然后必须对上述所选要素实现要求的功能要点，至少用两个本项目的示例说明，包括：实现什么目标、用什么软件、什么软件插件、什么硬件，在哪个环节如何发挥作用，发挥什么作用，其结果是什么等；</w:t>
                  </w:r>
                </w:p>
                <w:p>
                  <w:pPr>
                    <w:pStyle w:val="null3"/>
                    <w:ind w:firstLine="24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0</w:t>
                  </w:r>
                  <w:r>
                    <w:rPr>
                      <w:rFonts w:ascii="宋体" w:hAnsi="宋体" w:cs="宋体" w:eastAsia="宋体"/>
                      <w:sz w:val="24"/>
                    </w:rPr>
                    <w:t>）供应商开发的软件功能必须有表格、</w:t>
                  </w:r>
                  <w:r>
                    <w:rPr>
                      <w:rFonts w:ascii="宋体" w:hAnsi="宋体" w:cs="宋体" w:eastAsia="宋体"/>
                      <w:sz w:val="24"/>
                    </w:rPr>
                    <w:t>JSON、XML和图片等数据导入、导出功能的功能要点；供应商必须对上述每个功能要点逐条说明选用何种开发语言、软件插件库、数据库等要素来实现，以及所达到的效果、对本项目的适用性；然后必须对上述所选要素实现要求的功能要点，至少用两个本项目的示例说明，包括：实现什么目标、用什么软件、什么软件插件、什么硬件，在哪个环节如何发挥作用，发挥什么作用，其结果是什么等；</w:t>
                  </w:r>
                </w:p>
                <w:p>
                  <w:pPr>
                    <w:pStyle w:val="null3"/>
                    <w:ind w:firstLine="24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1</w:t>
                  </w:r>
                  <w:r>
                    <w:rPr>
                      <w:rFonts w:ascii="宋体" w:hAnsi="宋体" w:cs="宋体" w:eastAsia="宋体"/>
                      <w:sz w:val="24"/>
                    </w:rPr>
                    <w:t>）供应商开发的软件功能必须有等离子处理的物件，在处理前和处理后的图像对比记录和提供前后图像差异度度量计算的功能要点；供应商必须阐述为实现对上述功能要点所采用的软件、软件插件库、所选的算法；</w:t>
                  </w:r>
                </w:p>
                <w:p>
                  <w:pPr>
                    <w:pStyle w:val="null3"/>
                    <w:ind w:firstLine="24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2</w:t>
                  </w:r>
                  <w:r>
                    <w:rPr>
                      <w:rFonts w:ascii="宋体" w:hAnsi="宋体" w:cs="宋体" w:eastAsia="宋体"/>
                      <w:sz w:val="24"/>
                    </w:rPr>
                    <w:t>）供应商开发的软件必须有等离子处理设备三维模型展示、导入和仿真运行功能；供应商必须阐述实现本功能所采用的软件、程序插件库和实现效果；</w:t>
                  </w:r>
                </w:p>
                <w:p>
                  <w:pPr>
                    <w:pStyle w:val="null3"/>
                    <w:ind w:firstLine="240"/>
                    <w:jc w:val="both"/>
                  </w:pPr>
                  <w:r>
                    <w:rPr>
                      <w:rFonts w:ascii="宋体" w:hAnsi="宋体" w:cs="宋体" w:eastAsia="宋体"/>
                      <w:sz w:val="24"/>
                    </w:rPr>
                    <w:t>（</w:t>
                  </w:r>
                  <w:r>
                    <w:rPr>
                      <w:rFonts w:ascii="宋体" w:hAnsi="宋体" w:cs="宋体" w:eastAsia="宋体"/>
                      <w:sz w:val="24"/>
                    </w:rPr>
                    <w:t>13）为实现系统扩展，供应商所开发的软件必须具备与实验室内局域网安装在其它机器上采用不同语言开发的软件进行实时数据交互功能；供应商必须给出至少三种自动化数据和计算结果交互而非人工（不含类似U盘复制）的解决方法，包括使用的什么软件插件、通信协议、需要对方软件提供的什么支持（除提供源码以外）等过程完整描述；</w:t>
                  </w:r>
                </w:p>
                <w:p>
                  <w:pPr>
                    <w:pStyle w:val="null3"/>
                    <w:ind w:firstLine="240"/>
                    <w:jc w:val="both"/>
                  </w:pPr>
                  <w:r>
                    <w:rPr>
                      <w:rFonts w:ascii="宋体" w:hAnsi="宋体" w:cs="宋体" w:eastAsia="宋体"/>
                      <w:sz w:val="24"/>
                    </w:rPr>
                    <w:t>（</w:t>
                  </w:r>
                  <w:r>
                    <w:rPr>
                      <w:rFonts w:ascii="宋体" w:hAnsi="宋体" w:cs="宋体" w:eastAsia="宋体"/>
                      <w:sz w:val="24"/>
                    </w:rPr>
                    <w:t>14）本项目必须具备教师、学生、科研人员能参与到本软件二次开发和升级中来的能力，即使以上人员和供应商开发人员更替也可实现长期升级，供应商须阐明为实现以上目标至少四种保障措施；</w:t>
                  </w:r>
                </w:p>
                <w:p>
                  <w:pPr>
                    <w:pStyle w:val="null3"/>
                    <w:ind w:firstLine="240"/>
                    <w:jc w:val="both"/>
                  </w:pPr>
                  <w:r>
                    <w:rPr>
                      <w:rFonts w:ascii="宋体" w:hAnsi="宋体" w:cs="宋体" w:eastAsia="宋体"/>
                      <w:sz w:val="24"/>
                    </w:rPr>
                    <w:t>（</w:t>
                  </w:r>
                  <w:r>
                    <w:rPr>
                      <w:rFonts w:ascii="宋体" w:hAnsi="宋体" w:cs="宋体" w:eastAsia="宋体"/>
                      <w:sz w:val="24"/>
                    </w:rPr>
                    <w:t>15）供应商必须执行将本项目开发软件的源码在用户指定电脑编译和正常无误运行，得到用户认可才能开始验收等下一步工作；</w:t>
                  </w:r>
                </w:p>
                <w:p>
                  <w:pPr>
                    <w:pStyle w:val="null3"/>
                    <w:ind w:firstLine="240"/>
                    <w:jc w:val="both"/>
                  </w:pPr>
                  <w:r>
                    <w:rPr>
                      <w:rFonts w:ascii="宋体" w:hAnsi="宋体" w:cs="宋体" w:eastAsia="宋体"/>
                      <w:sz w:val="24"/>
                    </w:rPr>
                    <w:t>（</w:t>
                  </w:r>
                  <w:r>
                    <w:rPr>
                      <w:rFonts w:ascii="宋体" w:hAnsi="宋体" w:cs="宋体" w:eastAsia="宋体"/>
                      <w:sz w:val="24"/>
                    </w:rPr>
                    <w:t>16）供应商必须在定制软件完成后，将加上详细汉语注释的源码交付给用户，得到用户方至少2人的签字认可才能开始验收等下一步工作；</w:t>
                  </w:r>
                </w:p>
                <w:p>
                  <w:pPr>
                    <w:pStyle w:val="null3"/>
                    <w:jc w:val="both"/>
                  </w:pPr>
                  <w:r>
                    <w:rPr>
                      <w:rFonts w:ascii="宋体" w:hAnsi="宋体" w:cs="宋体" w:eastAsia="宋体"/>
                      <w:sz w:val="24"/>
                    </w:rPr>
                    <w:t>（</w:t>
                  </w:r>
                  <w:r>
                    <w:rPr>
                      <w:rFonts w:ascii="宋体" w:hAnsi="宋体" w:cs="宋体" w:eastAsia="宋体"/>
                      <w:sz w:val="24"/>
                    </w:rPr>
                    <w:t>17</w:t>
                  </w:r>
                  <w:r>
                    <w:rPr>
                      <w:rFonts w:ascii="宋体" w:hAnsi="宋体" w:cs="宋体" w:eastAsia="宋体"/>
                      <w:sz w:val="24"/>
                    </w:rPr>
                    <w:t>）本项目所开发的软件版权归用户所有，供应商必须承诺积极配合用户办理软件著作权工作并提供加盖其公章的承诺书原件。</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合同签订之日起120日历天内完成交付、安装及调试。</w:t>
      </w:r>
    </w:p>
    <w:p>
      <w:pPr>
        <w:pStyle w:val="null3"/>
      </w:pPr>
      <w:r>
        <w:rPr/>
        <w:t>采购包2：</w:t>
      </w:r>
    </w:p>
    <w:p>
      <w:pPr>
        <w:pStyle w:val="null3"/>
      </w:pPr>
      <w:r>
        <w:rPr/>
        <w:t>合同签订之日起90日历天内完成交付、安装及调试。</w:t>
      </w:r>
    </w:p>
    <w:p>
      <w:pPr>
        <w:pStyle w:val="null3"/>
        <w:outlineLvl w:val="3"/>
      </w:pPr>
      <w:r>
        <w:rPr>
          <w:sz w:val="24"/>
          <w:b/>
        </w:rPr>
        <w:t>3.4.2交货地点和方式</w:t>
      </w:r>
    </w:p>
    <w:p>
      <w:pPr>
        <w:pStyle w:val="null3"/>
      </w:pPr>
      <w:r>
        <w:rPr/>
        <w:t>采购包1：</w:t>
      </w:r>
    </w:p>
    <w:p>
      <w:pPr>
        <w:pStyle w:val="null3"/>
      </w:pPr>
      <w:r>
        <w:rPr/>
        <w:t>西安工程大学金花校区7号楼210室</w:t>
      </w:r>
    </w:p>
    <w:p>
      <w:pPr>
        <w:pStyle w:val="null3"/>
      </w:pPr>
      <w:r>
        <w:rPr/>
        <w:t>采购包2：</w:t>
      </w:r>
    </w:p>
    <w:p>
      <w:pPr>
        <w:pStyle w:val="null3"/>
      </w:pPr>
      <w:r>
        <w:rPr/>
        <w:t>材料工程学院4-103实验室</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进口设备：合同生效后，由甲方通过进出口业务代理公司向乙方开出全额信用证（100%信用证）。信用证90%凭发货单据及甲方签署的开箱清点报告单解付，10%凭甲方出具的正式验收报告解付。 最终结算时，乙方应向甲方开具符合甲方要求的合同总价款发票，若因乙方未开具或逾期开具合法有效的发票，甲方有权顺延付款期限且不承担逾期付款责任。 国产设备：合同签订前，乙方须在甲方指定的银行开立一般结算账户。合同签订后，甲方通过银行电汇付给乙方全额货款。 最终结算时，乙方须向甲方出具合同总价款的增值税专用发票，若因乙方未开具或逾期开具合法有效的发票，甲方有权顺延付款期限且不承担逾期付款责任</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合同签订前，乙方须在甲方指定的银行开立一般结算账户。合同签订后，甲方通过银行电汇付给乙方全额货款。 最终结算时，乙方须向甲方出具合同总价款的增值税专用发票，若因乙方未开具或逾期开具合法有效的发票，甲方有权顺延付款期限且不承担逾期付款责任。</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设备到货后，甲、乙双方共同开箱验收。在检查设备原产地、规格、型号、配置等符合合同要求后，由乙方负责安装调试，甲方负责技术验收（乙方协助），验收标准以国际、国内或同文本仪器设备详细配置清单中描述的有关技术要求为准。 2.乙方安装调试完毕、正常运行 天后向甲方提出书面验收申请，甲方将组织人员对采购物品进行核查验收，核查验收时需出具经甲方确认的开箱验收报告，核查验收工作完成后签字确认。验收不合格的，限期整改；整改仍达不到要求的，作退货处理。</w:t>
      </w:r>
    </w:p>
    <w:p>
      <w:pPr>
        <w:pStyle w:val="null3"/>
      </w:pPr>
      <w:r>
        <w:rPr/>
        <w:t>采购包2：</w:t>
      </w:r>
    </w:p>
    <w:p>
      <w:pPr>
        <w:pStyle w:val="null3"/>
      </w:pPr>
      <w:r>
        <w:rPr/>
        <w:t>甲方对乙方所供物资（设备）依照合同进行初步验收。验收时甲乙双方均派人到场，由甲方先对物资（设备）外观质量进行验收（包括对产品名称、规格型号、品牌商标、生产厂商、单位、数量等的验收）。乙方安装、调试完成之后，通知甲方对物资（设备）相关技术指标、系统功能进行验收。 甲方将组织人员进行核查验收，验收工作完成后签字确认。验收不合格的，限期整改；整改仍达不到要求的，作退货处理。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验收合格通过之日起1年。售后服务响应不得超出 8 小时，制定解决方案 3 个工作日内派人到现场维修。</w:t>
      </w:r>
    </w:p>
    <w:p>
      <w:pPr>
        <w:pStyle w:val="null3"/>
      </w:pPr>
      <w:r>
        <w:rPr/>
        <w:t>采购包2：</w:t>
      </w:r>
    </w:p>
    <w:p>
      <w:pPr>
        <w:pStyle w:val="null3"/>
      </w:pPr>
      <w:r>
        <w:rPr/>
        <w:t>1、验收合格通过之日起3年。售后服务响应不得超出 2 小时，制定解决方案， 3 个工作日内派人到现场维修。 2、其他售后要求：软件系统验收完成后，除提供3年免费维保外，还需提供3年免费升级服务；软、硬件都终身免费技术支持软、硬件都提供终身免费技术支持。</w:t>
      </w:r>
    </w:p>
    <w:p>
      <w:pPr>
        <w:pStyle w:val="null3"/>
        <w:outlineLvl w:val="3"/>
      </w:pPr>
      <w:r>
        <w:rPr>
          <w:sz w:val="24"/>
          <w:b/>
        </w:rPr>
        <w:t>3.4.8违约责任与解决争议的方法</w:t>
      </w:r>
    </w:p>
    <w:p>
      <w:pPr>
        <w:pStyle w:val="null3"/>
      </w:pPr>
      <w:r>
        <w:rPr/>
        <w:t>采购包1：</w:t>
      </w:r>
    </w:p>
    <w:p>
      <w:pPr>
        <w:pStyle w:val="null3"/>
      </w:pPr>
      <w:r>
        <w:rPr/>
        <w:t>详见合同条款</w:t>
      </w:r>
    </w:p>
    <w:p>
      <w:pPr>
        <w:pStyle w:val="null3"/>
      </w:pPr>
      <w:r>
        <w:rPr/>
        <w:t>采购包2：</w:t>
      </w:r>
    </w:p>
    <w:p>
      <w:pPr>
        <w:pStyle w:val="null3"/>
      </w:pPr>
      <w:r>
        <w:rPr/>
        <w:t>详见合同条款</w:t>
      </w:r>
    </w:p>
    <w:p>
      <w:pPr>
        <w:pStyle w:val="null3"/>
        <w:jc w:val="left"/>
        <w:outlineLvl w:val="2"/>
      </w:pPr>
      <w:r>
        <w:rPr>
          <w:sz w:val="28"/>
          <w:b/>
        </w:rPr>
        <w:t>3.5其他要求</w:t>
      </w:r>
    </w:p>
    <w:p>
      <w:pPr>
        <w:pStyle w:val="null3"/>
      </w:pPr>
      <w:r>
        <w:rPr/>
        <w:t>（一）培训内容及要求： 采购包1： 1、培训内容及要求：设备到货后，厂家提供免费培训服务，包含设备原理、组成、操作、维护、分析等培训内容，确保培训人员能够独立上机操作。 采购包2： 1、培训内容及要求：设备及软件的操作使用，要求能让操作者完全掌握使用规范和使用方法，并可获得远程指导。 2、对安装环境、配套工作等有要求：提供3280V/AC,三相五线，50/60Hz的电源接入。 （二）本项目属性为 货物 。 1、本项目采购标的所属行业为：工业。（按照《工信部 国家统计局 发改委 财政部 工信部联企业》中小企业划型标准（〔2011〕300号）规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（三）特别注意：1、供应商需要在线提交所有通过电子化交易平台实施的政府采购项目的响应文件，同时，线下提交纸质响应文件正本壹份、副本壹份。 2、纸质响应文件正本、副本，标明供应商名称分开密封递交。 3、线下纸质文件递交截止时间：同在线递交电子响应文件截止时间一致.线上电子响应文件与纸质响应文件不一致的，以线上电子响应文件为准。 4、线下递交地点：陕西省西安市雁塔区唐延南路8号泰维智链中心二期南楼1602室。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供应商特定资格证明文件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供应商特定资格证明文件（含中小企业声明函）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t>供应商特定资格证明文件</w:t>
            </w:r>
          </w:p>
        </w:tc>
      </w:tr>
      <w:tr>
        <w:tc>
          <w:tcPr>
            <w:tcW w:type="dxa" w:w="831"/>
          </w:tcPr>
          <w:p>
            <w:pPr>
              <w:pStyle w:val="null3"/>
            </w:pPr>
            <w:r>
              <w:rPr/>
              <w:t>2</w:t>
            </w:r>
          </w:p>
        </w:tc>
        <w:tc>
          <w:tcPr>
            <w:tcW w:type="dxa" w:w="2492"/>
          </w:tcPr>
          <w:p>
            <w:pPr>
              <w:pStyle w:val="null3"/>
            </w:pPr>
            <w:r>
              <w:rPr/>
              <w:t>法定代表人证明书或授权书</w:t>
            </w:r>
          </w:p>
        </w:tc>
        <w:tc>
          <w:tcPr>
            <w:tcW w:type="dxa" w:w="3322"/>
          </w:tcPr>
          <w:p>
            <w:pPr>
              <w:pStyle w:val="null3"/>
            </w:pPr>
            <w:r>
              <w:rPr/>
              <w:t>法定代表人直接参加投标的须提交法定代表人证明书；法定代表人授权代表参加投标的，须出具法定代表人证明书及授权书，供应商需在项目电子化交易系统中按要求上传相应证明文件并进行电子签章</w:t>
            </w:r>
          </w:p>
        </w:tc>
        <w:tc>
          <w:tcPr>
            <w:tcW w:type="dxa" w:w="1661"/>
          </w:tcPr>
          <w:p>
            <w:pPr>
              <w:pStyle w:val="null3"/>
            </w:pPr>
            <w:r>
              <w:rPr/>
              <w:t>供应商特定资格证明文件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供应商须提供2023年度经会计师事务所审计的审计报告（新成立企业可从成立当年开始提供相对应的财务报表）或其投标前三个月内基本存款账户开户银行出具的资信证明，供应商需在项目电子化交易系统中按要求上传相应证明文件并进行电子签章</w:t>
            </w:r>
          </w:p>
        </w:tc>
        <w:tc>
          <w:tcPr>
            <w:tcW w:type="dxa" w:w="1661"/>
          </w:tcPr>
          <w:p>
            <w:pPr>
              <w:pStyle w:val="null3"/>
            </w:pPr>
            <w:r>
              <w:rPr/>
              <w:t>供应商特定资格证明文件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供应商须提供投标截止时间前半年内任意一个月的缴税证明（依法免税或零申报的投标人须提供相关文件证明；若为新成立企业可提供相应月度的缴税证明），供应商需在项目电子化交易系统中按要求上传相应证明文件并进行电子签章</w:t>
            </w:r>
          </w:p>
        </w:tc>
        <w:tc>
          <w:tcPr>
            <w:tcW w:type="dxa" w:w="1661"/>
          </w:tcPr>
          <w:p>
            <w:pPr>
              <w:pStyle w:val="null3"/>
            </w:pPr>
            <w:r>
              <w:rPr/>
              <w:t>供应商特定资格证明文件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供应商须提供投标截止时间前半年内任意一个月的社会保险缴纳证明（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t>供应商特定资格证明文件</w:t>
            </w:r>
          </w:p>
        </w:tc>
      </w:tr>
      <w:tr>
        <w:tc>
          <w:tcPr>
            <w:tcW w:type="dxa" w:w="831"/>
          </w:tcPr>
          <w:p>
            <w:pPr>
              <w:pStyle w:val="null3"/>
            </w:pPr>
            <w:r>
              <w:rPr/>
              <w:t>6</w:t>
            </w:r>
          </w:p>
        </w:tc>
        <w:tc>
          <w:tcPr>
            <w:tcW w:type="dxa" w:w="2492"/>
          </w:tcPr>
          <w:p>
            <w:pPr>
              <w:pStyle w:val="null3"/>
            </w:pPr>
            <w:r>
              <w:rPr/>
              <w:t>具有履行合同所必需的设备和专业技术能力的承诺函</w:t>
            </w:r>
          </w:p>
        </w:tc>
        <w:tc>
          <w:tcPr>
            <w:tcW w:type="dxa" w:w="3322"/>
          </w:tcPr>
          <w:p>
            <w:pPr>
              <w:pStyle w:val="null3"/>
            </w:pPr>
            <w:r>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t>供应商特定资格证明文件</w:t>
            </w:r>
          </w:p>
        </w:tc>
      </w:tr>
      <w:tr>
        <w:tc>
          <w:tcPr>
            <w:tcW w:type="dxa" w:w="831"/>
          </w:tcPr>
          <w:p>
            <w:pPr>
              <w:pStyle w:val="null3"/>
            </w:pPr>
            <w:r>
              <w:rPr/>
              <w:t>7</w:t>
            </w:r>
          </w:p>
        </w:tc>
        <w:tc>
          <w:tcPr>
            <w:tcW w:type="dxa" w:w="2492"/>
          </w:tcPr>
          <w:p>
            <w:pPr>
              <w:pStyle w:val="null3"/>
            </w:pPr>
            <w:r>
              <w:rPr/>
              <w:t>无重大违法记录的书面声明</w:t>
            </w:r>
          </w:p>
        </w:tc>
        <w:tc>
          <w:tcPr>
            <w:tcW w:type="dxa" w:w="3322"/>
          </w:tcPr>
          <w:p>
            <w:pPr>
              <w:pStyle w:val="null3"/>
            </w:pPr>
            <w:r>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供应商特定资格证明文件</w:t>
            </w:r>
          </w:p>
        </w:tc>
      </w:tr>
      <w:tr>
        <w:tc>
          <w:tcPr>
            <w:tcW w:type="dxa" w:w="831"/>
          </w:tcPr>
          <w:p>
            <w:pPr>
              <w:pStyle w:val="null3"/>
            </w:pPr>
            <w:r>
              <w:rPr/>
              <w:t>8</w:t>
            </w:r>
          </w:p>
        </w:tc>
        <w:tc>
          <w:tcPr>
            <w:tcW w:type="dxa" w:w="2492"/>
          </w:tcPr>
          <w:p>
            <w:pPr>
              <w:pStyle w:val="null3"/>
            </w:pPr>
            <w:r>
              <w:rPr/>
              <w:t>进口产品要求</w:t>
            </w:r>
          </w:p>
        </w:tc>
        <w:tc>
          <w:tcPr>
            <w:tcW w:type="dxa" w:w="3322"/>
          </w:tcPr>
          <w:p>
            <w:pPr>
              <w:pStyle w:val="null3"/>
            </w:pPr>
            <w:r>
              <w:rPr/>
              <w:t>供应商所投产品为进口产品须提供产品制造厂商针对该产品完整授权链的授权书。供应商需在项目电子化交易系统中按要求上传相应证明文件并进行电子签章。国产产品不需要提供。</w:t>
            </w:r>
          </w:p>
        </w:tc>
        <w:tc>
          <w:tcPr>
            <w:tcW w:type="dxa" w:w="1661"/>
          </w:tcPr>
          <w:p>
            <w:pPr>
              <w:pStyle w:val="null3"/>
            </w:pPr>
            <w:r>
              <w:rPr/>
              <w:t>供应商特定资格证明文件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t>供应商特定资格证明文件（含中小企业声明函）</w:t>
            </w:r>
          </w:p>
        </w:tc>
      </w:tr>
      <w:tr>
        <w:tc>
          <w:tcPr>
            <w:tcW w:type="dxa" w:w="831"/>
          </w:tcPr>
          <w:p>
            <w:pPr>
              <w:pStyle w:val="null3"/>
            </w:pPr>
            <w:r>
              <w:rPr/>
              <w:t>2</w:t>
            </w:r>
          </w:p>
        </w:tc>
        <w:tc>
          <w:tcPr>
            <w:tcW w:type="dxa" w:w="2492"/>
          </w:tcPr>
          <w:p>
            <w:pPr>
              <w:pStyle w:val="null3"/>
            </w:pPr>
            <w:r>
              <w:rPr/>
              <w:t>法定代表人证明书或授权书</w:t>
            </w:r>
          </w:p>
        </w:tc>
        <w:tc>
          <w:tcPr>
            <w:tcW w:type="dxa" w:w="3322"/>
          </w:tcPr>
          <w:p>
            <w:pPr>
              <w:pStyle w:val="null3"/>
            </w:pPr>
            <w:r>
              <w:rPr/>
              <w:t>法定代表人直接参加投标的须提交法定代表人证明书；法定代表人授权代表参加投标的，须出具法定代表人证明书及授权书，供应商需在项目电子化交易系统中按要求上传相应证明文件并进行电子签章</w:t>
            </w:r>
          </w:p>
        </w:tc>
        <w:tc>
          <w:tcPr>
            <w:tcW w:type="dxa" w:w="1661"/>
          </w:tcPr>
          <w:p>
            <w:pPr>
              <w:pStyle w:val="null3"/>
            </w:pPr>
            <w:r>
              <w:rPr/>
              <w:t>供应商特定资格证明文件（含中小企业声明函）</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供应商须提供2023年度经会计师事务所审计的审计报告（新成立企业可从成立当年开始提供相对应的财务报表）或其投标前三个月内基本存款账户开户银行出具的资信证明，供应商需在项目电子化交易系统中按要求上传相应证明文件并进行电子签章</w:t>
            </w:r>
          </w:p>
        </w:tc>
        <w:tc>
          <w:tcPr>
            <w:tcW w:type="dxa" w:w="1661"/>
          </w:tcPr>
          <w:p>
            <w:pPr>
              <w:pStyle w:val="null3"/>
            </w:pPr>
            <w:r>
              <w:rPr/>
              <w:t>供应商特定资格证明文件（含中小企业声明函）</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供应商须提供投标截止时间前半年内任意一个月的缴税证明（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t>供应商特定资格证明文件（含中小企业声明函）</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供应商须提供投标截止时间前半年内任意一个月的社会保险缴纳证明（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t>供应商特定资格证明文件（含中小企业声明函）</w:t>
            </w:r>
          </w:p>
        </w:tc>
      </w:tr>
      <w:tr>
        <w:tc>
          <w:tcPr>
            <w:tcW w:type="dxa" w:w="831"/>
          </w:tcPr>
          <w:p>
            <w:pPr>
              <w:pStyle w:val="null3"/>
            </w:pPr>
            <w:r>
              <w:rPr/>
              <w:t>6</w:t>
            </w:r>
          </w:p>
        </w:tc>
        <w:tc>
          <w:tcPr>
            <w:tcW w:type="dxa" w:w="2492"/>
          </w:tcPr>
          <w:p>
            <w:pPr>
              <w:pStyle w:val="null3"/>
            </w:pPr>
            <w:r>
              <w:rPr/>
              <w:t>履行合同所必需的设备和专业技术能力的承诺函</w:t>
            </w:r>
          </w:p>
        </w:tc>
        <w:tc>
          <w:tcPr>
            <w:tcW w:type="dxa" w:w="3322"/>
          </w:tcPr>
          <w:p>
            <w:pPr>
              <w:pStyle w:val="null3"/>
            </w:pPr>
            <w:r>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t>供应商特定资格证明文件（含中小企业声明函）</w:t>
            </w:r>
          </w:p>
        </w:tc>
      </w:tr>
      <w:tr>
        <w:tc>
          <w:tcPr>
            <w:tcW w:type="dxa" w:w="831"/>
          </w:tcPr>
          <w:p>
            <w:pPr>
              <w:pStyle w:val="null3"/>
            </w:pPr>
            <w:r>
              <w:rPr/>
              <w:t>7</w:t>
            </w:r>
          </w:p>
        </w:tc>
        <w:tc>
          <w:tcPr>
            <w:tcW w:type="dxa" w:w="2492"/>
          </w:tcPr>
          <w:p>
            <w:pPr>
              <w:pStyle w:val="null3"/>
            </w:pPr>
            <w:r>
              <w:rPr/>
              <w:t>无重大违法记录的书面声明</w:t>
            </w:r>
          </w:p>
        </w:tc>
        <w:tc>
          <w:tcPr>
            <w:tcW w:type="dxa" w:w="3322"/>
          </w:tcPr>
          <w:p>
            <w:pPr>
              <w:pStyle w:val="null3"/>
            </w:pPr>
            <w:r>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供应商特定资格证明文件（含中小企业声明函）</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专门面向中小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t>供应商特定资格证明文件（含中小企业声明函）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与项目的一致性</w:t>
            </w:r>
          </w:p>
        </w:tc>
        <w:tc>
          <w:tcPr>
            <w:tcW w:type="dxa" w:w="3322"/>
          </w:tcPr>
          <w:p>
            <w:pPr>
              <w:pStyle w:val="null3"/>
            </w:pPr>
            <w:r>
              <w:rPr/>
              <w:t>响应文件中项目名称、项目编号与本项目一致，无遗漏；</w:t>
            </w:r>
          </w:p>
        </w:tc>
        <w:tc>
          <w:tcPr>
            <w:tcW w:type="dxa" w:w="1661"/>
          </w:tcPr>
          <w:p>
            <w:pPr>
              <w:pStyle w:val="null3"/>
            </w:pPr>
            <w:r>
              <w:rPr/>
              <w:t>响应文件封面 分项报价表 标的清单 报价表 供应商承诺书 响应函</w:t>
            </w:r>
          </w:p>
        </w:tc>
      </w:tr>
      <w:tr>
        <w:tc>
          <w:tcPr>
            <w:tcW w:type="dxa" w:w="831"/>
          </w:tcPr>
          <w:p>
            <w:pPr>
              <w:pStyle w:val="null3"/>
            </w:pPr>
            <w:r>
              <w:rPr/>
              <w:t>3</w:t>
            </w:r>
          </w:p>
        </w:tc>
        <w:tc>
          <w:tcPr>
            <w:tcW w:type="dxa" w:w="2492"/>
          </w:tcPr>
          <w:p>
            <w:pPr>
              <w:pStyle w:val="null3"/>
            </w:pPr>
            <w:r>
              <w:rPr/>
              <w:t>签字或盖章</w:t>
            </w:r>
          </w:p>
        </w:tc>
        <w:tc>
          <w:tcPr>
            <w:tcW w:type="dxa" w:w="3322"/>
          </w:tcPr>
          <w:p>
            <w:pPr>
              <w:pStyle w:val="null3"/>
            </w:pPr>
            <w:r>
              <w:rPr/>
              <w:t>响应文件签署、盖章及投标有效期符合磋商文件要求；</w:t>
            </w:r>
          </w:p>
        </w:tc>
        <w:tc>
          <w:tcPr>
            <w:tcW w:type="dxa" w:w="1661"/>
          </w:tcPr>
          <w:p>
            <w:pPr>
              <w:pStyle w:val="null3"/>
            </w:pPr>
            <w:r>
              <w:rPr/>
              <w:t>分项报价表 标的清单 报价表 供应商承诺书 响应函</w:t>
            </w:r>
          </w:p>
        </w:tc>
      </w:tr>
      <w:tr>
        <w:tc>
          <w:tcPr>
            <w:tcW w:type="dxa" w:w="831"/>
          </w:tcPr>
          <w:p>
            <w:pPr>
              <w:pStyle w:val="null3"/>
            </w:pPr>
            <w:r>
              <w:rPr/>
              <w:t>4</w:t>
            </w:r>
          </w:p>
        </w:tc>
        <w:tc>
          <w:tcPr>
            <w:tcW w:type="dxa" w:w="2492"/>
          </w:tcPr>
          <w:p>
            <w:pPr>
              <w:pStyle w:val="null3"/>
            </w:pPr>
            <w:r>
              <w:rPr/>
              <w:t>响应报价符合唯一性要求</w:t>
            </w:r>
          </w:p>
        </w:tc>
        <w:tc>
          <w:tcPr>
            <w:tcW w:type="dxa" w:w="3322"/>
          </w:tcPr>
          <w:p>
            <w:pPr>
              <w:pStyle w:val="null3"/>
            </w:pPr>
            <w:r>
              <w:rPr/>
              <w:t>响应报价未超出采购预算或采购最高限价；</w:t>
            </w:r>
          </w:p>
        </w:tc>
        <w:tc>
          <w:tcPr>
            <w:tcW w:type="dxa" w:w="1661"/>
          </w:tcPr>
          <w:p>
            <w:pPr>
              <w:pStyle w:val="null3"/>
            </w:pPr>
            <w:r>
              <w:rPr/>
              <w:t>分项报价表 标的清单</w:t>
            </w:r>
          </w:p>
        </w:tc>
      </w:tr>
      <w:tr>
        <w:tc>
          <w:tcPr>
            <w:tcW w:type="dxa" w:w="831"/>
          </w:tcPr>
          <w:p>
            <w:pPr>
              <w:pStyle w:val="null3"/>
            </w:pPr>
            <w:r>
              <w:rPr/>
              <w:t>5</w:t>
            </w:r>
          </w:p>
        </w:tc>
        <w:tc>
          <w:tcPr>
            <w:tcW w:type="dxa" w:w="2492"/>
          </w:tcPr>
          <w:p>
            <w:pPr>
              <w:pStyle w:val="null3"/>
            </w:pPr>
            <w:r>
              <w:rPr/>
              <w:t>响应内容与要求</w:t>
            </w:r>
          </w:p>
        </w:tc>
        <w:tc>
          <w:tcPr>
            <w:tcW w:type="dxa" w:w="3322"/>
          </w:tcPr>
          <w:p>
            <w:pPr>
              <w:pStyle w:val="null3"/>
            </w:pPr>
            <w:r>
              <w:rPr/>
              <w:t>响应服务内容未出现漏项；数量与要求相符；</w:t>
            </w:r>
          </w:p>
        </w:tc>
        <w:tc>
          <w:tcPr>
            <w:tcW w:type="dxa" w:w="1661"/>
          </w:tcPr>
          <w:p>
            <w:pPr>
              <w:pStyle w:val="null3"/>
            </w:pPr>
            <w:r>
              <w:rPr/>
              <w:t>商务响应表 产品技术指标偏差表</w:t>
            </w:r>
          </w:p>
        </w:tc>
      </w:tr>
      <w:tr>
        <w:tc>
          <w:tcPr>
            <w:tcW w:type="dxa" w:w="831"/>
          </w:tcPr>
          <w:p>
            <w:pPr>
              <w:pStyle w:val="null3"/>
            </w:pPr>
            <w:r>
              <w:rPr/>
              <w:t>6</w:t>
            </w:r>
          </w:p>
        </w:tc>
        <w:tc>
          <w:tcPr>
            <w:tcW w:type="dxa" w:w="2492"/>
          </w:tcPr>
          <w:p>
            <w:pPr>
              <w:pStyle w:val="null3"/>
            </w:pPr>
            <w:r>
              <w:rPr/>
              <w:t>响应产品的技术指标</w:t>
            </w:r>
          </w:p>
        </w:tc>
        <w:tc>
          <w:tcPr>
            <w:tcW w:type="dxa" w:w="3322"/>
          </w:tcPr>
          <w:p>
            <w:pPr>
              <w:pStyle w:val="null3"/>
            </w:pPr>
            <w:r>
              <w:rPr/>
              <w:t>响应产品的技术指标无重大偏离，未造成产品档次降低或严重影响产品质量；</w:t>
            </w:r>
          </w:p>
        </w:tc>
        <w:tc>
          <w:tcPr>
            <w:tcW w:type="dxa" w:w="1661"/>
          </w:tcPr>
          <w:p>
            <w:pPr>
              <w:pStyle w:val="null3"/>
            </w:pPr>
            <w:r>
              <w:rPr/>
              <w:t>商务响应表 产品技术指标偏差表</w:t>
            </w:r>
          </w:p>
        </w:tc>
      </w:tr>
      <w:tr>
        <w:tc>
          <w:tcPr>
            <w:tcW w:type="dxa" w:w="831"/>
          </w:tcPr>
          <w:p>
            <w:pPr>
              <w:pStyle w:val="null3"/>
            </w:pPr>
            <w:r>
              <w:rPr/>
              <w:t>7</w:t>
            </w:r>
          </w:p>
        </w:tc>
        <w:tc>
          <w:tcPr>
            <w:tcW w:type="dxa" w:w="2492"/>
          </w:tcPr>
          <w:p>
            <w:pPr>
              <w:pStyle w:val="null3"/>
            </w:pPr>
            <w:r>
              <w:rPr/>
              <w:t>“无效磋商”的情形及未实质性响应磋商文件的情况</w:t>
            </w:r>
          </w:p>
        </w:tc>
        <w:tc>
          <w:tcPr>
            <w:tcW w:type="dxa" w:w="3322"/>
          </w:tcPr>
          <w:p>
            <w:pPr>
              <w:pStyle w:val="null3"/>
            </w:pPr>
            <w:r>
              <w:rPr/>
              <w:t>没有出现法律法规或磋商文件明确规定的其他被视为“无效磋商”的情形及未实质性响应磋商文件的情况。</w:t>
            </w:r>
          </w:p>
        </w:tc>
        <w:tc>
          <w:tcPr>
            <w:tcW w:type="dxa" w:w="1661"/>
          </w:tcPr>
          <w:p>
            <w:pPr>
              <w:pStyle w:val="null3"/>
            </w:pPr>
            <w:r>
              <w:rPr/>
              <w:t>供应商需要加以说明的其他内容 供应商承诺书 响应函 供应商身份证明</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与项目的一致性</w:t>
            </w:r>
          </w:p>
        </w:tc>
        <w:tc>
          <w:tcPr>
            <w:tcW w:type="dxa" w:w="3322"/>
          </w:tcPr>
          <w:p>
            <w:pPr>
              <w:pStyle w:val="null3"/>
            </w:pPr>
            <w:r>
              <w:rPr/>
              <w:t>响应文件中项目名称、项目编号与本项目一致，无遗漏；</w:t>
            </w:r>
          </w:p>
        </w:tc>
        <w:tc>
          <w:tcPr>
            <w:tcW w:type="dxa" w:w="1661"/>
          </w:tcPr>
          <w:p>
            <w:pPr>
              <w:pStyle w:val="null3"/>
            </w:pPr>
            <w:r>
              <w:rPr/>
              <w:t>响应文件封面 分项报价表 标的清单 报价表 供应商承诺书 响应函</w:t>
            </w:r>
          </w:p>
        </w:tc>
      </w:tr>
      <w:tr>
        <w:tc>
          <w:tcPr>
            <w:tcW w:type="dxa" w:w="831"/>
          </w:tcPr>
          <w:p>
            <w:pPr>
              <w:pStyle w:val="null3"/>
            </w:pPr>
            <w:r>
              <w:rPr/>
              <w:t>3</w:t>
            </w:r>
          </w:p>
        </w:tc>
        <w:tc>
          <w:tcPr>
            <w:tcW w:type="dxa" w:w="2492"/>
          </w:tcPr>
          <w:p>
            <w:pPr>
              <w:pStyle w:val="null3"/>
            </w:pPr>
            <w:r>
              <w:rPr/>
              <w:t>签字或盖章</w:t>
            </w:r>
          </w:p>
        </w:tc>
        <w:tc>
          <w:tcPr>
            <w:tcW w:type="dxa" w:w="3322"/>
          </w:tcPr>
          <w:p>
            <w:pPr>
              <w:pStyle w:val="null3"/>
            </w:pPr>
            <w:r>
              <w:rPr/>
              <w:t>响应文件签署、盖章及投标有效期符合磋商文件要求；</w:t>
            </w:r>
          </w:p>
        </w:tc>
        <w:tc>
          <w:tcPr>
            <w:tcW w:type="dxa" w:w="1661"/>
          </w:tcPr>
          <w:p>
            <w:pPr>
              <w:pStyle w:val="null3"/>
            </w:pPr>
            <w:r>
              <w:rPr/>
              <w:t>分项报价表 标的清单 报价表 供应商承诺书 响应函</w:t>
            </w:r>
          </w:p>
        </w:tc>
      </w:tr>
      <w:tr>
        <w:tc>
          <w:tcPr>
            <w:tcW w:type="dxa" w:w="831"/>
          </w:tcPr>
          <w:p>
            <w:pPr>
              <w:pStyle w:val="null3"/>
            </w:pPr>
            <w:r>
              <w:rPr/>
              <w:t>4</w:t>
            </w:r>
          </w:p>
        </w:tc>
        <w:tc>
          <w:tcPr>
            <w:tcW w:type="dxa" w:w="2492"/>
          </w:tcPr>
          <w:p>
            <w:pPr>
              <w:pStyle w:val="null3"/>
            </w:pPr>
            <w:r>
              <w:rPr/>
              <w:t>响应报价符合唯一性要求</w:t>
            </w:r>
          </w:p>
        </w:tc>
        <w:tc>
          <w:tcPr>
            <w:tcW w:type="dxa" w:w="3322"/>
          </w:tcPr>
          <w:p>
            <w:pPr>
              <w:pStyle w:val="null3"/>
            </w:pPr>
            <w:r>
              <w:rPr/>
              <w:t>响应报价未超出采购预算或采购最高限价；</w:t>
            </w:r>
          </w:p>
        </w:tc>
        <w:tc>
          <w:tcPr>
            <w:tcW w:type="dxa" w:w="1661"/>
          </w:tcPr>
          <w:p>
            <w:pPr>
              <w:pStyle w:val="null3"/>
            </w:pPr>
            <w:r>
              <w:rPr/>
              <w:t>分项报价表 标的清单</w:t>
            </w:r>
          </w:p>
        </w:tc>
      </w:tr>
      <w:tr>
        <w:tc>
          <w:tcPr>
            <w:tcW w:type="dxa" w:w="831"/>
          </w:tcPr>
          <w:p>
            <w:pPr>
              <w:pStyle w:val="null3"/>
            </w:pPr>
            <w:r>
              <w:rPr/>
              <w:t>5</w:t>
            </w:r>
          </w:p>
        </w:tc>
        <w:tc>
          <w:tcPr>
            <w:tcW w:type="dxa" w:w="2492"/>
          </w:tcPr>
          <w:p>
            <w:pPr>
              <w:pStyle w:val="null3"/>
            </w:pPr>
            <w:r>
              <w:rPr/>
              <w:t>响应内容与要求</w:t>
            </w:r>
          </w:p>
        </w:tc>
        <w:tc>
          <w:tcPr>
            <w:tcW w:type="dxa" w:w="3322"/>
          </w:tcPr>
          <w:p>
            <w:pPr>
              <w:pStyle w:val="null3"/>
            </w:pPr>
            <w:r>
              <w:rPr/>
              <w:t>响应服务内容未出现漏项；数量与要求相符；</w:t>
            </w:r>
          </w:p>
        </w:tc>
        <w:tc>
          <w:tcPr>
            <w:tcW w:type="dxa" w:w="1661"/>
          </w:tcPr>
          <w:p>
            <w:pPr>
              <w:pStyle w:val="null3"/>
            </w:pPr>
            <w:r>
              <w:rPr/>
              <w:t>商务响应表 产品技术指标偏差表</w:t>
            </w:r>
          </w:p>
        </w:tc>
      </w:tr>
      <w:tr>
        <w:tc>
          <w:tcPr>
            <w:tcW w:type="dxa" w:w="831"/>
          </w:tcPr>
          <w:p>
            <w:pPr>
              <w:pStyle w:val="null3"/>
            </w:pPr>
            <w:r>
              <w:rPr/>
              <w:t>6</w:t>
            </w:r>
          </w:p>
        </w:tc>
        <w:tc>
          <w:tcPr>
            <w:tcW w:type="dxa" w:w="2492"/>
          </w:tcPr>
          <w:p>
            <w:pPr>
              <w:pStyle w:val="null3"/>
            </w:pPr>
            <w:r>
              <w:rPr/>
              <w:t>响应产品的技术指标</w:t>
            </w:r>
          </w:p>
        </w:tc>
        <w:tc>
          <w:tcPr>
            <w:tcW w:type="dxa" w:w="3322"/>
          </w:tcPr>
          <w:p>
            <w:pPr>
              <w:pStyle w:val="null3"/>
            </w:pPr>
            <w:r>
              <w:rPr/>
              <w:t>响应产品的技术指标无重大偏离，未造成产品档次降低或严重影响产品质量；</w:t>
            </w:r>
          </w:p>
        </w:tc>
        <w:tc>
          <w:tcPr>
            <w:tcW w:type="dxa" w:w="1661"/>
          </w:tcPr>
          <w:p>
            <w:pPr>
              <w:pStyle w:val="null3"/>
            </w:pPr>
            <w:r>
              <w:rPr/>
              <w:t>商务响应表 产品技术指标偏差表</w:t>
            </w:r>
          </w:p>
        </w:tc>
      </w:tr>
      <w:tr>
        <w:tc>
          <w:tcPr>
            <w:tcW w:type="dxa" w:w="831"/>
          </w:tcPr>
          <w:p>
            <w:pPr>
              <w:pStyle w:val="null3"/>
            </w:pPr>
            <w:r>
              <w:rPr/>
              <w:t>7</w:t>
            </w:r>
          </w:p>
        </w:tc>
        <w:tc>
          <w:tcPr>
            <w:tcW w:type="dxa" w:w="2492"/>
          </w:tcPr>
          <w:p>
            <w:pPr>
              <w:pStyle w:val="null3"/>
            </w:pPr>
            <w:r>
              <w:rPr/>
              <w:t>“无效磋商”的情形及未实质性响应磋商文件的情况</w:t>
            </w:r>
          </w:p>
        </w:tc>
        <w:tc>
          <w:tcPr>
            <w:tcW w:type="dxa" w:w="3322"/>
          </w:tcPr>
          <w:p>
            <w:pPr>
              <w:pStyle w:val="null3"/>
            </w:pPr>
            <w:r>
              <w:rPr/>
              <w:t>没有出现法律法规或磋商文件明确规定的其他被视为“无效磋商”的情形及未实质性响应磋商文件的情况。</w:t>
            </w:r>
          </w:p>
        </w:tc>
        <w:tc>
          <w:tcPr>
            <w:tcW w:type="dxa" w:w="1661"/>
          </w:tcPr>
          <w:p>
            <w:pPr>
              <w:pStyle w:val="null3"/>
            </w:pPr>
            <w:r>
              <w:rPr/>
              <w:t>供应商需要加以说明的其他内容 供应商承诺书 响应函 供应商身份证明</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技术指标响应</w:t>
            </w:r>
          </w:p>
        </w:tc>
        <w:tc>
          <w:tcPr>
            <w:tcW w:type="dxa" w:w="2492"/>
          </w:tcPr>
          <w:p>
            <w:pPr>
              <w:pStyle w:val="null3"/>
            </w:pPr>
            <w:r>
              <w:rPr/>
              <w:t>响应产品选型符合使用需求，产品配置完整合理，根据响应产品的技术指标对磋商文件的响应程度计分。其技术指标完全满足磋商文件要求计30分，部分项负偏离按以下说明扣分： 1、响应技术指标出现▲号项负偏离的，每项扣1分。 2、响应技术指标出现非▲号项负偏离的，每项扣0.6分，扣完为止。 注：▲号项条款偏离情况除偏离表响应外还须提供相应的指标证明文件包括但不限于制造商出具的证明文件、产品彩页、功能截图、检测报告等证明文件，否则不计分。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磋商响应方案-技术指标响应</w:t>
            </w:r>
          </w:p>
        </w:tc>
      </w:tr>
      <w:tr>
        <w:tc>
          <w:tcPr>
            <w:tcW w:type="dxa" w:w="831"/>
            <w:vMerge/>
          </w:tcPr>
          <w:p/>
        </w:tc>
        <w:tc>
          <w:tcPr>
            <w:tcW w:type="dxa" w:w="1661"/>
          </w:tcPr>
          <w:p>
            <w:pPr>
              <w:pStyle w:val="null3"/>
            </w:pPr>
            <w:r>
              <w:rPr/>
              <w:t>实施方案</w:t>
            </w:r>
          </w:p>
        </w:tc>
        <w:tc>
          <w:tcPr>
            <w:tcW w:type="dxa" w:w="2492"/>
          </w:tcPr>
          <w:p>
            <w:pPr>
              <w:pStyle w:val="null3"/>
            </w:pPr>
            <w:r>
              <w:rPr/>
              <w:t>供应商针对本项目有具体的实施方案。包括但不限于整体规划、备货、进度计划、供货组织、人员配置、分工明细、配送保障等。 a.实施方案完整详细、步骤清晰、进度安排和人员配置合理、分工明确、配送有保障、可操作性及可行性强的得5分； b.实施方案基本完整、步骤基本清晰、进度安排和人员配置基本合理、分工基本明确、配送基本有保障、有基本的可操作性及可行性的得3分； c.实施方案不完整、实施步骤不清晰、进度安排和人员配置欠缺合理性、分工不明确、配送无有保障、可操作性及可行性差的得1分； d.未提供实施方案或实施方案脱离实际的不得分。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磋商响应方案-实施方案</w:t>
            </w:r>
          </w:p>
        </w:tc>
      </w:tr>
      <w:tr>
        <w:tc>
          <w:tcPr>
            <w:tcW w:type="dxa" w:w="831"/>
            <w:vMerge/>
          </w:tcPr>
          <w:p/>
        </w:tc>
        <w:tc>
          <w:tcPr>
            <w:tcW w:type="dxa" w:w="1661"/>
          </w:tcPr>
          <w:p>
            <w:pPr>
              <w:pStyle w:val="null3"/>
            </w:pPr>
            <w:r>
              <w:rPr/>
              <w:t>安装调试方案</w:t>
            </w:r>
          </w:p>
        </w:tc>
        <w:tc>
          <w:tcPr>
            <w:tcW w:type="dxa" w:w="2492"/>
          </w:tcPr>
          <w:p>
            <w:pPr>
              <w:pStyle w:val="null3"/>
            </w:pPr>
            <w:r>
              <w:rPr/>
              <w:t>供应商针对本项目有具体的安装调试方案。包含但不限于安装、调试组织措施，针对本项目特点做出合理计划及调配，由专业的技术人员提供设备安装服务，保证设备或系统的顺利使用和稳定运行。 a.安装、调试方案完整、科学合理、措施得当、能完全体现出安装及调试的专业服务得5分； b.安装、调试方案基本完整，有基本的科学合理性、措施基本得当、能体现出安装及调试的专业服务得3分； c.安装、调试方案不全面，科学合理性较差、措施不得当、不能能体现出安装及调试的专业服务得1分； d.未提供安装调试方案或方案脱离实际的不得分。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磋商响应方案-安装调试方案</w:t>
            </w:r>
          </w:p>
        </w:tc>
      </w:tr>
      <w:tr>
        <w:tc>
          <w:tcPr>
            <w:tcW w:type="dxa" w:w="831"/>
            <w:vMerge/>
          </w:tcPr>
          <w:p/>
        </w:tc>
        <w:tc>
          <w:tcPr>
            <w:tcW w:type="dxa" w:w="1661"/>
          </w:tcPr>
          <w:p>
            <w:pPr>
              <w:pStyle w:val="null3"/>
            </w:pPr>
            <w:r>
              <w:rPr/>
              <w:t>质量保证</w:t>
            </w:r>
          </w:p>
        </w:tc>
        <w:tc>
          <w:tcPr>
            <w:tcW w:type="dxa" w:w="2492"/>
          </w:tcPr>
          <w:p>
            <w:pPr>
              <w:pStyle w:val="null3"/>
            </w:pPr>
            <w:r>
              <w:rPr/>
              <w:t>供应商针对本项目提供系统完整的质量保证措施和承诺。 a.质量保障措施目标明确、控制措施完善、质量标准高、验收方法可行性高、质量承诺详细的得5分； b.质量保障措施目标较为明确、控制措施较为完善、质量标准较高、验收方法可行性较高、质量承诺较为详细的得3分； c.质量保障措施目标欠缺明确性，控制措施简单笼统，控制措施不完善、质量标准低、验收方法可行性低、质量承诺不详细的得1分； d.未提供质量保障措施或质量保障措施脱离实际的不得分。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磋商响应方案-质量保证</w:t>
            </w:r>
          </w:p>
        </w:tc>
      </w:tr>
      <w:tr>
        <w:tc>
          <w:tcPr>
            <w:tcW w:type="dxa" w:w="831"/>
            <w:vMerge/>
          </w:tcPr>
          <w:p/>
        </w:tc>
        <w:tc>
          <w:tcPr>
            <w:tcW w:type="dxa" w:w="1661"/>
          </w:tcPr>
          <w:p>
            <w:pPr>
              <w:pStyle w:val="null3"/>
            </w:pPr>
            <w:r>
              <w:rPr/>
              <w:t>应急预案</w:t>
            </w:r>
          </w:p>
        </w:tc>
        <w:tc>
          <w:tcPr>
            <w:tcW w:type="dxa" w:w="2492"/>
          </w:tcPr>
          <w:p>
            <w:pPr>
              <w:pStyle w:val="null3"/>
            </w:pPr>
            <w:r>
              <w:rPr/>
              <w:t>供应商针对本项目实际情况提供应急预案，应急预案包含：①出现质量问题时的紧急处理措施②遇到突发事故时的应急处理方案③故障响应时技术保障及备品备件方案。 a.应急预案全面，处理保障措施完善，有明确的应急机制，应急响应时间合理、人员保证充分，处置方案有针对性得5分。 b.应急预案较为全面，处理保障措施基本合理，应急响应时间不够合理、人员保证不够充分，处置方案针对性较强得3分； c.应急预案不够全面，可操作性、针对性与项目特点不符得1分； d.未提供应急预案或应急预案完全脱离项目实际的不得分。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磋商响应方案-应急预案</w:t>
            </w:r>
          </w:p>
        </w:tc>
      </w:tr>
      <w:tr>
        <w:tc>
          <w:tcPr>
            <w:tcW w:type="dxa" w:w="831"/>
            <w:vMerge/>
          </w:tcPr>
          <w:p/>
        </w:tc>
        <w:tc>
          <w:tcPr>
            <w:tcW w:type="dxa" w:w="1661"/>
          </w:tcPr>
          <w:p>
            <w:pPr>
              <w:pStyle w:val="null3"/>
            </w:pPr>
            <w:r>
              <w:rPr/>
              <w:t>产品货源渠道</w:t>
            </w:r>
          </w:p>
        </w:tc>
        <w:tc>
          <w:tcPr>
            <w:tcW w:type="dxa" w:w="2492"/>
          </w:tcPr>
          <w:p>
            <w:pPr>
              <w:pStyle w:val="null3"/>
            </w:pPr>
            <w:r>
              <w:rPr/>
              <w:t>所投产品货源渠道正常，确保无假货、水货、翻新货，技术资料齐全，无产权纠纷，并提供产品货源渠道证明材料，计3分；产品货源渠道内容不全的计1分；未提供核心产品货源渠道的不计分。 注：相关证明材料包括但不限于销售协议、代理协议、原厂授权等。</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磋商响应方案-产品货源渠道</w:t>
            </w:r>
          </w:p>
        </w:tc>
      </w:tr>
      <w:tr>
        <w:tc>
          <w:tcPr>
            <w:tcW w:type="dxa" w:w="831"/>
            <w:vMerge/>
          </w:tcPr>
          <w:p/>
        </w:tc>
        <w:tc>
          <w:tcPr>
            <w:tcW w:type="dxa" w:w="1661"/>
          </w:tcPr>
          <w:p>
            <w:pPr>
              <w:pStyle w:val="null3"/>
            </w:pPr>
            <w:r>
              <w:rPr/>
              <w:t>节能环境标志产品</w:t>
            </w:r>
          </w:p>
        </w:tc>
        <w:tc>
          <w:tcPr>
            <w:tcW w:type="dxa" w:w="2492"/>
          </w:tcPr>
          <w:p>
            <w:pPr>
              <w:pStyle w:val="null3"/>
            </w:pPr>
            <w:r>
              <w:rPr/>
              <w:t>所投产品属于《环境标志产品政府采购品目清单》范围内，且具有国家确定的认证机构出具的处于有效期之内的中国环境标志产品认证证书，每有一项得0.5分（提供复印件加并加盖公章）； 所投产品属于《节能产品政府采购目录清单》范围内(政府强制采购产品除外)，且具有国家确定的认证机构出具的处于有效期之内的中国节能产品认证证书，每有一项得0.5分（提供复印件加并加盖公章）； 供应商所投产品中每有一项产品同时为节能产品和环境标志产品的得1分（提供复印件加并加盖公章）； 以上认证证书不重复计分，最高得2分。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磋商响应方案-节能环境标志产品</w:t>
            </w:r>
          </w:p>
        </w:tc>
      </w:tr>
      <w:tr>
        <w:tc>
          <w:tcPr>
            <w:tcW w:type="dxa" w:w="831"/>
            <w:vMerge/>
          </w:tcPr>
          <w:p/>
        </w:tc>
        <w:tc>
          <w:tcPr>
            <w:tcW w:type="dxa" w:w="1661"/>
          </w:tcPr>
          <w:p>
            <w:pPr>
              <w:pStyle w:val="null3"/>
            </w:pPr>
            <w:r>
              <w:rPr/>
              <w:t>售后服务</w:t>
            </w:r>
          </w:p>
        </w:tc>
        <w:tc>
          <w:tcPr>
            <w:tcW w:type="dxa" w:w="2492"/>
          </w:tcPr>
          <w:p>
            <w:pPr>
              <w:pStyle w:val="null3"/>
            </w:pPr>
            <w:r>
              <w:rPr/>
              <w:t>供应商针对本项目有详细可行的售后服务方案及承诺，包括但不限于包含售后服务机构承诺、售后服务保障措施、人员配置安排计划、故障处理响应时间安排计划、质量保证期限及质量保证的范围承诺、应急处理等等。 a.售后服务承诺及方案满足采购要求，涵盖全面，针对性强，与项目的实际情况完全契合计5分； b.售后服务承诺及方案基本满足采购要求，涵盖较全面但有不足，针对性不强，与项目的实际情况比较相契合计3分； c.售后服务承诺及方案不能满足要求，涵盖内容粗略，与项目的实际情况不契合计1分； d.未提供售后服务方案及承诺或方案及承诺完全脱离项目实际的不得分。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磋商响应方案-售后服务</w:t>
            </w:r>
          </w:p>
        </w:tc>
      </w:tr>
      <w:tr>
        <w:tc>
          <w:tcPr>
            <w:tcW w:type="dxa" w:w="831"/>
            <w:vMerge/>
          </w:tcPr>
          <w:p/>
        </w:tc>
        <w:tc>
          <w:tcPr>
            <w:tcW w:type="dxa" w:w="1661"/>
          </w:tcPr>
          <w:p>
            <w:pPr>
              <w:pStyle w:val="null3"/>
            </w:pPr>
            <w:r>
              <w:rPr/>
              <w:t>培训</w:t>
            </w:r>
          </w:p>
        </w:tc>
        <w:tc>
          <w:tcPr>
            <w:tcW w:type="dxa" w:w="2492"/>
          </w:tcPr>
          <w:p>
            <w:pPr>
              <w:pStyle w:val="null3"/>
            </w:pPr>
            <w:r>
              <w:rPr/>
              <w:t>供应商需提供培训方案及培训计划，方案包括但不限于培训计划、培训对象、培训内容、培训方式和培训目标等。 a.培训方案涵盖内容全面、思路清晰、培训方法及安排合理，可行性强能确保使用人员能够独立熟练操作、维护和正常使用的得5分； b.培训方案涵盖内容基本全面，思路较为清晰，培训方法及安排基本合理，可行性较强有利于使用人员能够独立操作、维护和使用的得3分； c.培训方案内容有缺失、思路不清晰、培训方法及安排不合理、可行性低的得1分； d.未提供培训方案或培训方案完全脱离项目实际的不得分。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磋商响应方案-培训</w:t>
            </w:r>
          </w:p>
        </w:tc>
      </w:tr>
      <w:tr>
        <w:tc>
          <w:tcPr>
            <w:tcW w:type="dxa" w:w="831"/>
            <w:vMerge/>
          </w:tcPr>
          <w:p/>
        </w:tc>
        <w:tc>
          <w:tcPr>
            <w:tcW w:type="dxa" w:w="1661"/>
          </w:tcPr>
          <w:p>
            <w:pPr>
              <w:pStyle w:val="null3"/>
            </w:pPr>
            <w:r>
              <w:rPr/>
              <w:t>业绩</w:t>
            </w:r>
          </w:p>
        </w:tc>
        <w:tc>
          <w:tcPr>
            <w:tcW w:type="dxa" w:w="2492"/>
          </w:tcPr>
          <w:p>
            <w:pPr>
              <w:pStyle w:val="null3"/>
            </w:pPr>
            <w:r>
              <w:rPr/>
              <w:t>供应商提供2021年10月1日至今类似项目业绩，以合同复印件为准，每提供一个合同计1分，最高得5分。须提供完整合同并加盖公章，否则不得分。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采用低价优先法计算，满足磋商文件实质性要求且最终报价最低的供应商的价格为磋商基准价，其价格分为满分。 磋商报价得分＝（评标基准价/磋商报价）×30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技术指标响应</w:t>
            </w:r>
          </w:p>
        </w:tc>
        <w:tc>
          <w:tcPr>
            <w:tcW w:type="dxa" w:w="2492"/>
          </w:tcPr>
          <w:p>
            <w:pPr>
              <w:pStyle w:val="null3"/>
            </w:pPr>
            <w:r>
              <w:rPr/>
              <w:t>响应产品选型符合使用需求，产品配置完整合理，根据响应产品的技术指标对磋商文件的响应程度计分。其技术指标完全满足磋商文件要求计30分，部分项负偏离按以下说明扣分： 1、响应技术指标出现▲号项负偏离的，每项扣1分。 2、响应技术指标出现非▲号项负偏离的，每项扣0.75分，扣完为止。 注：▲号项条款偏离情况除偏离表响应外还须提供相应的指标证明文件包括但不限于制造商出具的证明文件、产品彩页、功能截图、检测报告等证明文件，否则不计分。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磋商响应方案-技术指标响应</w:t>
            </w:r>
          </w:p>
        </w:tc>
      </w:tr>
      <w:tr>
        <w:tc>
          <w:tcPr>
            <w:tcW w:type="dxa" w:w="831"/>
            <w:vMerge/>
          </w:tcPr>
          <w:p/>
        </w:tc>
        <w:tc>
          <w:tcPr>
            <w:tcW w:type="dxa" w:w="1661"/>
          </w:tcPr>
          <w:p>
            <w:pPr>
              <w:pStyle w:val="null3"/>
            </w:pPr>
            <w:r>
              <w:rPr/>
              <w:t>实施方案</w:t>
            </w:r>
          </w:p>
        </w:tc>
        <w:tc>
          <w:tcPr>
            <w:tcW w:type="dxa" w:w="2492"/>
          </w:tcPr>
          <w:p>
            <w:pPr>
              <w:pStyle w:val="null3"/>
            </w:pPr>
            <w:r>
              <w:rPr/>
              <w:t>供应商针对本项目有具体的实施方案。包括但不限于整体规划、备货、进度计划、供货组织、人员配置、分工明细、配送保障等。 a.实施方案完整详细、步骤清晰、进度安排和人员配置合理、分工明确、配送有保障、可操作性及可行性强的得5分； b.实施方案基本完整、步骤基本清晰、进度安排和人员配置基本合理、分工基本明确、配送基本有保障、有基本的可操作性及可行性的得3分； c.实施方案不完整、实施步骤不清晰、进度安排和人员配置欠缺合理性、分工不明确、配送无有保障、可操作性及可行性差的得1分； d.未提供实施方案或实施方案脱离实际的不得分。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磋商响应方案-实施方案</w:t>
            </w:r>
          </w:p>
        </w:tc>
      </w:tr>
      <w:tr>
        <w:tc>
          <w:tcPr>
            <w:tcW w:type="dxa" w:w="831"/>
            <w:vMerge/>
          </w:tcPr>
          <w:p/>
        </w:tc>
        <w:tc>
          <w:tcPr>
            <w:tcW w:type="dxa" w:w="1661"/>
          </w:tcPr>
          <w:p>
            <w:pPr>
              <w:pStyle w:val="null3"/>
            </w:pPr>
            <w:r>
              <w:rPr/>
              <w:t>安装调试方案</w:t>
            </w:r>
          </w:p>
        </w:tc>
        <w:tc>
          <w:tcPr>
            <w:tcW w:type="dxa" w:w="2492"/>
          </w:tcPr>
          <w:p>
            <w:pPr>
              <w:pStyle w:val="null3"/>
            </w:pPr>
            <w:r>
              <w:rPr/>
              <w:t>供应商针对本项目有具体的安装调试方案。包含但不限于安装、调试组织措施，针对本项目特点做出合理计划及调配，由专业的技术人员提供设备安装服务，保证设备或系统的顺利使用和稳定运行。 a.安装、调试方案完整、科学合理、措施得当、能完全体现出安装及调试的专业服务得5分； b.安装、调试方案基本完整，有基本的科学合理性、措施基本得当、能体现出安装及调试的专业服务得3分； c.安装、调试方案不全面，科学合理性较差、措施不得当、不能能体现出安装及调试的专业服务得1分； d.未提供安装调试方案或方案脱离实际的不得分。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磋商响应方案-安装调试方案</w:t>
            </w:r>
          </w:p>
        </w:tc>
      </w:tr>
      <w:tr>
        <w:tc>
          <w:tcPr>
            <w:tcW w:type="dxa" w:w="831"/>
            <w:vMerge/>
          </w:tcPr>
          <w:p/>
        </w:tc>
        <w:tc>
          <w:tcPr>
            <w:tcW w:type="dxa" w:w="1661"/>
          </w:tcPr>
          <w:p>
            <w:pPr>
              <w:pStyle w:val="null3"/>
            </w:pPr>
            <w:r>
              <w:rPr/>
              <w:t>质量保证</w:t>
            </w:r>
          </w:p>
        </w:tc>
        <w:tc>
          <w:tcPr>
            <w:tcW w:type="dxa" w:w="2492"/>
          </w:tcPr>
          <w:p>
            <w:pPr>
              <w:pStyle w:val="null3"/>
            </w:pPr>
            <w:r>
              <w:rPr/>
              <w:t>供应商针对本项目提供系统完整的质量保证措施和承诺。 a.质量保障措施目标明确、控制措施完善、质量标准高、验收方法可行性高、质量承诺详细的得5分； b.质量保障措施目标较为明确、控制措施较为完善、质量标准较高、验收方法可行性较高、质量承诺较为详细的得3分； c.质量保障措施目标欠缺明确性，控制措施简单笼统，控制措施不完善、质量标准低、验收方法可行性低、质量承诺不详细的得1分； d.未提供质量保障措施或质量保障措施脱离实际的不得分。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磋商响应方案-质量保证</w:t>
            </w:r>
          </w:p>
        </w:tc>
      </w:tr>
      <w:tr>
        <w:tc>
          <w:tcPr>
            <w:tcW w:type="dxa" w:w="831"/>
            <w:vMerge/>
          </w:tcPr>
          <w:p/>
        </w:tc>
        <w:tc>
          <w:tcPr>
            <w:tcW w:type="dxa" w:w="1661"/>
          </w:tcPr>
          <w:p>
            <w:pPr>
              <w:pStyle w:val="null3"/>
            </w:pPr>
            <w:r>
              <w:rPr/>
              <w:t>应急预案</w:t>
            </w:r>
          </w:p>
        </w:tc>
        <w:tc>
          <w:tcPr>
            <w:tcW w:type="dxa" w:w="2492"/>
          </w:tcPr>
          <w:p>
            <w:pPr>
              <w:pStyle w:val="null3"/>
            </w:pPr>
            <w:r>
              <w:rPr/>
              <w:t>供应商针对本项目实际情况提供应急预案，应急预案包含：①出现质量问题时的紧急处理措施②遇到突发事故时的应急处理方案③故障响应时技术保障及备品备件方案。 a.应急预案全面，处理保障措施完善，有明确的应急机制，应急响应时间合理、人员保证充分，处置方案有针对性得5分。 b.应急预案较为全面，处理保障措施基本合理，应急响应时间不够合理、人员保证不够充分，处置方案针对性较强得3分； c.应急预案不够全面，可操作性、针对性与项目特点不符得1分； d.未提供应急预案或应急预案完全脱离项目实际的不得分。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磋商响应方案-应急预案</w:t>
            </w:r>
          </w:p>
        </w:tc>
      </w:tr>
      <w:tr>
        <w:tc>
          <w:tcPr>
            <w:tcW w:type="dxa" w:w="831"/>
            <w:vMerge/>
          </w:tcPr>
          <w:p/>
        </w:tc>
        <w:tc>
          <w:tcPr>
            <w:tcW w:type="dxa" w:w="1661"/>
          </w:tcPr>
          <w:p>
            <w:pPr>
              <w:pStyle w:val="null3"/>
            </w:pPr>
            <w:r>
              <w:rPr/>
              <w:t>产品货源渠道</w:t>
            </w:r>
          </w:p>
        </w:tc>
        <w:tc>
          <w:tcPr>
            <w:tcW w:type="dxa" w:w="2492"/>
          </w:tcPr>
          <w:p>
            <w:pPr>
              <w:pStyle w:val="null3"/>
            </w:pPr>
            <w:r>
              <w:rPr/>
              <w:t>所投产品货源渠道正常，确保无假货、水货、翻新货，技术资料齐全，无产权纠纷，并提供产品货源渠道证明材料，计3分；产品货源渠道内容不全的计1分；未提供核心产品货源渠道的不计分。 注：相关证明材料包括但不限于销售协议、代理协议、原厂授权等。</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磋商响应方案-产品货源渠道</w:t>
            </w:r>
          </w:p>
        </w:tc>
      </w:tr>
      <w:tr>
        <w:tc>
          <w:tcPr>
            <w:tcW w:type="dxa" w:w="831"/>
            <w:vMerge/>
          </w:tcPr>
          <w:p/>
        </w:tc>
        <w:tc>
          <w:tcPr>
            <w:tcW w:type="dxa" w:w="1661"/>
          </w:tcPr>
          <w:p>
            <w:pPr>
              <w:pStyle w:val="null3"/>
            </w:pPr>
            <w:r>
              <w:rPr/>
              <w:t>节能环境标志产品</w:t>
            </w:r>
          </w:p>
        </w:tc>
        <w:tc>
          <w:tcPr>
            <w:tcW w:type="dxa" w:w="2492"/>
          </w:tcPr>
          <w:p>
            <w:pPr>
              <w:pStyle w:val="null3"/>
            </w:pPr>
            <w:r>
              <w:rPr/>
              <w:t>所投产品属于《环境标志产品政府采购品目清单》范围内，且具有国家确定的认证机构出具的处于有效期之内的中国环境标志产品认证证书，每有一项得0.5分（提供复印件加并加盖公章）； 所投产品属于《节能产品政府采购目录清单》范围内(政府强制采购产品除外)，且具有国家确定的认证机构出具的处于有效期之内的中国节能产品认证证书，每有一项得0.5分（提供复印件加并加盖公章）； 供应商所投产品中每有一项产品同时为节能产品和环境标志产品的得1分（提供复印件加并加盖公章）； 以上认证证书不重复计分，最高得2分。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磋商响应方案-节能环境标志产品</w:t>
            </w:r>
          </w:p>
        </w:tc>
      </w:tr>
      <w:tr>
        <w:tc>
          <w:tcPr>
            <w:tcW w:type="dxa" w:w="831"/>
            <w:vMerge/>
          </w:tcPr>
          <w:p/>
        </w:tc>
        <w:tc>
          <w:tcPr>
            <w:tcW w:type="dxa" w:w="1661"/>
          </w:tcPr>
          <w:p>
            <w:pPr>
              <w:pStyle w:val="null3"/>
            </w:pPr>
            <w:r>
              <w:rPr/>
              <w:t>售后服务</w:t>
            </w:r>
          </w:p>
        </w:tc>
        <w:tc>
          <w:tcPr>
            <w:tcW w:type="dxa" w:w="2492"/>
          </w:tcPr>
          <w:p>
            <w:pPr>
              <w:pStyle w:val="null3"/>
            </w:pPr>
            <w:r>
              <w:rPr/>
              <w:t>供应商针对本项目有详细可行的售后服务方案及承诺，包括但不限于包含售后服务机构承诺、售后服务保障措施、人员配置安排计划、故障处理响应时间安排计划、质量保证期限及质量保证的范围承诺、应急处理等等。 a.售后服务承诺及方案满足采购要求，涵盖全面，针对性强，与项目的实际情况完全契合计5分； b.售后服务承诺及方案基本满足采购要求，涵盖较全面但有不足，针对性不强，与项目的实际情况比较相契合计3分； c.售后服务承诺及方案不能满足要求，涵盖内容粗略，与项目的实际情况不契合计1分； d.未提供售后服务方案及承诺或方案及承诺完全脱离项目实际的不得分。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磋商响应方案-售后服务</w:t>
            </w:r>
          </w:p>
        </w:tc>
      </w:tr>
      <w:tr>
        <w:tc>
          <w:tcPr>
            <w:tcW w:type="dxa" w:w="831"/>
            <w:vMerge/>
          </w:tcPr>
          <w:p/>
        </w:tc>
        <w:tc>
          <w:tcPr>
            <w:tcW w:type="dxa" w:w="1661"/>
          </w:tcPr>
          <w:p>
            <w:pPr>
              <w:pStyle w:val="null3"/>
            </w:pPr>
            <w:r>
              <w:rPr/>
              <w:t>培训</w:t>
            </w:r>
          </w:p>
        </w:tc>
        <w:tc>
          <w:tcPr>
            <w:tcW w:type="dxa" w:w="2492"/>
          </w:tcPr>
          <w:p>
            <w:pPr>
              <w:pStyle w:val="null3"/>
            </w:pPr>
            <w:r>
              <w:rPr/>
              <w:t>供应商需提供培训方案及培训计划，方案包括但不限于培训计划、培训对象、培训内容、培训方式和培训目标等。 a.培训方案涵盖内容全面、思路清晰、培训方法及安排合理，可行性强能确保使用人员能够独立熟练操作、维护和正常使用的得5分； b.培训方案涵盖内容基本全面，思路较为清晰，培训方法及安排基本合理，可行性较强有利于使用人员能够独立操作、维护和使用的得3分； c.培训方案内容有缺失、思路不清晰、培训方法及安排不合理、可行性低的得1分； d.未提供培训方案或培训方案完全脱离项目实际的不得分。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磋商响应方案-培训</w:t>
            </w:r>
          </w:p>
        </w:tc>
      </w:tr>
      <w:tr>
        <w:tc>
          <w:tcPr>
            <w:tcW w:type="dxa" w:w="831"/>
            <w:vMerge/>
          </w:tcPr>
          <w:p/>
        </w:tc>
        <w:tc>
          <w:tcPr>
            <w:tcW w:type="dxa" w:w="1661"/>
          </w:tcPr>
          <w:p>
            <w:pPr>
              <w:pStyle w:val="null3"/>
            </w:pPr>
            <w:r>
              <w:rPr/>
              <w:t>业绩</w:t>
            </w:r>
          </w:p>
        </w:tc>
        <w:tc>
          <w:tcPr>
            <w:tcW w:type="dxa" w:w="2492"/>
          </w:tcPr>
          <w:p>
            <w:pPr>
              <w:pStyle w:val="null3"/>
            </w:pPr>
            <w:r>
              <w:rPr/>
              <w:t>供应商提供2021年10月1日至今类似项目业绩，以合同复印件为准，每提供一个合同计1分，最高得5分。须提供完整合同并加盖公章，否则不得分。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采用低价优先法计算，满足磋商文件实质性要求且最终报价最低的供应商的价格为磋商基准价，其价格分为满分。 磋商报价得分＝（评标基准价/磋商报价）×30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详见附件：供应商特定资格证明文件</w:t>
      </w:r>
    </w:p>
    <w:p>
      <w:pPr>
        <w:pStyle w:val="null3"/>
        <w:ind w:firstLine="960"/>
      </w:pPr>
      <w:r>
        <w:rPr/>
        <w:t>详见附件：供应商身份证明</w:t>
      </w:r>
    </w:p>
    <w:p>
      <w:pPr>
        <w:pStyle w:val="null3"/>
        <w:ind w:firstLine="960"/>
      </w:pPr>
      <w:r>
        <w:rPr/>
        <w:t>详见附件：商务响应表</w:t>
      </w:r>
    </w:p>
    <w:p>
      <w:pPr>
        <w:pStyle w:val="null3"/>
        <w:ind w:firstLine="960"/>
      </w:pPr>
      <w:r>
        <w:rPr/>
        <w:t>详见附件：产品技术指标偏差表</w:t>
      </w:r>
    </w:p>
    <w:p>
      <w:pPr>
        <w:pStyle w:val="null3"/>
        <w:ind w:firstLine="960"/>
      </w:pPr>
      <w:r>
        <w:rPr/>
        <w:t>详见附件：磋商响应方案-技术指标响应</w:t>
      </w:r>
    </w:p>
    <w:p>
      <w:pPr>
        <w:pStyle w:val="null3"/>
        <w:ind w:firstLine="960"/>
      </w:pPr>
      <w:r>
        <w:rPr/>
        <w:t>详见附件：磋商响应方案-实施方案</w:t>
      </w:r>
    </w:p>
    <w:p>
      <w:pPr>
        <w:pStyle w:val="null3"/>
        <w:ind w:firstLine="960"/>
      </w:pPr>
      <w:r>
        <w:rPr/>
        <w:t>详见附件：磋商响应方案-安装调试方案</w:t>
      </w:r>
    </w:p>
    <w:p>
      <w:pPr>
        <w:pStyle w:val="null3"/>
        <w:ind w:firstLine="960"/>
      </w:pPr>
      <w:r>
        <w:rPr/>
        <w:t>详见附件：磋商响应方案-质量保证</w:t>
      </w:r>
    </w:p>
    <w:p>
      <w:pPr>
        <w:pStyle w:val="null3"/>
        <w:ind w:firstLine="960"/>
      </w:pPr>
      <w:r>
        <w:rPr/>
        <w:t>详见附件：磋商响应方案-应急预案</w:t>
      </w:r>
    </w:p>
    <w:p>
      <w:pPr>
        <w:pStyle w:val="null3"/>
        <w:ind w:firstLine="960"/>
      </w:pPr>
      <w:r>
        <w:rPr/>
        <w:t>详见附件：磋商响应方案-产品货源渠道</w:t>
      </w:r>
    </w:p>
    <w:p>
      <w:pPr>
        <w:pStyle w:val="null3"/>
        <w:ind w:firstLine="960"/>
      </w:pPr>
      <w:r>
        <w:rPr/>
        <w:t>详见附件：磋商响应方案-节能环境标志产品</w:t>
      </w:r>
    </w:p>
    <w:p>
      <w:pPr>
        <w:pStyle w:val="null3"/>
        <w:ind w:firstLine="960"/>
      </w:pPr>
      <w:r>
        <w:rPr/>
        <w:t>详见附件：磋商响应方案-售后服务</w:t>
      </w:r>
    </w:p>
    <w:p>
      <w:pPr>
        <w:pStyle w:val="null3"/>
        <w:ind w:firstLine="960"/>
      </w:pPr>
      <w:r>
        <w:rPr/>
        <w:t>详见附件：磋商响应方案-培训</w:t>
      </w:r>
    </w:p>
    <w:p>
      <w:pPr>
        <w:pStyle w:val="null3"/>
        <w:ind w:firstLine="960"/>
      </w:pPr>
      <w:r>
        <w:rPr/>
        <w:t>详见附件：业绩证明材料</w:t>
      </w:r>
    </w:p>
    <w:p>
      <w:pPr>
        <w:pStyle w:val="null3"/>
        <w:ind w:firstLine="960"/>
      </w:pPr>
      <w:r>
        <w:rPr/>
        <w:t>详见附件：供应商承诺书</w:t>
      </w:r>
    </w:p>
    <w:p>
      <w:pPr>
        <w:pStyle w:val="null3"/>
        <w:ind w:firstLine="960"/>
      </w:pPr>
      <w:r>
        <w:rPr/>
        <w:t>详见附件：供应商需要加以说明的其他内容</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详见附件：供应商特定资格证明文件（含中小企业声明函）</w:t>
      </w:r>
    </w:p>
    <w:p>
      <w:pPr>
        <w:pStyle w:val="null3"/>
        <w:ind w:firstLine="960"/>
      </w:pPr>
      <w:r>
        <w:rPr/>
        <w:t>详见附件：供应商身份证明</w:t>
      </w:r>
    </w:p>
    <w:p>
      <w:pPr>
        <w:pStyle w:val="null3"/>
        <w:ind w:firstLine="960"/>
      </w:pPr>
      <w:r>
        <w:rPr/>
        <w:t>详见附件：商务响应表</w:t>
      </w:r>
    </w:p>
    <w:p>
      <w:pPr>
        <w:pStyle w:val="null3"/>
        <w:ind w:firstLine="960"/>
      </w:pPr>
      <w:r>
        <w:rPr/>
        <w:t>详见附件：产品技术指标偏差表</w:t>
      </w:r>
    </w:p>
    <w:p>
      <w:pPr>
        <w:pStyle w:val="null3"/>
        <w:ind w:firstLine="960"/>
      </w:pPr>
      <w:r>
        <w:rPr/>
        <w:t>详见附件：磋商响应方案-技术指标响应</w:t>
      </w:r>
    </w:p>
    <w:p>
      <w:pPr>
        <w:pStyle w:val="null3"/>
        <w:ind w:firstLine="960"/>
      </w:pPr>
      <w:r>
        <w:rPr/>
        <w:t>详见附件：磋商响应方案-实施方案</w:t>
      </w:r>
    </w:p>
    <w:p>
      <w:pPr>
        <w:pStyle w:val="null3"/>
        <w:ind w:firstLine="960"/>
      </w:pPr>
      <w:r>
        <w:rPr/>
        <w:t>详见附件：磋商响应方案-安装调试方案</w:t>
      </w:r>
    </w:p>
    <w:p>
      <w:pPr>
        <w:pStyle w:val="null3"/>
        <w:ind w:firstLine="960"/>
      </w:pPr>
      <w:r>
        <w:rPr/>
        <w:t>详见附件：磋商响应方案-质量保证</w:t>
      </w:r>
    </w:p>
    <w:p>
      <w:pPr>
        <w:pStyle w:val="null3"/>
        <w:ind w:firstLine="960"/>
      </w:pPr>
      <w:r>
        <w:rPr/>
        <w:t>详见附件：磋商响应方案-应急预案</w:t>
      </w:r>
    </w:p>
    <w:p>
      <w:pPr>
        <w:pStyle w:val="null3"/>
        <w:ind w:firstLine="960"/>
      </w:pPr>
      <w:r>
        <w:rPr/>
        <w:t>详见附件：磋商响应方案-产品货源渠道</w:t>
      </w:r>
    </w:p>
    <w:p>
      <w:pPr>
        <w:pStyle w:val="null3"/>
        <w:ind w:firstLine="960"/>
      </w:pPr>
      <w:r>
        <w:rPr/>
        <w:t>详见附件：磋商响应方案-节能环境标志产品</w:t>
      </w:r>
    </w:p>
    <w:p>
      <w:pPr>
        <w:pStyle w:val="null3"/>
        <w:ind w:firstLine="960"/>
      </w:pPr>
      <w:r>
        <w:rPr/>
        <w:t>详见附件：磋商响应方案-售后服务</w:t>
      </w:r>
    </w:p>
    <w:p>
      <w:pPr>
        <w:pStyle w:val="null3"/>
        <w:ind w:firstLine="960"/>
      </w:pPr>
      <w:r>
        <w:rPr/>
        <w:t>详见附件：磋商响应方案-培训</w:t>
      </w:r>
    </w:p>
    <w:p>
      <w:pPr>
        <w:pStyle w:val="null3"/>
        <w:ind w:firstLine="960"/>
      </w:pPr>
      <w:r>
        <w:rPr/>
        <w:t>详见附件：业绩证明材料</w:t>
      </w:r>
    </w:p>
    <w:p>
      <w:pPr>
        <w:pStyle w:val="null3"/>
        <w:ind w:firstLine="960"/>
      </w:pPr>
      <w:r>
        <w:rPr/>
        <w:t>详见附件：供应商承诺书</w:t>
      </w:r>
    </w:p>
    <w:p>
      <w:pPr>
        <w:pStyle w:val="null3"/>
        <w:ind w:firstLine="960"/>
      </w:pPr>
      <w:r>
        <w:rPr/>
        <w:t>详见附件：供应商需要加以说明的其他内容</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