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1"/>
        <w:rPr>
          <w:rFonts w:hint="eastAsia" w:ascii="宋体" w:hAnsi="宋体" w:eastAsia="宋体" w:cs="宋体"/>
          <w:b/>
          <w:sz w:val="32"/>
          <w:szCs w:val="32"/>
          <w:highlight w:val="none"/>
        </w:rPr>
      </w:pPr>
      <w:bookmarkStart w:id="0" w:name="_Toc1362"/>
      <w:bookmarkStart w:id="1" w:name="_Toc5216"/>
      <w:bookmarkStart w:id="2" w:name="_Toc18120"/>
      <w:bookmarkStart w:id="3" w:name="_Toc7874"/>
      <w:r>
        <w:rPr>
          <w:rFonts w:hint="eastAsia" w:ascii="宋体" w:hAnsi="宋体" w:eastAsia="宋体" w:cs="宋体"/>
          <w:b/>
          <w:sz w:val="32"/>
          <w:szCs w:val="32"/>
          <w:highlight w:val="none"/>
        </w:rPr>
        <w:t>政府采购项目</w:t>
      </w:r>
      <w:r>
        <w:rPr>
          <w:rFonts w:hint="eastAsia" w:hAnsi="宋体" w:cs="宋体"/>
          <w:b/>
          <w:sz w:val="32"/>
          <w:szCs w:val="32"/>
          <w:highlight w:val="none"/>
          <w:lang w:eastAsia="zh-CN"/>
        </w:rPr>
        <w:t>（</w:t>
      </w:r>
      <w:r>
        <w:rPr>
          <w:rFonts w:hint="eastAsia" w:ascii="宋体" w:hAnsi="宋体" w:eastAsia="宋体" w:cs="宋体"/>
          <w:b/>
          <w:sz w:val="32"/>
          <w:szCs w:val="32"/>
          <w:highlight w:val="none"/>
        </w:rPr>
        <w:t>仅供参考）</w:t>
      </w:r>
      <w:bookmarkEnd w:id="0"/>
      <w:bookmarkEnd w:id="1"/>
      <w:bookmarkEnd w:id="2"/>
      <w:bookmarkEnd w:id="3"/>
      <w:r>
        <w:rPr>
          <w:rFonts w:hint="eastAsia" w:ascii="宋体" w:hAnsi="宋体" w:eastAsia="宋体" w:cs="宋体"/>
          <w:b/>
          <w:sz w:val="32"/>
          <w:szCs w:val="32"/>
          <w:highlight w:val="none"/>
        </w:rPr>
        <w:t xml:space="preserve">                  </w:t>
      </w:r>
    </w:p>
    <w:p>
      <w:pPr>
        <w:rPr>
          <w:rFonts w:hint="eastAsia" w:ascii="宋体" w:hAnsi="宋体" w:eastAsia="宋体" w:cs="宋体"/>
          <w:b/>
          <w:sz w:val="32"/>
          <w:szCs w:val="32"/>
          <w:highlight w:val="none"/>
        </w:rPr>
      </w:pPr>
      <w:r>
        <w:rPr>
          <w:rFonts w:hint="eastAsia" w:ascii="宋体" w:hAnsi="宋体" w:eastAsia="宋体" w:cs="宋体"/>
          <w:b/>
          <w:sz w:val="32"/>
          <w:szCs w:val="32"/>
          <w:highlight w:val="none"/>
        </w:rPr>
        <w:t xml:space="preserve">          </w:t>
      </w:r>
    </w:p>
    <w:p>
      <w:pPr>
        <w:jc w:val="center"/>
        <w:rPr>
          <w:rFonts w:hint="eastAsia" w:ascii="宋体" w:hAnsi="宋体" w:eastAsia="宋体" w:cs="宋体"/>
          <w:sz w:val="52"/>
          <w:szCs w:val="52"/>
          <w:highlight w:val="none"/>
        </w:rPr>
      </w:pPr>
    </w:p>
    <w:p>
      <w:pPr>
        <w:jc w:val="center"/>
        <w:rPr>
          <w:rFonts w:hint="eastAsia" w:ascii="宋体" w:hAnsi="宋体" w:eastAsia="宋体" w:cs="宋体"/>
          <w:sz w:val="52"/>
          <w:szCs w:val="52"/>
          <w:highlight w:val="none"/>
        </w:rPr>
      </w:pPr>
    </w:p>
    <w:p>
      <w:pPr>
        <w:jc w:val="center"/>
        <w:outlineLvl w:val="9"/>
        <w:rPr>
          <w:rFonts w:hint="eastAsia" w:ascii="宋体" w:hAnsi="宋体" w:eastAsia="宋体" w:cs="宋体"/>
          <w:b/>
          <w:snapToGrid w:val="0"/>
          <w:sz w:val="48"/>
          <w:szCs w:val="48"/>
          <w:highlight w:val="none"/>
          <w:u w:val="single"/>
        </w:rPr>
      </w:pPr>
      <w:r>
        <w:rPr>
          <w:rFonts w:hint="eastAsia" w:ascii="宋体" w:hAnsi="宋体" w:eastAsia="宋体" w:cs="宋体"/>
          <w:b/>
          <w:snapToGrid w:val="0"/>
          <w:sz w:val="48"/>
          <w:szCs w:val="48"/>
          <w:highlight w:val="none"/>
          <w:u w:val="single"/>
        </w:rPr>
        <w:t>(项目名称)</w:t>
      </w:r>
    </w:p>
    <w:p>
      <w:pPr>
        <w:jc w:val="center"/>
        <w:outlineLvl w:val="9"/>
        <w:rPr>
          <w:rFonts w:hint="eastAsia" w:ascii="宋体" w:hAnsi="宋体" w:eastAsia="宋体" w:cs="宋体"/>
          <w:b/>
          <w:sz w:val="72"/>
          <w:szCs w:val="72"/>
          <w:highlight w:val="none"/>
        </w:rPr>
      </w:pPr>
      <w:r>
        <w:rPr>
          <w:rFonts w:hint="eastAsia" w:ascii="宋体" w:hAnsi="宋体" w:eastAsia="宋体" w:cs="宋体"/>
          <w:b/>
          <w:sz w:val="72"/>
          <w:szCs w:val="72"/>
          <w:highlight w:val="none"/>
        </w:rPr>
        <w:t>服 务 合 同</w:t>
      </w:r>
    </w:p>
    <w:p>
      <w:pPr>
        <w:jc w:val="center"/>
        <w:outlineLvl w:val="9"/>
        <w:rPr>
          <w:rFonts w:hint="eastAsia" w:ascii="宋体" w:hAnsi="宋体" w:eastAsia="宋体" w:cs="宋体"/>
          <w:sz w:val="30"/>
          <w:szCs w:val="30"/>
          <w:highlight w:val="none"/>
        </w:rPr>
      </w:pPr>
      <w:r>
        <w:rPr>
          <w:rFonts w:hint="eastAsia" w:ascii="宋体" w:hAnsi="宋体" w:eastAsia="宋体" w:cs="宋体"/>
          <w:sz w:val="30"/>
          <w:szCs w:val="30"/>
          <w:highlight w:val="none"/>
        </w:rPr>
        <w:t xml:space="preserve">（项目编号：      </w:t>
      </w:r>
      <w:r>
        <w:rPr>
          <w:rFonts w:hint="eastAsia" w:ascii="宋体" w:hAnsi="宋体" w:eastAsia="宋体" w:cs="宋体"/>
          <w:sz w:val="28"/>
          <w:szCs w:val="28"/>
          <w:highlight w:val="none"/>
        </w:rPr>
        <w:t>）</w:t>
      </w:r>
    </w:p>
    <w:p>
      <w:pPr>
        <w:jc w:val="center"/>
        <w:rPr>
          <w:rFonts w:hint="eastAsia" w:ascii="宋体" w:hAnsi="宋体" w:eastAsia="宋体" w:cs="宋体"/>
          <w:sz w:val="30"/>
          <w:szCs w:val="30"/>
          <w:highlight w:val="none"/>
        </w:rPr>
      </w:pPr>
    </w:p>
    <w:p>
      <w:pPr>
        <w:jc w:val="center"/>
        <w:rPr>
          <w:rFonts w:hint="eastAsia" w:ascii="宋体" w:hAnsi="宋体" w:eastAsia="宋体" w:cs="宋体"/>
          <w:sz w:val="30"/>
          <w:szCs w:val="30"/>
          <w:highlight w:val="none"/>
        </w:rPr>
      </w:pPr>
    </w:p>
    <w:p>
      <w:pPr>
        <w:jc w:val="center"/>
        <w:rPr>
          <w:rFonts w:hint="eastAsia" w:ascii="宋体" w:hAnsi="宋体" w:eastAsia="宋体" w:cs="宋体"/>
          <w:sz w:val="30"/>
          <w:szCs w:val="30"/>
          <w:highlight w:val="none"/>
        </w:rPr>
      </w:pPr>
    </w:p>
    <w:p>
      <w:pPr>
        <w:jc w:val="center"/>
        <w:rPr>
          <w:rFonts w:hint="eastAsia" w:ascii="宋体" w:hAnsi="宋体" w:eastAsia="宋体" w:cs="宋体"/>
          <w:sz w:val="30"/>
          <w:szCs w:val="30"/>
          <w:highlight w:val="none"/>
        </w:rPr>
      </w:pPr>
    </w:p>
    <w:p>
      <w:pPr>
        <w:jc w:val="center"/>
        <w:rPr>
          <w:rFonts w:hint="eastAsia" w:ascii="宋体" w:hAnsi="宋体" w:eastAsia="宋体" w:cs="宋体"/>
          <w:sz w:val="30"/>
          <w:szCs w:val="30"/>
          <w:highlight w:val="none"/>
        </w:rPr>
      </w:pPr>
    </w:p>
    <w:p>
      <w:pPr>
        <w:ind w:firstLine="2080" w:firstLineChars="650"/>
        <w:outlineLvl w:val="9"/>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甲  方： </w:t>
      </w:r>
    </w:p>
    <w:p>
      <w:pPr>
        <w:tabs>
          <w:tab w:val="left" w:pos="480"/>
        </w:tabs>
        <w:ind w:firstLine="640" w:firstLineChars="200"/>
        <w:outlineLvl w:val="9"/>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         乙  方：</w:t>
      </w:r>
    </w:p>
    <w:p>
      <w:pPr>
        <w:jc w:val="center"/>
        <w:rPr>
          <w:rFonts w:hint="eastAsia" w:ascii="宋体" w:hAnsi="宋体" w:eastAsia="宋体" w:cs="宋体"/>
          <w:sz w:val="30"/>
          <w:szCs w:val="30"/>
          <w:highlight w:val="none"/>
        </w:rPr>
      </w:pPr>
    </w:p>
    <w:p>
      <w:pPr>
        <w:jc w:val="center"/>
        <w:outlineLvl w:val="9"/>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  年  月</w:t>
      </w:r>
    </w:p>
    <w:p>
      <w:pPr>
        <w:jc w:val="center"/>
        <w:rPr>
          <w:rFonts w:hint="eastAsia" w:ascii="宋体" w:hAnsi="宋体" w:eastAsia="宋体" w:cs="宋体"/>
          <w:sz w:val="32"/>
          <w:szCs w:val="32"/>
          <w:highlight w:val="none"/>
        </w:rPr>
      </w:pPr>
    </w:p>
    <w:p>
      <w:pPr>
        <w:spacing w:line="590" w:lineRule="exact"/>
        <w:rPr>
          <w:rFonts w:hint="eastAsia" w:ascii="宋体" w:hAnsi="宋体" w:eastAsia="宋体" w:cs="宋体"/>
          <w:b/>
          <w:sz w:val="36"/>
          <w:szCs w:val="36"/>
          <w:highlight w:val="none"/>
        </w:rPr>
      </w:pPr>
    </w:p>
    <w:p>
      <w:pPr>
        <w:jc w:val="center"/>
        <w:outlineLvl w:val="2"/>
        <w:rPr>
          <w:rFonts w:hint="eastAsia" w:ascii="黑体" w:eastAsia="宋体"/>
          <w:b/>
          <w:color w:val="auto"/>
          <w:sz w:val="36"/>
          <w:szCs w:val="36"/>
          <w:highlight w:val="none"/>
          <w:lang w:eastAsia="zh-CN"/>
        </w:rPr>
      </w:pPr>
      <w:r>
        <w:rPr>
          <w:rFonts w:hint="eastAsia" w:ascii="宋体" w:hAnsi="宋体" w:eastAsia="宋体" w:cs="宋体"/>
          <w:b/>
          <w:szCs w:val="21"/>
          <w:highlight w:val="none"/>
        </w:rPr>
        <w:br w:type="page"/>
      </w:r>
      <w:bookmarkStart w:id="4" w:name="_Toc7965"/>
      <w:bookmarkStart w:id="5" w:name="_Toc28398"/>
      <w:r>
        <w:rPr>
          <w:rFonts w:hint="eastAsia" w:ascii="黑体" w:eastAsia="黑体"/>
          <w:b/>
          <w:color w:val="auto"/>
          <w:sz w:val="36"/>
          <w:szCs w:val="36"/>
          <w:highlight w:val="none"/>
          <w:lang w:eastAsia="zh-CN"/>
        </w:rPr>
        <w:t>协</w:t>
      </w:r>
      <w:r>
        <w:rPr>
          <w:rFonts w:hint="eastAsia" w:ascii="黑体" w:eastAsia="黑体"/>
          <w:b/>
          <w:color w:val="auto"/>
          <w:sz w:val="36"/>
          <w:szCs w:val="36"/>
          <w:highlight w:val="none"/>
          <w:lang w:val="en-US" w:eastAsia="zh-CN"/>
        </w:rPr>
        <w:t xml:space="preserve"> </w:t>
      </w:r>
      <w:r>
        <w:rPr>
          <w:rFonts w:hint="eastAsia" w:ascii="黑体" w:eastAsia="黑体"/>
          <w:b/>
          <w:color w:val="auto"/>
          <w:sz w:val="36"/>
          <w:szCs w:val="36"/>
          <w:highlight w:val="none"/>
          <w:lang w:eastAsia="zh-CN"/>
        </w:rPr>
        <w:t>议</w:t>
      </w:r>
      <w:r>
        <w:rPr>
          <w:rFonts w:hint="eastAsia" w:ascii="黑体" w:eastAsia="黑体"/>
          <w:b/>
          <w:color w:val="auto"/>
          <w:sz w:val="36"/>
          <w:szCs w:val="36"/>
          <w:highlight w:val="none"/>
          <w:lang w:val="en-US" w:eastAsia="zh-CN"/>
        </w:rPr>
        <w:t xml:space="preserve"> </w:t>
      </w:r>
      <w:r>
        <w:rPr>
          <w:rFonts w:hint="eastAsia" w:ascii="黑体" w:eastAsia="黑体"/>
          <w:b/>
          <w:color w:val="auto"/>
          <w:sz w:val="36"/>
          <w:szCs w:val="36"/>
          <w:highlight w:val="none"/>
          <w:lang w:eastAsia="zh-CN"/>
        </w:rPr>
        <w:t>书</w:t>
      </w:r>
      <w:bookmarkEnd w:id="4"/>
      <w:bookmarkEnd w:id="5"/>
    </w:p>
    <w:p>
      <w:pPr>
        <w:spacing w:line="360" w:lineRule="auto"/>
        <w:rPr>
          <w:rFonts w:hAnsi="宋体" w:cs="宋体"/>
          <w:color w:val="auto"/>
          <w:szCs w:val="21"/>
          <w:highlight w:val="none"/>
          <w:u w:val="single"/>
        </w:rPr>
      </w:pPr>
      <w:r>
        <w:rPr>
          <w:rFonts w:hint="eastAsia" w:hAnsi="宋体" w:cs="宋体"/>
          <w:color w:val="auto"/>
          <w:szCs w:val="21"/>
          <w:highlight w:val="none"/>
        </w:rPr>
        <w:t>甲方：</w:t>
      </w:r>
      <w:r>
        <w:rPr>
          <w:rFonts w:hint="eastAsia" w:hAnsi="宋体" w:cs="宋体"/>
          <w:color w:val="auto"/>
          <w:szCs w:val="21"/>
          <w:highlight w:val="none"/>
          <w:u w:val="single"/>
        </w:rPr>
        <w:t xml:space="preserve">             </w:t>
      </w:r>
    </w:p>
    <w:p>
      <w:pPr>
        <w:spacing w:line="360" w:lineRule="auto"/>
        <w:rPr>
          <w:rFonts w:hint="eastAsia" w:hAnsi="宋体" w:cs="宋体"/>
          <w:color w:val="auto"/>
          <w:szCs w:val="21"/>
          <w:highlight w:val="none"/>
          <w:u w:val="single"/>
        </w:rPr>
      </w:pPr>
      <w:r>
        <w:rPr>
          <w:rFonts w:hint="eastAsia" w:hAnsi="宋体" w:cs="宋体"/>
          <w:color w:val="auto"/>
          <w:szCs w:val="21"/>
          <w:highlight w:val="none"/>
        </w:rPr>
        <w:t>乙方：</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 xml:space="preserve"> </w:t>
      </w:r>
      <w:r>
        <w:rPr>
          <w:rFonts w:hint="eastAsia" w:hAnsi="宋体" w:cs="宋体"/>
          <w:color w:val="auto"/>
          <w:szCs w:val="21"/>
          <w:highlight w:val="none"/>
          <w:u w:val="single"/>
        </w:rPr>
        <w:t xml:space="preserve"> </w:t>
      </w:r>
    </w:p>
    <w:p>
      <w:pPr>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根据《</w:t>
      </w:r>
      <w:r>
        <w:rPr>
          <w:rFonts w:hint="eastAsia" w:hAnsi="宋体" w:cs="宋体"/>
          <w:color w:val="auto"/>
          <w:szCs w:val="21"/>
          <w:highlight w:val="none"/>
          <w:lang w:eastAsia="zh-CN"/>
        </w:rPr>
        <w:t>中华人民共和国民法典</w:t>
      </w:r>
      <w:r>
        <w:rPr>
          <w:rFonts w:hint="eastAsia" w:hAnsi="宋体" w:cs="宋体"/>
          <w:color w:val="auto"/>
          <w:szCs w:val="21"/>
          <w:highlight w:val="none"/>
        </w:rPr>
        <w:t>》、《中华人民共和国政府采购法》与项目行业有关的法律法规，以及本项目（</w:t>
      </w:r>
      <w:r>
        <w:rPr>
          <w:rFonts w:hint="eastAsia" w:hAnsi="宋体" w:cs="宋体"/>
          <w:color w:val="auto"/>
          <w:szCs w:val="21"/>
          <w:highlight w:val="none"/>
          <w:lang w:eastAsia="zh-CN"/>
        </w:rPr>
        <w:t>网络存储、服务器等硬件设备维保项目</w:t>
      </w:r>
      <w:r>
        <w:rPr>
          <w:rFonts w:hint="eastAsia" w:hAnsi="宋体" w:cs="宋体"/>
          <w:color w:val="auto"/>
          <w:szCs w:val="21"/>
          <w:highlight w:val="none"/>
        </w:rPr>
        <w:t>）相关采购要求的规定，合同双方就乙方向采购方提供</w:t>
      </w:r>
      <w:r>
        <w:rPr>
          <w:rFonts w:hint="eastAsia" w:hAnsi="宋体" w:cs="宋体"/>
          <w:color w:val="auto"/>
          <w:szCs w:val="21"/>
          <w:highlight w:val="none"/>
          <w:lang w:eastAsia="zh-CN"/>
        </w:rPr>
        <w:t>网络存储、服务器等硬件设备维保项目</w:t>
      </w:r>
      <w:r>
        <w:rPr>
          <w:rFonts w:hint="eastAsia" w:hAnsi="宋体" w:cs="宋体"/>
          <w:color w:val="auto"/>
          <w:szCs w:val="21"/>
          <w:highlight w:val="none"/>
        </w:rPr>
        <w:t>协商达成一致，确立本合同。</w:t>
      </w:r>
    </w:p>
    <w:p>
      <w:pPr>
        <w:tabs>
          <w:tab w:val="left" w:pos="480"/>
        </w:tabs>
        <w:spacing w:line="360" w:lineRule="auto"/>
        <w:outlineLvl w:val="1"/>
        <w:rPr>
          <w:rFonts w:hint="eastAsia" w:hAnsi="宋体" w:cs="宋体"/>
          <w:b/>
          <w:color w:val="auto"/>
          <w:szCs w:val="21"/>
          <w:highlight w:val="none"/>
        </w:rPr>
      </w:pPr>
      <w:bookmarkStart w:id="6" w:name="_Toc30883"/>
      <w:bookmarkStart w:id="7" w:name="_Toc8841"/>
      <w:bookmarkStart w:id="8" w:name="_Toc7407"/>
      <w:r>
        <w:rPr>
          <w:rFonts w:hint="eastAsia" w:hAnsi="宋体" w:cs="宋体"/>
          <w:b/>
          <w:color w:val="auto"/>
          <w:szCs w:val="21"/>
          <w:highlight w:val="none"/>
        </w:rPr>
        <w:t>一、合同标的物内容、数量及单价</w:t>
      </w:r>
      <w:r>
        <w:rPr>
          <w:rFonts w:hint="eastAsia" w:hAnsi="宋体" w:cs="宋体"/>
          <w:color w:val="auto"/>
          <w:szCs w:val="21"/>
          <w:highlight w:val="none"/>
        </w:rPr>
        <w:t>（以竞争性磋商响应文件正本和澄清表〈函〉为准）</w:t>
      </w:r>
      <w:bookmarkEnd w:id="6"/>
      <w:bookmarkEnd w:id="7"/>
      <w:bookmarkEnd w:id="8"/>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8"/>
        <w:gridCol w:w="1855"/>
        <w:gridCol w:w="1421"/>
        <w:gridCol w:w="2648"/>
        <w:gridCol w:w="1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96" w:lineRule="exact"/>
              <w:jc w:val="center"/>
              <w:rPr>
                <w:rFonts w:hint="eastAsia" w:hAnsi="宋体" w:cs="宋体"/>
                <w:color w:val="auto"/>
                <w:szCs w:val="21"/>
                <w:highlight w:val="none"/>
              </w:rPr>
            </w:pPr>
            <w:r>
              <w:rPr>
                <w:rFonts w:hint="eastAsia" w:hAnsi="宋体" w:cs="宋体"/>
                <w:color w:val="auto"/>
                <w:szCs w:val="21"/>
                <w:highlight w:val="none"/>
              </w:rPr>
              <w:t>序号</w:t>
            </w:r>
          </w:p>
        </w:tc>
        <w:tc>
          <w:tcPr>
            <w:tcW w:w="1855"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96" w:lineRule="exact"/>
              <w:jc w:val="center"/>
              <w:rPr>
                <w:rFonts w:hint="eastAsia" w:hAnsi="宋体" w:eastAsia="宋体" w:cs="宋体"/>
                <w:color w:val="auto"/>
                <w:szCs w:val="21"/>
                <w:highlight w:val="none"/>
                <w:lang w:eastAsia="zh-CN"/>
              </w:rPr>
            </w:pPr>
            <w:r>
              <w:rPr>
                <w:rFonts w:hint="eastAsia" w:hAnsi="宋体" w:cs="宋体"/>
                <w:color w:val="auto"/>
                <w:szCs w:val="21"/>
                <w:highlight w:val="none"/>
                <w:lang w:eastAsia="zh-CN"/>
              </w:rPr>
              <w:t>服务内容</w:t>
            </w:r>
          </w:p>
        </w:tc>
        <w:tc>
          <w:tcPr>
            <w:tcW w:w="1421"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96" w:lineRule="exact"/>
              <w:jc w:val="center"/>
              <w:rPr>
                <w:rFonts w:hint="eastAsia" w:hAnsi="宋体" w:eastAsia="宋体" w:cs="宋体"/>
                <w:color w:val="auto"/>
                <w:szCs w:val="21"/>
                <w:highlight w:val="none"/>
                <w:lang w:eastAsia="zh-CN"/>
              </w:rPr>
            </w:pPr>
            <w:r>
              <w:rPr>
                <w:rFonts w:hint="eastAsia" w:hAnsi="宋体" w:cs="宋体"/>
                <w:color w:val="auto"/>
                <w:szCs w:val="21"/>
                <w:highlight w:val="none"/>
                <w:lang w:eastAsia="zh-CN"/>
              </w:rPr>
              <w:t>服务期限</w:t>
            </w:r>
          </w:p>
        </w:tc>
        <w:tc>
          <w:tcPr>
            <w:tcW w:w="264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96" w:lineRule="exact"/>
              <w:jc w:val="center"/>
              <w:rPr>
                <w:rFonts w:hint="eastAsia" w:hAnsi="宋体" w:eastAsia="宋体" w:cs="宋体"/>
                <w:color w:val="auto"/>
                <w:szCs w:val="21"/>
                <w:highlight w:val="none"/>
                <w:lang w:eastAsia="zh-CN"/>
              </w:rPr>
            </w:pPr>
            <w:r>
              <w:rPr>
                <w:rFonts w:hint="eastAsia" w:hAnsi="宋体" w:cs="宋体"/>
                <w:color w:val="auto"/>
                <w:szCs w:val="21"/>
                <w:highlight w:val="none"/>
                <w:lang w:eastAsia="zh-CN"/>
              </w:rPr>
              <w:t>相关要求</w:t>
            </w:r>
          </w:p>
        </w:tc>
        <w:tc>
          <w:tcPr>
            <w:tcW w:w="1096"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96" w:lineRule="exact"/>
              <w:jc w:val="center"/>
              <w:rPr>
                <w:rFonts w:hint="eastAsia" w:hAnsi="宋体" w:cs="宋体"/>
                <w:color w:val="auto"/>
                <w:szCs w:val="21"/>
                <w:highlight w:val="none"/>
              </w:rPr>
            </w:pPr>
            <w:r>
              <w:rPr>
                <w:rFonts w:hint="eastAsia" w:hAnsi="宋体" w:cs="宋体"/>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96" w:lineRule="exact"/>
              <w:jc w:val="center"/>
              <w:rPr>
                <w:rFonts w:hint="eastAsia" w:hAnsi="宋体" w:cs="宋体"/>
                <w:color w:val="auto"/>
                <w:szCs w:val="21"/>
                <w:highlight w:val="none"/>
              </w:rPr>
            </w:pPr>
            <w:r>
              <w:rPr>
                <w:rFonts w:hint="eastAsia" w:hAnsi="宋体" w:cs="宋体"/>
                <w:color w:val="auto"/>
                <w:szCs w:val="21"/>
                <w:highlight w:val="none"/>
              </w:rPr>
              <w:t>1</w:t>
            </w:r>
          </w:p>
        </w:tc>
        <w:tc>
          <w:tcPr>
            <w:tcW w:w="1855"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96" w:lineRule="exact"/>
              <w:jc w:val="center"/>
              <w:rPr>
                <w:rFonts w:hint="eastAsia" w:hAnsi="宋体" w:cs="宋体"/>
                <w:color w:val="auto"/>
                <w:szCs w:val="21"/>
                <w:highlight w:val="none"/>
              </w:rPr>
            </w:pPr>
          </w:p>
        </w:tc>
        <w:tc>
          <w:tcPr>
            <w:tcW w:w="1421"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96" w:lineRule="exact"/>
              <w:jc w:val="center"/>
              <w:rPr>
                <w:rFonts w:hint="eastAsia" w:hAnsi="宋体" w:cs="宋体"/>
                <w:color w:val="auto"/>
                <w:szCs w:val="21"/>
                <w:highlight w:val="none"/>
              </w:rPr>
            </w:pPr>
          </w:p>
        </w:tc>
        <w:tc>
          <w:tcPr>
            <w:tcW w:w="264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96" w:lineRule="exact"/>
              <w:jc w:val="center"/>
              <w:rPr>
                <w:rFonts w:hint="eastAsia" w:hAnsi="宋体" w:cs="宋体"/>
                <w:color w:val="auto"/>
                <w:szCs w:val="21"/>
                <w:highlight w:val="none"/>
              </w:rPr>
            </w:pPr>
          </w:p>
        </w:tc>
        <w:tc>
          <w:tcPr>
            <w:tcW w:w="1096"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96" w:lineRule="exact"/>
              <w:jc w:val="center"/>
              <w:rPr>
                <w:rFonts w:hint="eastAsia"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19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96" w:lineRule="exact"/>
              <w:jc w:val="center"/>
              <w:rPr>
                <w:rFonts w:hint="eastAsia" w:hAnsi="宋体" w:cs="宋体"/>
                <w:color w:val="auto"/>
                <w:szCs w:val="21"/>
                <w:highlight w:val="none"/>
              </w:rPr>
            </w:pPr>
            <w:r>
              <w:rPr>
                <w:rFonts w:hint="eastAsia" w:hAnsi="宋体" w:cs="宋体"/>
                <w:color w:val="auto"/>
                <w:szCs w:val="21"/>
                <w:highlight w:val="none"/>
              </w:rPr>
              <w:t>……</w:t>
            </w:r>
          </w:p>
        </w:tc>
        <w:tc>
          <w:tcPr>
            <w:tcW w:w="1855"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96" w:lineRule="exact"/>
              <w:jc w:val="center"/>
              <w:rPr>
                <w:rFonts w:hint="eastAsia" w:hAnsi="宋体" w:cs="宋体"/>
                <w:color w:val="auto"/>
                <w:szCs w:val="21"/>
                <w:highlight w:val="none"/>
              </w:rPr>
            </w:pPr>
          </w:p>
        </w:tc>
        <w:tc>
          <w:tcPr>
            <w:tcW w:w="1421"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96" w:lineRule="exact"/>
              <w:jc w:val="center"/>
              <w:rPr>
                <w:rFonts w:hint="eastAsia" w:hAnsi="宋体" w:cs="宋体"/>
                <w:color w:val="auto"/>
                <w:szCs w:val="21"/>
                <w:highlight w:val="none"/>
              </w:rPr>
            </w:pPr>
          </w:p>
        </w:tc>
        <w:tc>
          <w:tcPr>
            <w:tcW w:w="264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96" w:lineRule="exact"/>
              <w:jc w:val="center"/>
              <w:rPr>
                <w:rFonts w:hint="eastAsia" w:hAnsi="宋体" w:cs="宋体"/>
                <w:color w:val="auto"/>
                <w:szCs w:val="21"/>
                <w:highlight w:val="none"/>
              </w:rPr>
            </w:pPr>
          </w:p>
        </w:tc>
        <w:tc>
          <w:tcPr>
            <w:tcW w:w="1096"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96" w:lineRule="exact"/>
              <w:jc w:val="center"/>
              <w:rPr>
                <w:rFonts w:hint="eastAsia" w:hAnsi="宋体" w:cs="宋体"/>
                <w:color w:val="auto"/>
                <w:szCs w:val="21"/>
                <w:highlight w:val="none"/>
              </w:rPr>
            </w:pPr>
          </w:p>
        </w:tc>
      </w:tr>
    </w:tbl>
    <w:p>
      <w:pPr>
        <w:tabs>
          <w:tab w:val="left" w:pos="480"/>
        </w:tabs>
        <w:spacing w:line="360" w:lineRule="auto"/>
        <w:outlineLvl w:val="1"/>
        <w:rPr>
          <w:rFonts w:hint="eastAsia" w:hAnsi="宋体" w:cs="宋体"/>
          <w:b/>
          <w:color w:val="auto"/>
          <w:szCs w:val="21"/>
          <w:highlight w:val="none"/>
        </w:rPr>
      </w:pPr>
      <w:bookmarkStart w:id="9" w:name="_Toc8887"/>
      <w:bookmarkStart w:id="10" w:name="_Toc4137"/>
      <w:bookmarkStart w:id="11" w:name="_Toc3926"/>
      <w:r>
        <w:rPr>
          <w:rFonts w:hint="eastAsia" w:hAnsi="宋体" w:cs="宋体"/>
          <w:b/>
          <w:color w:val="auto"/>
          <w:szCs w:val="21"/>
          <w:highlight w:val="none"/>
        </w:rPr>
        <w:t>二、合同价款</w:t>
      </w:r>
      <w:bookmarkEnd w:id="9"/>
      <w:bookmarkEnd w:id="10"/>
      <w:bookmarkEnd w:id="11"/>
    </w:p>
    <w:p>
      <w:pPr>
        <w:tabs>
          <w:tab w:val="left" w:pos="480"/>
        </w:tabs>
        <w:spacing w:line="360" w:lineRule="auto"/>
        <w:ind w:firstLine="480" w:firstLineChars="200"/>
        <w:rPr>
          <w:rFonts w:hint="default" w:hAnsi="宋体" w:cs="宋体"/>
          <w:color w:val="auto"/>
          <w:szCs w:val="21"/>
          <w:highlight w:val="none"/>
          <w:u w:val="single"/>
          <w:lang w:val="en-US" w:eastAsia="zh-CN"/>
        </w:rPr>
      </w:pPr>
      <w:r>
        <w:rPr>
          <w:rFonts w:hint="eastAsia" w:hAnsi="宋体" w:cs="宋体"/>
          <w:color w:val="auto"/>
          <w:szCs w:val="21"/>
          <w:highlight w:val="none"/>
        </w:rPr>
        <w:t>（一）</w:t>
      </w:r>
      <w:r>
        <w:rPr>
          <w:rFonts w:hint="eastAsia" w:hAnsi="宋体" w:cs="宋体"/>
          <w:color w:val="auto"/>
          <w:szCs w:val="21"/>
          <w:highlight w:val="none"/>
          <w:lang w:val="en-US" w:eastAsia="zh-CN"/>
        </w:rPr>
        <w:t>本合同为总价合同，服务的合同总价为其磋商最终报价</w:t>
      </w:r>
      <w:r>
        <w:rPr>
          <w:rFonts w:hint="eastAsia" w:hAnsi="宋体" w:cs="宋体"/>
          <w:color w:val="auto"/>
          <w:szCs w:val="21"/>
          <w:highlight w:val="none"/>
        </w:rPr>
        <w:t>。</w:t>
      </w:r>
    </w:p>
    <w:p>
      <w:pPr>
        <w:tabs>
          <w:tab w:val="left" w:pos="480"/>
        </w:tabs>
        <w:spacing w:line="360" w:lineRule="auto"/>
        <w:ind w:firstLine="480" w:firstLineChars="200"/>
        <w:rPr>
          <w:rFonts w:hint="default" w:hAnsi="宋体" w:cs="宋体"/>
          <w:color w:val="auto"/>
          <w:szCs w:val="21"/>
          <w:highlight w:val="none"/>
          <w:u w:val="single"/>
          <w:lang w:val="en-US" w:eastAsia="zh-CN"/>
        </w:rPr>
      </w:pPr>
      <w:r>
        <w:rPr>
          <w:rFonts w:hint="eastAsia" w:hAnsi="宋体" w:cs="宋体"/>
          <w:color w:val="auto"/>
          <w:szCs w:val="21"/>
          <w:highlight w:val="none"/>
        </w:rPr>
        <w:t>（二）合同价包括：</w:t>
      </w:r>
    </w:p>
    <w:p>
      <w:pPr>
        <w:tabs>
          <w:tab w:val="left" w:pos="480"/>
        </w:tabs>
        <w:spacing w:line="360" w:lineRule="auto"/>
        <w:outlineLvl w:val="1"/>
        <w:rPr>
          <w:rFonts w:hint="eastAsia" w:hAnsi="宋体" w:cs="宋体"/>
          <w:b/>
          <w:color w:val="auto"/>
          <w:szCs w:val="21"/>
          <w:highlight w:val="none"/>
        </w:rPr>
      </w:pPr>
      <w:bookmarkStart w:id="12" w:name="_Toc23247"/>
      <w:bookmarkStart w:id="13" w:name="_Toc28664"/>
      <w:bookmarkStart w:id="14" w:name="_Toc6296"/>
      <w:r>
        <w:rPr>
          <w:rFonts w:hint="eastAsia" w:hAnsi="宋体" w:cs="宋体"/>
          <w:b/>
          <w:color w:val="auto"/>
          <w:szCs w:val="21"/>
          <w:highlight w:val="none"/>
        </w:rPr>
        <w:t>三、款项结算</w:t>
      </w:r>
      <w:bookmarkEnd w:id="12"/>
      <w:bookmarkEnd w:id="13"/>
      <w:bookmarkEnd w:id="14"/>
    </w:p>
    <w:p>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lang w:eastAsia="zh-CN"/>
        </w:rPr>
        <w:t>详见合同前附表</w:t>
      </w:r>
      <w:r>
        <w:rPr>
          <w:rFonts w:hint="eastAsia" w:hAnsi="宋体" w:cs="宋体"/>
          <w:color w:val="auto"/>
          <w:szCs w:val="21"/>
          <w:highlight w:val="none"/>
        </w:rPr>
        <w:t>。</w:t>
      </w:r>
    </w:p>
    <w:p>
      <w:pPr>
        <w:tabs>
          <w:tab w:val="left" w:pos="480"/>
        </w:tabs>
        <w:spacing w:line="360" w:lineRule="auto"/>
        <w:outlineLvl w:val="1"/>
        <w:rPr>
          <w:rFonts w:hint="eastAsia" w:hAnsi="宋体" w:cs="宋体"/>
          <w:color w:val="auto"/>
          <w:szCs w:val="21"/>
          <w:highlight w:val="none"/>
        </w:rPr>
      </w:pPr>
      <w:bookmarkStart w:id="15" w:name="_Toc24406"/>
      <w:bookmarkStart w:id="16" w:name="_Toc2607"/>
      <w:bookmarkStart w:id="17" w:name="_Toc21714"/>
      <w:bookmarkStart w:id="18" w:name="_Toc7966"/>
      <w:bookmarkStart w:id="19" w:name="_Toc27382"/>
      <w:bookmarkStart w:id="20" w:name="_Toc32459"/>
      <w:r>
        <w:rPr>
          <w:rFonts w:hint="eastAsia" w:hAnsi="宋体" w:cs="宋体"/>
          <w:b/>
          <w:color w:val="auto"/>
          <w:szCs w:val="21"/>
          <w:highlight w:val="none"/>
          <w:lang w:eastAsia="zh-CN"/>
        </w:rPr>
        <w:t>四</w:t>
      </w:r>
      <w:r>
        <w:rPr>
          <w:rFonts w:hint="eastAsia" w:hAnsi="宋体" w:cs="宋体"/>
          <w:b/>
          <w:color w:val="auto"/>
          <w:szCs w:val="21"/>
          <w:highlight w:val="none"/>
        </w:rPr>
        <w:t>、</w:t>
      </w:r>
      <w:r>
        <w:rPr>
          <w:rFonts w:hint="eastAsia" w:hAnsi="宋体" w:cs="宋体"/>
          <w:b/>
          <w:color w:val="auto"/>
          <w:szCs w:val="21"/>
          <w:highlight w:val="none"/>
          <w:lang w:eastAsia="zh-CN"/>
        </w:rPr>
        <w:t>服务团队</w:t>
      </w:r>
      <w:r>
        <w:rPr>
          <w:rFonts w:hint="eastAsia" w:hAnsi="宋体" w:cs="宋体"/>
          <w:b/>
          <w:color w:val="auto"/>
          <w:szCs w:val="21"/>
          <w:highlight w:val="none"/>
        </w:rPr>
        <w:t>：</w:t>
      </w:r>
      <w:bookmarkEnd w:id="15"/>
      <w:bookmarkEnd w:id="16"/>
      <w:bookmarkEnd w:id="17"/>
    </w:p>
    <w:p>
      <w:pPr>
        <w:tabs>
          <w:tab w:val="left" w:pos="480"/>
        </w:tabs>
        <w:spacing w:line="360" w:lineRule="auto"/>
        <w:ind w:firstLine="480" w:firstLineChars="200"/>
        <w:rPr>
          <w:rFonts w:hint="default" w:hAnsi="宋体" w:eastAsia="宋体" w:cs="宋体"/>
          <w:color w:val="auto"/>
          <w:szCs w:val="21"/>
          <w:highlight w:val="none"/>
          <w:u w:val="single"/>
          <w:lang w:val="en-US" w:eastAsia="zh-CN"/>
        </w:rPr>
      </w:pPr>
      <w:r>
        <w:rPr>
          <w:rFonts w:hint="eastAsia" w:hAnsi="宋体" w:cs="宋体"/>
          <w:color w:val="auto"/>
          <w:szCs w:val="21"/>
          <w:highlight w:val="none"/>
        </w:rPr>
        <w:t>（一）</w:t>
      </w:r>
      <w:r>
        <w:rPr>
          <w:rFonts w:hint="eastAsia" w:hAnsi="宋体" w:cs="宋体"/>
          <w:color w:val="auto"/>
          <w:szCs w:val="21"/>
          <w:highlight w:val="none"/>
          <w:lang w:eastAsia="zh-CN"/>
        </w:rPr>
        <w:t>项目负责人：</w:t>
      </w:r>
      <w:r>
        <w:rPr>
          <w:rFonts w:hint="eastAsia" w:hAnsi="宋体" w:cs="宋体"/>
          <w:color w:val="auto"/>
          <w:szCs w:val="21"/>
          <w:highlight w:val="none"/>
          <w:u w:val="single"/>
          <w:lang w:val="en-US" w:eastAsia="zh-CN"/>
        </w:rPr>
        <w:t xml:space="preserve">           </w:t>
      </w:r>
      <w:r>
        <w:rPr>
          <w:rFonts w:hint="eastAsia" w:hAnsi="宋体" w:cs="宋体"/>
          <w:color w:val="auto"/>
          <w:szCs w:val="21"/>
          <w:highlight w:val="none"/>
          <w:u w:val="none"/>
          <w:lang w:val="en-US" w:eastAsia="zh-CN"/>
        </w:rPr>
        <w:t xml:space="preserve"> 联系电话：</w:t>
      </w:r>
      <w:r>
        <w:rPr>
          <w:rFonts w:hint="eastAsia" w:hAnsi="宋体" w:cs="宋体"/>
          <w:color w:val="auto"/>
          <w:szCs w:val="21"/>
          <w:highlight w:val="none"/>
          <w:u w:val="single"/>
          <w:lang w:val="en-US" w:eastAsia="zh-CN"/>
        </w:rPr>
        <w:t xml:space="preserve">           。</w:t>
      </w:r>
    </w:p>
    <w:p>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lang w:eastAsia="zh-CN"/>
        </w:rPr>
        <w:t>（二）服务</w:t>
      </w:r>
      <w:r>
        <w:rPr>
          <w:rFonts w:hint="eastAsia" w:hAnsi="宋体" w:cs="宋体"/>
          <w:color w:val="auto"/>
          <w:szCs w:val="21"/>
          <w:highlight w:val="none"/>
        </w:rPr>
        <w:t>地点：甲方指定地点。</w:t>
      </w:r>
    </w:p>
    <w:p>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w:t>
      </w:r>
      <w:r>
        <w:rPr>
          <w:rFonts w:hint="eastAsia" w:hAnsi="宋体" w:cs="宋体"/>
          <w:color w:val="auto"/>
          <w:szCs w:val="21"/>
          <w:highlight w:val="none"/>
          <w:lang w:eastAsia="zh-CN"/>
        </w:rPr>
        <w:t>三</w:t>
      </w:r>
      <w:r>
        <w:rPr>
          <w:rFonts w:hint="eastAsia" w:hAnsi="宋体" w:cs="宋体"/>
          <w:color w:val="auto"/>
          <w:szCs w:val="21"/>
          <w:highlight w:val="none"/>
        </w:rPr>
        <w:t>）</w:t>
      </w:r>
      <w:r>
        <w:rPr>
          <w:rFonts w:hint="eastAsia" w:hAnsi="宋体" w:cs="宋体"/>
          <w:color w:val="auto"/>
          <w:szCs w:val="21"/>
          <w:highlight w:val="none"/>
          <w:lang w:val="en-US" w:eastAsia="zh-CN"/>
        </w:rPr>
        <w:t>服务期</w:t>
      </w:r>
      <w:r>
        <w:rPr>
          <w:rFonts w:hint="eastAsia" w:hAnsi="宋体" w:cs="宋体"/>
          <w:color w:val="auto"/>
          <w:szCs w:val="21"/>
          <w:highlight w:val="none"/>
          <w:lang w:eastAsia="zh-CN"/>
        </w:rPr>
        <w:t>：</w:t>
      </w:r>
      <w:bookmarkStart w:id="39" w:name="_GoBack"/>
      <w:bookmarkEnd w:id="39"/>
    </w:p>
    <w:p>
      <w:pPr>
        <w:tabs>
          <w:tab w:val="left" w:pos="480"/>
        </w:tabs>
        <w:spacing w:line="360" w:lineRule="auto"/>
        <w:ind w:firstLine="480" w:firstLineChars="200"/>
        <w:rPr>
          <w:rFonts w:hint="eastAsia" w:hAnsi="宋体" w:cs="宋体"/>
          <w:color w:val="auto"/>
          <w:szCs w:val="21"/>
          <w:highlight w:val="none"/>
          <w:lang w:eastAsia="zh-CN"/>
        </w:rPr>
      </w:pPr>
      <w:r>
        <w:rPr>
          <w:rFonts w:hint="eastAsia" w:hAnsi="宋体" w:cs="宋体"/>
          <w:color w:val="auto"/>
          <w:szCs w:val="21"/>
          <w:highlight w:val="none"/>
          <w:lang w:eastAsia="zh-CN"/>
        </w:rPr>
        <w:t>（四）项目组成员要求：</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
        <w:gridCol w:w="1685"/>
        <w:gridCol w:w="2195"/>
        <w:gridCol w:w="1584"/>
        <w:gridCol w:w="1584"/>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1" w:type="dxa"/>
            <w:noWrap w:val="0"/>
            <w:vAlign w:val="top"/>
          </w:tcPr>
          <w:p>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hAnsi="宋体" w:cs="宋体"/>
                <w:color w:val="auto"/>
                <w:szCs w:val="21"/>
                <w:highlight w:val="none"/>
                <w:u w:val="none"/>
                <w:vertAlign w:val="baseline"/>
                <w:lang w:val="en-US" w:eastAsia="zh-CN"/>
              </w:rPr>
            </w:pPr>
            <w:r>
              <w:rPr>
                <w:rFonts w:hint="eastAsia" w:hAnsi="宋体" w:cs="宋体"/>
                <w:color w:val="auto"/>
                <w:szCs w:val="21"/>
                <w:highlight w:val="none"/>
                <w:u w:val="none"/>
                <w:vertAlign w:val="baseline"/>
                <w:lang w:val="en-US" w:eastAsia="zh-CN"/>
              </w:rPr>
              <w:t>序号</w:t>
            </w:r>
          </w:p>
        </w:tc>
        <w:tc>
          <w:tcPr>
            <w:tcW w:w="1685" w:type="dxa"/>
            <w:noWrap w:val="0"/>
            <w:vAlign w:val="top"/>
          </w:tcPr>
          <w:p>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hAnsi="宋体" w:cs="宋体"/>
                <w:color w:val="auto"/>
                <w:szCs w:val="21"/>
                <w:highlight w:val="none"/>
                <w:u w:val="none"/>
                <w:vertAlign w:val="baseline"/>
                <w:lang w:val="en-US" w:eastAsia="zh-CN"/>
              </w:rPr>
            </w:pPr>
            <w:r>
              <w:rPr>
                <w:rFonts w:hint="eastAsia" w:hAnsi="宋体" w:cs="宋体"/>
                <w:color w:val="auto"/>
                <w:szCs w:val="21"/>
                <w:highlight w:val="none"/>
                <w:u w:val="none"/>
                <w:lang w:val="en-US" w:eastAsia="zh-CN"/>
              </w:rPr>
              <w:t>姓名</w:t>
            </w:r>
          </w:p>
        </w:tc>
        <w:tc>
          <w:tcPr>
            <w:tcW w:w="2195" w:type="dxa"/>
            <w:noWrap w:val="0"/>
            <w:vAlign w:val="top"/>
          </w:tcPr>
          <w:p>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hAnsi="宋体" w:cs="宋体"/>
                <w:color w:val="auto"/>
                <w:szCs w:val="21"/>
                <w:highlight w:val="none"/>
                <w:u w:val="none"/>
                <w:vertAlign w:val="baseline"/>
                <w:lang w:val="en-US" w:eastAsia="zh-CN"/>
              </w:rPr>
            </w:pPr>
            <w:r>
              <w:rPr>
                <w:rFonts w:hint="eastAsia" w:hAnsi="宋体" w:cs="宋体"/>
                <w:color w:val="auto"/>
                <w:szCs w:val="21"/>
                <w:highlight w:val="none"/>
                <w:u w:val="none"/>
                <w:lang w:val="en-US" w:eastAsia="zh-CN"/>
              </w:rPr>
              <w:t>身份证号</w:t>
            </w:r>
          </w:p>
        </w:tc>
        <w:tc>
          <w:tcPr>
            <w:tcW w:w="1584" w:type="dxa"/>
            <w:noWrap w:val="0"/>
            <w:vAlign w:val="top"/>
          </w:tcPr>
          <w:p>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hAnsi="宋体" w:cs="宋体"/>
                <w:color w:val="auto"/>
                <w:szCs w:val="21"/>
                <w:highlight w:val="none"/>
                <w:u w:val="none"/>
                <w:vertAlign w:val="baseline"/>
                <w:lang w:val="en-US" w:eastAsia="zh-CN"/>
              </w:rPr>
            </w:pPr>
            <w:r>
              <w:rPr>
                <w:rFonts w:hint="eastAsia" w:hAnsi="宋体" w:cs="宋体"/>
                <w:color w:val="auto"/>
                <w:szCs w:val="21"/>
                <w:highlight w:val="none"/>
                <w:u w:val="none"/>
                <w:lang w:val="en-US" w:eastAsia="zh-CN"/>
              </w:rPr>
              <w:t>专业</w:t>
            </w:r>
          </w:p>
        </w:tc>
        <w:tc>
          <w:tcPr>
            <w:tcW w:w="1584" w:type="dxa"/>
            <w:noWrap w:val="0"/>
            <w:vAlign w:val="top"/>
          </w:tcPr>
          <w:p>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hAnsi="宋体" w:cs="宋体"/>
                <w:color w:val="auto"/>
                <w:szCs w:val="21"/>
                <w:highlight w:val="none"/>
                <w:u w:val="none"/>
                <w:lang w:val="en-US" w:eastAsia="zh-CN"/>
              </w:rPr>
            </w:pPr>
            <w:r>
              <w:rPr>
                <w:rFonts w:hint="eastAsia" w:hAnsi="宋体" w:cs="宋体"/>
                <w:color w:val="auto"/>
                <w:szCs w:val="21"/>
                <w:highlight w:val="none"/>
                <w:u w:val="none"/>
                <w:lang w:val="en-US" w:eastAsia="zh-CN"/>
              </w:rPr>
              <w:t>职务</w:t>
            </w:r>
          </w:p>
        </w:tc>
        <w:tc>
          <w:tcPr>
            <w:tcW w:w="1585" w:type="dxa"/>
            <w:noWrap w:val="0"/>
            <w:vAlign w:val="top"/>
          </w:tcPr>
          <w:p>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hAnsi="宋体" w:cs="宋体"/>
                <w:color w:val="auto"/>
                <w:szCs w:val="21"/>
                <w:highlight w:val="none"/>
                <w:u w:val="none"/>
                <w:lang w:val="en-US" w:eastAsia="zh-CN"/>
              </w:rPr>
            </w:pPr>
            <w:r>
              <w:rPr>
                <w:rFonts w:hint="eastAsia" w:hAnsi="宋体" w:cs="宋体"/>
                <w:color w:val="auto"/>
                <w:szCs w:val="21"/>
                <w:highlight w:val="none"/>
                <w:u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1" w:type="dxa"/>
            <w:noWrap w:val="0"/>
            <w:vAlign w:val="top"/>
          </w:tcPr>
          <w:p>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hAnsi="宋体" w:cs="宋体"/>
                <w:color w:val="auto"/>
                <w:szCs w:val="21"/>
                <w:highlight w:val="none"/>
                <w:u w:val="none"/>
                <w:vertAlign w:val="baseline"/>
                <w:lang w:val="en-US" w:eastAsia="zh-CN"/>
              </w:rPr>
            </w:pPr>
          </w:p>
        </w:tc>
        <w:tc>
          <w:tcPr>
            <w:tcW w:w="1685" w:type="dxa"/>
            <w:noWrap w:val="0"/>
            <w:vAlign w:val="top"/>
          </w:tcPr>
          <w:p>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hAnsi="宋体" w:cs="宋体"/>
                <w:color w:val="auto"/>
                <w:szCs w:val="21"/>
                <w:highlight w:val="none"/>
                <w:u w:val="none"/>
                <w:vertAlign w:val="baseline"/>
                <w:lang w:val="en-US" w:eastAsia="zh-CN"/>
              </w:rPr>
            </w:pPr>
          </w:p>
        </w:tc>
        <w:tc>
          <w:tcPr>
            <w:tcW w:w="2195" w:type="dxa"/>
            <w:noWrap w:val="0"/>
            <w:vAlign w:val="top"/>
          </w:tcPr>
          <w:p>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hAnsi="宋体" w:cs="宋体"/>
                <w:color w:val="auto"/>
                <w:szCs w:val="21"/>
                <w:highlight w:val="none"/>
                <w:u w:val="none"/>
                <w:vertAlign w:val="baseline"/>
                <w:lang w:val="en-US" w:eastAsia="zh-CN"/>
              </w:rPr>
            </w:pPr>
          </w:p>
        </w:tc>
        <w:tc>
          <w:tcPr>
            <w:tcW w:w="1584" w:type="dxa"/>
            <w:noWrap w:val="0"/>
            <w:vAlign w:val="top"/>
          </w:tcPr>
          <w:p>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hAnsi="宋体" w:cs="宋体"/>
                <w:color w:val="auto"/>
                <w:szCs w:val="21"/>
                <w:highlight w:val="none"/>
                <w:u w:val="none"/>
                <w:vertAlign w:val="baseline"/>
                <w:lang w:val="en-US" w:eastAsia="zh-CN"/>
              </w:rPr>
            </w:pPr>
          </w:p>
        </w:tc>
        <w:tc>
          <w:tcPr>
            <w:tcW w:w="1584" w:type="dxa"/>
            <w:noWrap w:val="0"/>
            <w:vAlign w:val="top"/>
          </w:tcPr>
          <w:p>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hAnsi="宋体" w:cs="宋体"/>
                <w:color w:val="auto"/>
                <w:szCs w:val="21"/>
                <w:highlight w:val="none"/>
                <w:u w:val="none"/>
                <w:vertAlign w:val="baseline"/>
                <w:lang w:val="en-US" w:eastAsia="zh-CN"/>
              </w:rPr>
            </w:pPr>
          </w:p>
        </w:tc>
        <w:tc>
          <w:tcPr>
            <w:tcW w:w="1585" w:type="dxa"/>
            <w:noWrap w:val="0"/>
            <w:vAlign w:val="top"/>
          </w:tcPr>
          <w:p>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hAnsi="宋体" w:cs="宋体"/>
                <w:color w:val="auto"/>
                <w:szCs w:val="21"/>
                <w:highlight w:val="none"/>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1" w:type="dxa"/>
            <w:noWrap w:val="0"/>
            <w:vAlign w:val="top"/>
          </w:tcPr>
          <w:p>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hAnsi="宋体" w:cs="宋体"/>
                <w:color w:val="auto"/>
                <w:szCs w:val="21"/>
                <w:highlight w:val="none"/>
                <w:u w:val="none"/>
                <w:vertAlign w:val="baseline"/>
                <w:lang w:val="en-US" w:eastAsia="zh-CN"/>
              </w:rPr>
            </w:pPr>
          </w:p>
        </w:tc>
        <w:tc>
          <w:tcPr>
            <w:tcW w:w="1685" w:type="dxa"/>
            <w:noWrap w:val="0"/>
            <w:vAlign w:val="top"/>
          </w:tcPr>
          <w:p>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hAnsi="宋体" w:cs="宋体"/>
                <w:color w:val="auto"/>
                <w:szCs w:val="21"/>
                <w:highlight w:val="none"/>
                <w:u w:val="none"/>
                <w:vertAlign w:val="baseline"/>
                <w:lang w:val="en-US" w:eastAsia="zh-CN"/>
              </w:rPr>
            </w:pPr>
          </w:p>
        </w:tc>
        <w:tc>
          <w:tcPr>
            <w:tcW w:w="2195" w:type="dxa"/>
            <w:noWrap w:val="0"/>
            <w:vAlign w:val="top"/>
          </w:tcPr>
          <w:p>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hAnsi="宋体" w:cs="宋体"/>
                <w:color w:val="auto"/>
                <w:szCs w:val="21"/>
                <w:highlight w:val="none"/>
                <w:u w:val="none"/>
                <w:vertAlign w:val="baseline"/>
                <w:lang w:val="en-US" w:eastAsia="zh-CN"/>
              </w:rPr>
            </w:pPr>
          </w:p>
        </w:tc>
        <w:tc>
          <w:tcPr>
            <w:tcW w:w="1584" w:type="dxa"/>
            <w:noWrap w:val="0"/>
            <w:vAlign w:val="top"/>
          </w:tcPr>
          <w:p>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hAnsi="宋体" w:cs="宋体"/>
                <w:color w:val="auto"/>
                <w:szCs w:val="21"/>
                <w:highlight w:val="none"/>
                <w:u w:val="none"/>
                <w:vertAlign w:val="baseline"/>
                <w:lang w:val="en-US" w:eastAsia="zh-CN"/>
              </w:rPr>
            </w:pPr>
          </w:p>
        </w:tc>
        <w:tc>
          <w:tcPr>
            <w:tcW w:w="1584" w:type="dxa"/>
            <w:noWrap w:val="0"/>
            <w:vAlign w:val="top"/>
          </w:tcPr>
          <w:p>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hAnsi="宋体" w:cs="宋体"/>
                <w:color w:val="auto"/>
                <w:szCs w:val="21"/>
                <w:highlight w:val="none"/>
                <w:u w:val="none"/>
                <w:vertAlign w:val="baseline"/>
                <w:lang w:val="en-US" w:eastAsia="zh-CN"/>
              </w:rPr>
            </w:pPr>
          </w:p>
        </w:tc>
        <w:tc>
          <w:tcPr>
            <w:tcW w:w="1585" w:type="dxa"/>
            <w:noWrap w:val="0"/>
            <w:vAlign w:val="top"/>
          </w:tcPr>
          <w:p>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hAnsi="宋体" w:cs="宋体"/>
                <w:color w:val="auto"/>
                <w:szCs w:val="21"/>
                <w:highlight w:val="none"/>
                <w:u w:val="none"/>
                <w:vertAlign w:val="baseline"/>
                <w:lang w:val="en-US" w:eastAsia="zh-CN"/>
              </w:rPr>
            </w:pPr>
          </w:p>
        </w:tc>
      </w:tr>
    </w:tbl>
    <w:p>
      <w:pPr>
        <w:tabs>
          <w:tab w:val="left" w:pos="480"/>
        </w:tabs>
        <w:spacing w:line="360" w:lineRule="auto"/>
        <w:outlineLvl w:val="1"/>
        <w:rPr>
          <w:rFonts w:hint="eastAsia" w:hAnsi="宋体" w:cs="宋体"/>
          <w:b/>
          <w:color w:val="auto"/>
          <w:szCs w:val="21"/>
          <w:highlight w:val="none"/>
        </w:rPr>
      </w:pPr>
      <w:r>
        <w:rPr>
          <w:rFonts w:hint="eastAsia" w:hAnsi="宋体" w:cs="宋体"/>
          <w:b/>
          <w:color w:val="auto"/>
          <w:szCs w:val="21"/>
          <w:highlight w:val="none"/>
          <w:lang w:eastAsia="zh-CN"/>
        </w:rPr>
        <w:t>五</w:t>
      </w:r>
      <w:r>
        <w:rPr>
          <w:rFonts w:hint="eastAsia" w:hAnsi="宋体" w:cs="宋体"/>
          <w:b/>
          <w:color w:val="auto"/>
          <w:szCs w:val="21"/>
          <w:highlight w:val="none"/>
        </w:rPr>
        <w:t>、质量保证</w:t>
      </w:r>
      <w:bookmarkEnd w:id="18"/>
      <w:bookmarkEnd w:id="19"/>
      <w:bookmarkEnd w:id="20"/>
    </w:p>
    <w:p>
      <w:pPr>
        <w:tabs>
          <w:tab w:val="left" w:pos="480"/>
        </w:tabs>
        <w:spacing w:line="360" w:lineRule="auto"/>
        <w:ind w:firstLine="470" w:firstLineChars="196"/>
        <w:rPr>
          <w:rFonts w:hint="eastAsia" w:hAnsi="宋体" w:cs="宋体"/>
          <w:color w:val="auto"/>
          <w:szCs w:val="21"/>
          <w:highlight w:val="none"/>
        </w:rPr>
      </w:pPr>
      <w:r>
        <w:rPr>
          <w:rFonts w:hint="eastAsia" w:hAnsi="宋体" w:cs="宋体"/>
          <w:color w:val="auto"/>
          <w:szCs w:val="21"/>
          <w:highlight w:val="none"/>
        </w:rPr>
        <w:t>乙方所提供所有服务需按照采购人要求执行。同时符合相关法律法规规定。</w:t>
      </w:r>
    </w:p>
    <w:p>
      <w:pPr>
        <w:tabs>
          <w:tab w:val="left" w:pos="480"/>
        </w:tabs>
        <w:spacing w:line="360" w:lineRule="auto"/>
        <w:outlineLvl w:val="1"/>
        <w:rPr>
          <w:rFonts w:hint="eastAsia" w:hAnsi="宋体" w:cs="宋体"/>
          <w:b/>
          <w:color w:val="auto"/>
          <w:szCs w:val="21"/>
          <w:highlight w:val="none"/>
        </w:rPr>
      </w:pPr>
      <w:bookmarkStart w:id="21" w:name="_Toc12558"/>
      <w:bookmarkStart w:id="22" w:name="_Toc9903"/>
      <w:bookmarkStart w:id="23" w:name="_Toc21314"/>
      <w:r>
        <w:rPr>
          <w:rFonts w:hint="eastAsia" w:hAnsi="宋体" w:cs="宋体"/>
          <w:b/>
          <w:color w:val="auto"/>
          <w:szCs w:val="21"/>
          <w:highlight w:val="none"/>
          <w:lang w:eastAsia="zh-CN"/>
        </w:rPr>
        <w:t>六</w:t>
      </w:r>
      <w:r>
        <w:rPr>
          <w:rFonts w:hint="eastAsia" w:hAnsi="宋体" w:cs="宋体"/>
          <w:b/>
          <w:color w:val="auto"/>
          <w:szCs w:val="21"/>
          <w:highlight w:val="none"/>
        </w:rPr>
        <w:t>、技术与服务</w:t>
      </w:r>
      <w:bookmarkEnd w:id="21"/>
      <w:bookmarkEnd w:id="22"/>
      <w:bookmarkEnd w:id="23"/>
    </w:p>
    <w:p>
      <w:pPr>
        <w:tabs>
          <w:tab w:val="left" w:pos="480"/>
        </w:tabs>
        <w:spacing w:line="360" w:lineRule="auto"/>
        <w:ind w:firstLine="480" w:firstLineChars="200"/>
        <w:rPr>
          <w:rFonts w:hint="eastAsia"/>
          <w:color w:val="auto"/>
          <w:highlight w:val="none"/>
        </w:rPr>
      </w:pPr>
      <w:r>
        <w:rPr>
          <w:rFonts w:hint="eastAsia" w:hAnsi="宋体" w:cs="宋体"/>
          <w:color w:val="auto"/>
          <w:szCs w:val="21"/>
          <w:highlight w:val="none"/>
        </w:rPr>
        <w:t>乙方服务期间所有的资料需要妥善保存，定期进行已完结事项的资料移交。如有缺失损毁，采购人有权追求相关法律及经济责任。</w:t>
      </w:r>
    </w:p>
    <w:p>
      <w:pPr>
        <w:tabs>
          <w:tab w:val="left" w:pos="480"/>
        </w:tabs>
        <w:spacing w:line="360" w:lineRule="auto"/>
        <w:outlineLvl w:val="1"/>
        <w:rPr>
          <w:rFonts w:hint="eastAsia" w:hAnsi="宋体" w:cs="宋体"/>
          <w:b/>
          <w:color w:val="auto"/>
          <w:szCs w:val="21"/>
          <w:highlight w:val="none"/>
        </w:rPr>
      </w:pPr>
      <w:bookmarkStart w:id="24" w:name="_Toc22161"/>
      <w:bookmarkStart w:id="25" w:name="_Toc14409"/>
      <w:bookmarkStart w:id="26" w:name="_Toc12975"/>
      <w:r>
        <w:rPr>
          <w:rFonts w:hint="eastAsia" w:hAnsi="宋体" w:cs="宋体"/>
          <w:b/>
          <w:color w:val="auto"/>
          <w:szCs w:val="21"/>
          <w:highlight w:val="none"/>
          <w:lang w:eastAsia="zh-CN"/>
        </w:rPr>
        <w:t>七</w:t>
      </w:r>
      <w:r>
        <w:rPr>
          <w:rFonts w:hint="eastAsia" w:hAnsi="宋体" w:cs="宋体"/>
          <w:b/>
          <w:color w:val="auto"/>
          <w:szCs w:val="21"/>
          <w:highlight w:val="none"/>
        </w:rPr>
        <w:t>、验收</w:t>
      </w:r>
      <w:bookmarkEnd w:id="24"/>
      <w:bookmarkEnd w:id="25"/>
      <w:bookmarkEnd w:id="26"/>
    </w:p>
    <w:p>
      <w:pPr>
        <w:spacing w:line="360" w:lineRule="auto"/>
        <w:ind w:firstLine="480" w:firstLineChars="200"/>
        <w:rPr>
          <w:rFonts w:hint="eastAsia" w:eastAsia="宋体"/>
          <w:color w:val="auto"/>
          <w:highlight w:val="none"/>
          <w:lang w:eastAsia="zh-CN"/>
        </w:rPr>
      </w:pPr>
      <w:r>
        <w:rPr>
          <w:rFonts w:hint="eastAsia" w:eastAsia="宋体"/>
          <w:color w:val="auto"/>
          <w:highlight w:val="none"/>
          <w:lang w:eastAsia="zh-CN"/>
        </w:rPr>
        <w:t>1、所验服务最终验收达不到磋商文件要求和磋商响应文件承诺及国家或行业标准的，或在使用中发现甲方不能容忍的缺陷等，将视为验收不合格，乙方应在甲方要求的时间内无条件完善或要求赔付甲方损失。</w:t>
      </w:r>
    </w:p>
    <w:p>
      <w:pPr>
        <w:spacing w:line="360" w:lineRule="auto"/>
        <w:ind w:firstLine="480" w:firstLineChars="200"/>
        <w:rPr>
          <w:rFonts w:hint="eastAsia" w:eastAsia="宋体"/>
          <w:color w:val="auto"/>
          <w:highlight w:val="none"/>
          <w:lang w:eastAsia="zh-CN"/>
        </w:rPr>
      </w:pPr>
      <w:r>
        <w:rPr>
          <w:rFonts w:hint="eastAsia" w:eastAsia="宋体"/>
          <w:color w:val="auto"/>
          <w:highlight w:val="none"/>
          <w:lang w:eastAsia="zh-CN"/>
        </w:rPr>
        <w:t>2、若发现乙方有弄虚作假的，及在项目实施阶段故意或随意夸大服务，本合同解除，乙方赔偿甲方相应的损失。</w:t>
      </w:r>
    </w:p>
    <w:p>
      <w:pPr>
        <w:spacing w:line="360" w:lineRule="auto"/>
        <w:ind w:firstLine="480" w:firstLineChars="200"/>
        <w:rPr>
          <w:rFonts w:hint="eastAsia" w:eastAsia="宋体"/>
          <w:color w:val="auto"/>
          <w:highlight w:val="none"/>
          <w:lang w:eastAsia="zh-CN"/>
        </w:rPr>
      </w:pPr>
      <w:r>
        <w:rPr>
          <w:rFonts w:hint="eastAsia" w:eastAsia="宋体"/>
          <w:color w:val="auto"/>
          <w:highlight w:val="none"/>
          <w:lang w:eastAsia="zh-CN"/>
        </w:rPr>
        <w:t>3、验收标准：按磋商文件、磋商响应文件及磋商记录表等技术指标进行逐项验收。各项指标均应符合验收标准及要求。</w:t>
      </w:r>
    </w:p>
    <w:p>
      <w:pPr>
        <w:tabs>
          <w:tab w:val="left" w:pos="480"/>
        </w:tabs>
        <w:spacing w:line="360" w:lineRule="auto"/>
        <w:outlineLvl w:val="1"/>
        <w:rPr>
          <w:rFonts w:hint="eastAsia" w:hAnsi="宋体" w:cs="宋体"/>
          <w:b/>
          <w:color w:val="auto"/>
          <w:szCs w:val="21"/>
          <w:highlight w:val="none"/>
        </w:rPr>
      </w:pPr>
      <w:bookmarkStart w:id="27" w:name="_Toc9858"/>
      <w:bookmarkStart w:id="28" w:name="_Toc30681"/>
      <w:bookmarkStart w:id="29" w:name="_Toc20026"/>
      <w:r>
        <w:rPr>
          <w:rFonts w:hint="eastAsia" w:hAnsi="宋体" w:cs="宋体"/>
          <w:b/>
          <w:color w:val="auto"/>
          <w:szCs w:val="21"/>
          <w:highlight w:val="none"/>
          <w:lang w:eastAsia="zh-CN"/>
        </w:rPr>
        <w:t>八</w:t>
      </w:r>
      <w:r>
        <w:rPr>
          <w:rFonts w:hint="eastAsia" w:hAnsi="宋体" w:cs="宋体"/>
          <w:b/>
          <w:color w:val="auto"/>
          <w:szCs w:val="21"/>
          <w:highlight w:val="none"/>
        </w:rPr>
        <w:t>、违约责任</w:t>
      </w:r>
      <w:bookmarkEnd w:id="27"/>
      <w:bookmarkEnd w:id="28"/>
      <w:bookmarkEnd w:id="29"/>
    </w:p>
    <w:p>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1、按《</w:t>
      </w:r>
      <w:r>
        <w:rPr>
          <w:rFonts w:hint="eastAsia" w:hAnsi="宋体" w:cs="宋体"/>
          <w:color w:val="auto"/>
          <w:szCs w:val="21"/>
          <w:highlight w:val="none"/>
          <w:lang w:eastAsia="zh-CN"/>
        </w:rPr>
        <w:t>中华人民共和国民法典</w:t>
      </w:r>
      <w:r>
        <w:rPr>
          <w:rFonts w:hint="eastAsia" w:hAnsi="宋体" w:cs="宋体"/>
          <w:color w:val="auto"/>
          <w:szCs w:val="21"/>
          <w:highlight w:val="none"/>
        </w:rPr>
        <w:t>》中的相关条款执行。</w:t>
      </w:r>
    </w:p>
    <w:p>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2、未按合同要求提供服务或服务不能满足合同要求，采购人应当将服务商违约的情况以及拟采取的措施以书面形式报政府采购监管部门，根据政府采购监管部门的处理意见，采购人有权依据《</w:t>
      </w:r>
      <w:r>
        <w:rPr>
          <w:rFonts w:hint="eastAsia" w:hAnsi="宋体" w:cs="宋体"/>
          <w:color w:val="auto"/>
          <w:szCs w:val="21"/>
          <w:highlight w:val="none"/>
          <w:lang w:eastAsia="zh-CN"/>
        </w:rPr>
        <w:t>中华人民共和国民法典</w:t>
      </w:r>
      <w:r>
        <w:rPr>
          <w:rFonts w:hint="eastAsia" w:hAnsi="宋体" w:cs="宋体"/>
          <w:color w:val="auto"/>
          <w:szCs w:val="21"/>
          <w:highlight w:val="none"/>
        </w:rPr>
        <w:t>》有关条款及合同约定终止合同，并要求服务商承担违约责任。同时，政府采购监管部门有权依据《政府采购法》及相关法律法规对服务商的违法行为进行相应的处罚。</w:t>
      </w:r>
    </w:p>
    <w:p>
      <w:pPr>
        <w:tabs>
          <w:tab w:val="left" w:pos="480"/>
        </w:tabs>
        <w:spacing w:line="360" w:lineRule="auto"/>
        <w:outlineLvl w:val="1"/>
        <w:rPr>
          <w:rFonts w:hint="eastAsia" w:hAnsi="宋体" w:cs="宋体"/>
          <w:b/>
          <w:color w:val="auto"/>
          <w:szCs w:val="21"/>
          <w:highlight w:val="none"/>
        </w:rPr>
      </w:pPr>
      <w:bookmarkStart w:id="30" w:name="_Toc13662"/>
      <w:bookmarkStart w:id="31" w:name="_Toc27523"/>
      <w:bookmarkStart w:id="32" w:name="_Toc15856"/>
      <w:r>
        <w:rPr>
          <w:rFonts w:hint="eastAsia" w:hAnsi="宋体" w:cs="宋体"/>
          <w:b/>
          <w:color w:val="auto"/>
          <w:szCs w:val="21"/>
          <w:highlight w:val="none"/>
          <w:lang w:eastAsia="zh-CN"/>
        </w:rPr>
        <w:t>九</w:t>
      </w:r>
      <w:r>
        <w:rPr>
          <w:rFonts w:hint="eastAsia" w:hAnsi="宋体" w:cs="宋体"/>
          <w:b/>
          <w:color w:val="auto"/>
          <w:szCs w:val="21"/>
          <w:highlight w:val="none"/>
        </w:rPr>
        <w:t>、合同争议解决的方式</w:t>
      </w:r>
      <w:bookmarkEnd w:id="30"/>
      <w:bookmarkEnd w:id="31"/>
      <w:bookmarkEnd w:id="32"/>
    </w:p>
    <w:p>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本合同在履行过程中发生的争议，由甲、乙双方当事人协商解决，协商不成的按下列第</w:t>
      </w:r>
      <w:r>
        <w:rPr>
          <w:rFonts w:hint="eastAsia" w:hAnsi="宋体" w:cs="宋体"/>
          <w:color w:val="auto"/>
          <w:szCs w:val="21"/>
          <w:highlight w:val="none"/>
          <w:u w:val="single"/>
        </w:rPr>
        <w:t xml:space="preserve">    </w:t>
      </w:r>
      <w:r>
        <w:rPr>
          <w:rFonts w:hint="eastAsia" w:hAnsi="宋体" w:cs="宋体"/>
          <w:color w:val="auto"/>
          <w:szCs w:val="21"/>
          <w:highlight w:val="none"/>
        </w:rPr>
        <w:t>种方式解决：</w:t>
      </w:r>
    </w:p>
    <w:p>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（一）提交</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仲裁委员会仲裁；</w:t>
      </w:r>
    </w:p>
    <w:p>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 xml:space="preserve">（二）依法向 </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所在地人民法院起诉。</w:t>
      </w:r>
    </w:p>
    <w:p>
      <w:pPr>
        <w:tabs>
          <w:tab w:val="left" w:pos="480"/>
        </w:tabs>
        <w:spacing w:line="360" w:lineRule="auto"/>
        <w:outlineLvl w:val="1"/>
        <w:rPr>
          <w:rFonts w:hint="eastAsia" w:hAnsi="宋体" w:cs="宋体"/>
          <w:b/>
          <w:color w:val="auto"/>
          <w:szCs w:val="21"/>
          <w:highlight w:val="none"/>
        </w:rPr>
      </w:pPr>
      <w:bookmarkStart w:id="33" w:name="_Toc2858"/>
      <w:bookmarkStart w:id="34" w:name="_Toc18389"/>
      <w:bookmarkStart w:id="35" w:name="_Toc7342"/>
      <w:r>
        <w:rPr>
          <w:rFonts w:hint="eastAsia" w:hAnsi="宋体" w:cs="宋体"/>
          <w:b/>
          <w:color w:val="auto"/>
          <w:szCs w:val="21"/>
          <w:highlight w:val="none"/>
        </w:rPr>
        <w:t>十、合同生效</w:t>
      </w:r>
      <w:bookmarkEnd w:id="33"/>
      <w:bookmarkEnd w:id="34"/>
      <w:bookmarkEnd w:id="35"/>
    </w:p>
    <w:p>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本合同一式</w:t>
      </w:r>
      <w:r>
        <w:rPr>
          <w:rFonts w:hint="eastAsia" w:hAnsi="宋体" w:cs="宋体"/>
          <w:color w:val="auto"/>
          <w:szCs w:val="21"/>
          <w:highlight w:val="none"/>
          <w:u w:val="single"/>
        </w:rPr>
        <w:t xml:space="preserve">   </w:t>
      </w:r>
      <w:r>
        <w:rPr>
          <w:rFonts w:hint="eastAsia" w:hAnsi="宋体" w:cs="宋体"/>
          <w:color w:val="auto"/>
          <w:szCs w:val="21"/>
          <w:highlight w:val="none"/>
        </w:rPr>
        <w:t>份，甲方执</w:t>
      </w:r>
      <w:r>
        <w:rPr>
          <w:rFonts w:hint="eastAsia" w:hAnsi="宋体" w:cs="宋体"/>
          <w:color w:val="auto"/>
          <w:szCs w:val="21"/>
          <w:highlight w:val="none"/>
          <w:u w:val="single"/>
        </w:rPr>
        <w:t xml:space="preserve">   </w:t>
      </w:r>
      <w:r>
        <w:rPr>
          <w:rFonts w:hint="eastAsia" w:hAnsi="宋体" w:cs="宋体"/>
          <w:color w:val="auto"/>
          <w:szCs w:val="21"/>
          <w:highlight w:val="none"/>
        </w:rPr>
        <w:t>份，乙方执</w:t>
      </w:r>
      <w:r>
        <w:rPr>
          <w:rFonts w:hint="eastAsia" w:hAnsi="宋体" w:cs="宋体"/>
          <w:color w:val="auto"/>
          <w:szCs w:val="21"/>
          <w:highlight w:val="none"/>
          <w:u w:val="single"/>
        </w:rPr>
        <w:t xml:space="preserve">    </w:t>
      </w:r>
      <w:r>
        <w:rPr>
          <w:rFonts w:hint="eastAsia" w:hAnsi="宋体" w:cs="宋体"/>
          <w:color w:val="auto"/>
          <w:szCs w:val="21"/>
          <w:highlight w:val="none"/>
        </w:rPr>
        <w:t>份，本合同甲、乙、确认各方签字盖章后生效，合同执行完毕后，自动失效（合同的服务承诺则长期有效）。</w:t>
      </w:r>
    </w:p>
    <w:p>
      <w:pPr>
        <w:tabs>
          <w:tab w:val="left" w:pos="480"/>
        </w:tabs>
        <w:spacing w:line="360" w:lineRule="auto"/>
        <w:outlineLvl w:val="1"/>
        <w:rPr>
          <w:rFonts w:hint="eastAsia" w:hAnsi="宋体" w:cs="宋体"/>
          <w:b/>
          <w:color w:val="auto"/>
          <w:szCs w:val="21"/>
          <w:highlight w:val="none"/>
        </w:rPr>
      </w:pPr>
      <w:bookmarkStart w:id="36" w:name="_Toc18225"/>
      <w:bookmarkStart w:id="37" w:name="_Toc18381"/>
      <w:bookmarkStart w:id="38" w:name="_Toc823"/>
      <w:r>
        <w:rPr>
          <w:rFonts w:hint="eastAsia" w:hAnsi="宋体" w:cs="宋体"/>
          <w:b/>
          <w:color w:val="auto"/>
          <w:szCs w:val="21"/>
          <w:highlight w:val="none"/>
        </w:rPr>
        <w:t>十</w:t>
      </w:r>
      <w:r>
        <w:rPr>
          <w:rFonts w:hint="eastAsia" w:hAnsi="宋体" w:cs="宋体"/>
          <w:b/>
          <w:color w:val="auto"/>
          <w:szCs w:val="21"/>
          <w:highlight w:val="none"/>
          <w:lang w:eastAsia="zh-CN"/>
        </w:rPr>
        <w:t>一</w:t>
      </w:r>
      <w:r>
        <w:rPr>
          <w:rFonts w:hint="eastAsia" w:hAnsi="宋体" w:cs="宋体"/>
          <w:b/>
          <w:color w:val="auto"/>
          <w:szCs w:val="21"/>
          <w:highlight w:val="none"/>
        </w:rPr>
        <w:t>、其他事项</w:t>
      </w:r>
      <w:bookmarkEnd w:id="36"/>
      <w:bookmarkEnd w:id="37"/>
      <w:bookmarkEnd w:id="38"/>
    </w:p>
    <w:p>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（一）竞争性磋商文件、竞争性磋商响应文件、澄清表（函）、成交通知书、合同附件均成为合同不可分割的部分。</w:t>
      </w:r>
    </w:p>
    <w:p>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（二）合同未尽事宜，由甲、乙双方协商，作为合同补充，与原合同具有同等法律效力。</w:t>
      </w:r>
    </w:p>
    <w:p>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（三）合同一经签订，不得擅自变更、中止或终止合同。但若与甲方的上级管理机关的政策性行为或其他规定发生冲突，甲方有权与乙方协商调整协议内容或终止协议执行。</w:t>
      </w:r>
    </w:p>
    <w:p>
      <w:pPr>
        <w:spacing w:line="360" w:lineRule="auto"/>
        <w:ind w:firstLine="420"/>
        <w:rPr>
          <w:color w:val="auto"/>
          <w:szCs w:val="24"/>
          <w:highlight w:val="none"/>
        </w:rPr>
      </w:pPr>
      <w:r>
        <w:rPr>
          <w:rFonts w:hint="eastAsia" w:hAnsi="宋体"/>
          <w:color w:val="auto"/>
          <w:szCs w:val="24"/>
          <w:highlight w:val="none"/>
        </w:rPr>
        <w:t>（四）执行本合同过程中发生争议，由当事人双方协商解决。协商不成，可向采购方所在地人民法院提起诉讼。</w:t>
      </w:r>
    </w:p>
    <w:p>
      <w:pPr>
        <w:spacing w:line="360" w:lineRule="auto"/>
        <w:ind w:firstLine="420"/>
        <w:rPr>
          <w:color w:val="auto"/>
          <w:szCs w:val="24"/>
          <w:highlight w:val="none"/>
        </w:rPr>
      </w:pPr>
      <w:r>
        <w:rPr>
          <w:rFonts w:hint="eastAsia" w:hAnsi="宋体"/>
          <w:color w:val="auto"/>
          <w:szCs w:val="24"/>
          <w:highlight w:val="none"/>
        </w:rPr>
        <w:t>（</w:t>
      </w:r>
      <w:r>
        <w:rPr>
          <w:rFonts w:hint="eastAsia" w:hAnsi="宋体"/>
          <w:color w:val="auto"/>
          <w:szCs w:val="24"/>
          <w:highlight w:val="none"/>
          <w:lang w:val="en-US" w:eastAsia="zh-CN"/>
        </w:rPr>
        <w:t>五</w:t>
      </w:r>
      <w:r>
        <w:rPr>
          <w:rFonts w:hint="eastAsia" w:hAnsi="宋体"/>
          <w:color w:val="auto"/>
          <w:szCs w:val="24"/>
          <w:highlight w:val="none"/>
        </w:rPr>
        <w:t>）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w:t>
      </w:r>
      <w:r>
        <w:rPr>
          <w:rFonts w:hint="eastAsia" w:hAnsi="宋体"/>
          <w:color w:val="auto"/>
          <w:szCs w:val="24"/>
          <w:highlight w:val="none"/>
        </w:rPr>
        <w:t>六</w:t>
      </w:r>
      <w:r>
        <w:rPr>
          <w:rFonts w:hint="eastAsia" w:hAnsi="宋体" w:cs="宋体"/>
          <w:color w:val="auto"/>
          <w:szCs w:val="21"/>
          <w:highlight w:val="none"/>
        </w:rPr>
        <w:t>）本合同按照中华人民共和国的现行法律进行解释。</w:t>
      </w:r>
    </w:p>
    <w:p>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甲  方</w:t>
      </w:r>
      <w:r>
        <w:rPr>
          <w:rFonts w:hint="eastAsia" w:hAnsi="宋体" w:cs="宋体"/>
          <w:color w:val="auto"/>
          <w:szCs w:val="21"/>
          <w:highlight w:val="none"/>
          <w:lang w:eastAsia="zh-CN"/>
        </w:rPr>
        <w:t>：</w:t>
      </w:r>
      <w:r>
        <w:rPr>
          <w:rFonts w:hint="eastAsia" w:hAnsi="宋体" w:cs="宋体"/>
          <w:color w:val="auto"/>
          <w:szCs w:val="21"/>
          <w:highlight w:val="none"/>
        </w:rPr>
        <w:t>（盖章）                          乙  方</w:t>
      </w:r>
      <w:r>
        <w:rPr>
          <w:rFonts w:hint="eastAsia" w:hAnsi="宋体" w:cs="宋体"/>
          <w:color w:val="auto"/>
          <w:szCs w:val="21"/>
          <w:highlight w:val="none"/>
          <w:lang w:eastAsia="zh-CN"/>
        </w:rPr>
        <w:t>：</w:t>
      </w:r>
      <w:r>
        <w:rPr>
          <w:rFonts w:hint="eastAsia" w:hAnsi="宋体" w:cs="宋体"/>
          <w:color w:val="auto"/>
          <w:szCs w:val="21"/>
          <w:highlight w:val="none"/>
        </w:rPr>
        <w:t>（盖章）</w:t>
      </w:r>
    </w:p>
    <w:p>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单位名称：                                单位名称：</w:t>
      </w:r>
    </w:p>
    <w:p>
      <w:pPr>
        <w:tabs>
          <w:tab w:val="left" w:pos="480"/>
        </w:tabs>
        <w:spacing w:line="360" w:lineRule="auto"/>
        <w:ind w:left="6720" w:leftChars="200" w:hanging="6240" w:hangingChars="2600"/>
        <w:rPr>
          <w:rFonts w:hint="eastAsia" w:hAnsi="宋体" w:cs="宋体"/>
          <w:color w:val="auto"/>
          <w:szCs w:val="21"/>
          <w:highlight w:val="none"/>
        </w:rPr>
      </w:pPr>
      <w:r>
        <w:rPr>
          <w:rFonts w:hint="eastAsia" w:hAnsi="宋体" w:cs="宋体"/>
          <w:color w:val="auto"/>
          <w:szCs w:val="21"/>
          <w:highlight w:val="none"/>
        </w:rPr>
        <w:t>地  址：                                  地  址：</w:t>
      </w:r>
    </w:p>
    <w:p>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法定代表人                                法定代表人</w:t>
      </w:r>
    </w:p>
    <w:p>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或委托代理人：                            或委托代理人：</w:t>
      </w:r>
    </w:p>
    <w:p>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 xml:space="preserve">                                          开户银行：</w:t>
      </w:r>
    </w:p>
    <w:p>
      <w:pPr>
        <w:tabs>
          <w:tab w:val="left" w:pos="480"/>
        </w:tabs>
        <w:spacing w:line="360" w:lineRule="auto"/>
        <w:ind w:firstLine="5520" w:firstLineChars="2300"/>
        <w:rPr>
          <w:rFonts w:hint="eastAsia" w:hAnsi="宋体" w:cs="宋体"/>
          <w:color w:val="auto"/>
          <w:szCs w:val="21"/>
          <w:highlight w:val="none"/>
        </w:rPr>
      </w:pPr>
      <w:r>
        <w:rPr>
          <w:rFonts w:hint="eastAsia" w:hAnsi="宋体" w:cs="宋体"/>
          <w:color w:val="auto"/>
          <w:szCs w:val="21"/>
          <w:highlight w:val="none"/>
        </w:rPr>
        <w:t xml:space="preserve">账  号：       </w:t>
      </w:r>
    </w:p>
    <w:p>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联系电话：                                联系电话：</w:t>
      </w:r>
    </w:p>
    <w:p>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签订日期：     年    月      日           签订日期：     年    月   日</w:t>
      </w:r>
    </w:p>
    <w:p/>
    <w:sectPr>
      <w:pgSz w:w="11906" w:h="16838"/>
      <w:pgMar w:top="1417" w:right="1531" w:bottom="141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xMjYxMTc2YmNmM2ZiYzM3MzRiYzBiMTAxOWMxMDcifQ=="/>
  </w:docVars>
  <w:rsids>
    <w:rsidRoot w:val="00000000"/>
    <w:rsid w:val="74A81F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2024-03-14T03:07:52Z</dcterms:created>
  <dc:creator>lenovo</dc:creator>
  <cp:lastModifiedBy>救赎</cp:lastModifiedBy>
  <dcterms:modified xsi:type="dcterms:W3CDTF">2024-03-14T03:08:27Z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072B53BFE50744E5A6C8CEB588EBA18E_12</vt:lpwstr>
  </property>
</Properties>
</file>