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网络存储、服务器等硬件设备维保项目</w:t>
      </w:r>
    </w:p>
    <w:p>
      <w:pPr>
        <w:pStyle w:val="null3"/>
        <w:jc w:val="center"/>
        <w:outlineLvl w:val="2"/>
      </w:pPr>
      <w:r>
        <w:rPr>
          <w:b/>
          <w:sz w:val="28"/>
        </w:rPr>
        <w:t>采购项目编号：</w:t>
      </w:r>
      <w:r>
        <w:rPr>
          <w:b/>
          <w:sz w:val="28"/>
        </w:rPr>
        <w:t>SXZCZB2024-ZCCS-0214</w:t>
      </w:r>
      <w:r>
        <w:br/>
      </w:r>
      <w:r>
        <w:br/>
      </w:r>
      <w:r>
        <w:br/>
      </w:r>
    </w:p>
    <w:p>
      <w:pPr>
        <w:pStyle w:val="null3"/>
        <w:jc w:val="center"/>
        <w:outlineLvl w:val="2"/>
      </w:pPr>
      <w:r>
        <w:rPr>
          <w:b/>
          <w:sz w:val="28"/>
        </w:rPr>
        <w:t>陕西省人民医院</w:t>
      </w:r>
    </w:p>
    <w:p>
      <w:pPr>
        <w:pStyle w:val="null3"/>
        <w:jc w:val="center"/>
        <w:outlineLvl w:val="2"/>
      </w:pPr>
      <w:r>
        <w:rPr>
          <w:b/>
          <w:sz w:val="28"/>
        </w:rPr>
        <w:t>陕西至诚项目管理集团有限公司</w:t>
      </w:r>
      <w:r>
        <w:rPr>
          <w:b/>
          <w:sz w:val="28"/>
        </w:rPr>
        <w:t>共同编制</w:t>
      </w:r>
    </w:p>
    <w:p>
      <w:pPr>
        <w:pStyle w:val="null3"/>
        <w:jc w:val="center"/>
        <w:outlineLvl w:val="2"/>
      </w:pPr>
      <w:r>
        <w:rPr>
          <w:b/>
          <w:sz w:val="28"/>
        </w:rPr>
        <w:t>2024年03月14日</w:t>
      </w:r>
    </w:p>
    <w:p>
      <w:pPr>
        <w:pStyle w:val="null3"/>
      </w:pPr>
      <w:r>
        <w:rPr/>
        <w:t xml:space="preserve"> </w:t>
      </w:r>
    </w:p>
    <w:p>
      <w:pPr>
        <w:pStyle w:val="null3"/>
        <w:jc w:val="center"/>
        <w:outlineLvl w:val="1"/>
      </w:pPr>
      <w:r>
        <w:rPr>
          <w:b/>
          <w:sz w:val="36"/>
        </w:rPr>
        <w:t>第一章 竞争性磋商邀请</w:t>
      </w:r>
    </w:p>
    <w:p>
      <w:pPr>
        <w:pStyle w:val="null3"/>
        <w:ind w:firstLine="480"/>
      </w:pPr>
      <w:r>
        <w:rPr/>
        <w:t>陕西至诚项目管理集团有限公司</w:t>
      </w:r>
      <w:r>
        <w:rPr/>
        <w:t>（以下简称“代理机构”）受</w:t>
      </w:r>
      <w:r>
        <w:rPr/>
        <w:t>陕西省人民医院</w:t>
      </w:r>
      <w:r>
        <w:rPr/>
        <w:t>委托，拟对</w:t>
      </w:r>
      <w:r>
        <w:rPr/>
        <w:t>网络存储、服务器等硬件设备维保项目</w:t>
      </w:r>
      <w:r>
        <w:rPr/>
        <w:t>采用竞争性磋商采购方式进行采购，兹邀请供应商参加本项目的竞争性磋商。</w:t>
      </w:r>
    </w:p>
    <w:p>
      <w:pPr>
        <w:pStyle w:val="null3"/>
        <w:outlineLvl w:val="2"/>
      </w:pPr>
      <w:r>
        <w:rPr>
          <w:b/>
          <w:sz w:val="28"/>
        </w:rPr>
        <w:t>一、项目编号：</w:t>
      </w:r>
      <w:r>
        <w:rPr>
          <w:b/>
          <w:sz w:val="28"/>
        </w:rPr>
        <w:t>SXZCZB2024-ZCCS-0214</w:t>
      </w:r>
    </w:p>
    <w:p>
      <w:pPr>
        <w:pStyle w:val="null3"/>
        <w:outlineLvl w:val="2"/>
      </w:pPr>
      <w:r>
        <w:rPr>
          <w:b/>
          <w:sz w:val="28"/>
        </w:rPr>
        <w:t>二、项目名称：</w:t>
      </w:r>
      <w:r>
        <w:rPr>
          <w:b/>
          <w:sz w:val="28"/>
        </w:rPr>
        <w:t>网络存储、服务器等硬件设备维保项目</w:t>
      </w:r>
    </w:p>
    <w:p>
      <w:pPr>
        <w:pStyle w:val="null3"/>
        <w:outlineLvl w:val="2"/>
      </w:pPr>
      <w:r>
        <w:rPr>
          <w:b/>
          <w:sz w:val="28"/>
        </w:rPr>
        <w:t>三、磋商项目简介</w:t>
      </w:r>
    </w:p>
    <w:p>
      <w:pPr>
        <w:pStyle w:val="null3"/>
        <w:ind w:firstLine="480"/>
      </w:pPr>
      <w:r>
        <w:rPr/>
        <w:t>陕西省人民医院信息化为医院核心业务系统运行提供硬件环境支持。硬件环境包括网络设备、安全设备和视频会议设备。为确保医院业务稳定持续发展，信息化需要配置适当的维护保障能力，对信息化业务系统进行优化梳理后，提出必要的硬件保修和技术支持需求。</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采购包1（网络存储、服务器等硬件设备维保项目）：属于专门面向中小企业采购。</w:t>
      </w:r>
    </w:p>
    <w:p>
      <w:pPr>
        <w:pStyle w:val="null3"/>
        <w:ind w:firstLine="480"/>
      </w:pPr>
      <w:r>
        <w:rPr/>
        <w:t>（三）本项目的特定资格要求：</w:t>
      </w:r>
    </w:p>
    <w:p>
      <w:pPr>
        <w:pStyle w:val="null3"/>
      </w:pPr>
      <w:r>
        <w:rPr/>
        <w:t>采购包1：</w:t>
      </w:r>
    </w:p>
    <w:p>
      <w:pPr>
        <w:pStyle w:val="null3"/>
      </w:pPr>
      <w:r>
        <w:rPr/>
        <w:t>1、营业执照：提供合格有效的法人或者其他组织的营业执照等证明文件，自然人的身份证明。</w:t>
      </w:r>
    </w:p>
    <w:p>
      <w:pPr>
        <w:pStyle w:val="null3"/>
      </w:pPr>
      <w:r>
        <w:rPr/>
        <w:t>2、法定代表人身份证明/法定代表人授权书：法定代表人授权书：提供法定代表人授权书（附法定代表人、被授权人身份证复印件），（法定代表人直接参加投标，须提供法定代表人身份证明）；</w:t>
      </w:r>
    </w:p>
    <w:p>
      <w:pPr>
        <w:pStyle w:val="null3"/>
      </w:pPr>
      <w:r>
        <w:rPr/>
        <w:t>3、税收缴纳证明：提供递交响应文件截止之日前一年内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4、社会保障资金缴纳证明：提供递交响应文件截止之日前一年内任意一个月的社会保障资金缴存单据或社保机构开具的社会保险参保缴费情况证明，依法不需要缴纳社会保障资金的单位应提供相关证明材料；</w:t>
      </w:r>
    </w:p>
    <w:p>
      <w:pPr>
        <w:pStyle w:val="null3"/>
      </w:pPr>
      <w:r>
        <w:rPr/>
        <w:t>5、无违法记录书面声明：参加政府采购活动前3年内，在经营活动中没有重大违法记录的书面声明；</w:t>
      </w:r>
    </w:p>
    <w:p>
      <w:pPr>
        <w:pStyle w:val="null3"/>
      </w:pPr>
      <w:r>
        <w:rPr/>
        <w:t>6、承诺函：提供具有履行合同所必需的设备和专业技术能力的承诺函；</w:t>
      </w:r>
    </w:p>
    <w:p>
      <w:pPr>
        <w:pStyle w:val="null3"/>
      </w:pPr>
      <w:r>
        <w:rPr/>
        <w:t>7、中小企业声明函：供应商须提供中小企业声明函且必须为中型、小型或微型企业；</w:t>
      </w:r>
    </w:p>
    <w:p>
      <w:pPr>
        <w:pStyle w:val="null3"/>
      </w:pPr>
      <w:r>
        <w:rPr/>
        <w:t>8、本项目不接受联合体磋商：本项目不接受联合体磋商（提供承诺书）；</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陕西省人民医院</w:t>
      </w:r>
    </w:p>
    <w:p>
      <w:pPr>
        <w:pStyle w:val="null3"/>
      </w:pPr>
      <w:r>
        <w:rPr/>
        <w:t xml:space="preserve"> 地址： </w:t>
      </w:r>
      <w:r>
        <w:rPr/>
        <w:t>西安市友谊西路256号</w:t>
      </w:r>
    </w:p>
    <w:p>
      <w:pPr>
        <w:pStyle w:val="null3"/>
      </w:pPr>
      <w:r>
        <w:rPr/>
        <w:t xml:space="preserve"> 邮编： </w:t>
      </w:r>
      <w:r>
        <w:rPr/>
        <w:t>710068</w:t>
      </w:r>
    </w:p>
    <w:p>
      <w:pPr>
        <w:pStyle w:val="null3"/>
      </w:pPr>
      <w:r>
        <w:rPr/>
        <w:t xml:space="preserve"> 联系人： </w:t>
      </w:r>
      <w:r>
        <w:rPr/>
        <w:t>杨老师</w:t>
      </w:r>
    </w:p>
    <w:p>
      <w:pPr>
        <w:pStyle w:val="null3"/>
      </w:pPr>
      <w:r>
        <w:rPr/>
        <w:t xml:space="preserve"> 联系电话： </w:t>
      </w:r>
      <w:r>
        <w:rPr/>
        <w:t>029-85253261-3833</w:t>
      </w:r>
    </w:p>
    <w:p>
      <w:pPr>
        <w:pStyle w:val="null3"/>
        <w:outlineLvl w:val="3"/>
      </w:pPr>
      <w:r>
        <w:rPr>
          <w:b/>
          <w:sz w:val="24"/>
        </w:rPr>
        <w:t>代理机构：</w:t>
      </w:r>
      <w:r>
        <w:rPr>
          <w:b/>
          <w:sz w:val="24"/>
        </w:rPr>
        <w:t>陕西至诚项目管理集团有限公司</w:t>
      </w:r>
    </w:p>
    <w:p>
      <w:pPr>
        <w:pStyle w:val="null3"/>
      </w:pPr>
      <w:r>
        <w:rPr/>
        <w:t xml:space="preserve"> 地址： </w:t>
      </w:r>
      <w:r>
        <w:rPr/>
        <w:t>陕西省西安市经济技术开发区未央路171-1号银池道拉斯财富中心21楼</w:t>
      </w:r>
    </w:p>
    <w:p>
      <w:pPr>
        <w:pStyle w:val="null3"/>
      </w:pPr>
      <w:r>
        <w:rPr/>
        <w:t xml:space="preserve"> 邮编： </w:t>
      </w:r>
      <w:r>
        <w:rPr/>
        <w:t>710021</w:t>
      </w:r>
    </w:p>
    <w:p>
      <w:pPr>
        <w:pStyle w:val="null3"/>
      </w:pPr>
      <w:r>
        <w:rPr/>
        <w:t xml:space="preserve"> 联系人： </w:t>
      </w:r>
      <w:r>
        <w:rPr/>
        <w:t>康乐</w:t>
      </w:r>
    </w:p>
    <w:p>
      <w:pPr>
        <w:pStyle w:val="null3"/>
      </w:pPr>
      <w:r>
        <w:rPr/>
        <w:t xml:space="preserve"> 联系电话： </w:t>
      </w:r>
      <w:r>
        <w:rPr/>
        <w:t>029-88219779</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采购包1：688,000.00元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中标金额为基数，依据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陕西省人民医院</w:t>
      </w:r>
      <w:r>
        <w:rPr/>
        <w:t>和</w:t>
      </w:r>
      <w:r>
        <w:rPr/>
        <w:t>陕西至诚项目管理集团有限公司</w:t>
      </w:r>
      <w:r>
        <w:rPr/>
        <w:t>享有。对磋商文件中供应商参加本次政府采购活动应当具备的条件，磋商项目技术、服务、商务及其他要求，评审细则及标准由</w:t>
      </w:r>
      <w:r>
        <w:rPr/>
        <w:t>陕西省人民医院</w:t>
      </w:r>
      <w:r>
        <w:rPr/>
        <w:t>负责解释。除上述磋商文件内容，其他内容由</w:t>
      </w:r>
      <w:r>
        <w:rPr/>
        <w:t>陕西至诚项目管理集团有限公司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陕西省人民医院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陕西至诚项目管理集团有限公司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根据磋商文件要求及合同约定执行。</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陕西至诚项目管理集团有限公司</w:t>
      </w:r>
      <w:r>
        <w:rPr/>
        <w:t xml:space="preserve"> 负责答复；供应商对除采购需求外的采购文件的询问、质疑由</w:t>
      </w:r>
      <w:r>
        <w:rPr/>
        <w:t>陕西至诚项目管理集团有限公司</w:t>
      </w:r>
      <w:r>
        <w:rPr/>
        <w:t xml:space="preserve"> 负责答复；供应商对采购过程、采购结果的询问、质疑由 </w:t>
      </w:r>
      <w:r>
        <w:rPr/>
        <w:t>陕西至诚项目管理集团有限公司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联系人：康乐</w:t>
      </w:r>
    </w:p>
    <w:p>
      <w:pPr>
        <w:pStyle w:val="null3"/>
      </w:pPr>
      <w:r>
        <w:rPr/>
        <w:t>联系电话：029-88219779</w:t>
      </w:r>
    </w:p>
    <w:p>
      <w:pPr>
        <w:pStyle w:val="null3"/>
      </w:pPr>
      <w:r>
        <w:rPr/>
        <w:t>地址：陕西省西安市经济技术开发区未央路171-1号银池道拉斯财富中心21楼</w:t>
      </w:r>
    </w:p>
    <w:p>
      <w:pPr>
        <w:pStyle w:val="null3"/>
      </w:pPr>
      <w:r>
        <w:rPr/>
        <w:t>邮编：710021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陕西省人民医院信息化为医院核心业务系统运行提供硬件环境支持。硬件环境包括网络设备、安全设备和视频会议设备。为确保医院业务稳定持续发展，信息化需要配置适当的维护保障能力，对信息化业务系统进行优化梳理后，提出必要的硬件保修和技术支持需求。</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688,000.00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网络存储、服务器等硬件设备维保</w:t>
            </w:r>
          </w:p>
        </w:tc>
        <w:tc>
          <w:tcPr>
            <w:tcW w:type="dxa" w:w="831"/>
          </w:tcPr>
          <w:p>
            <w:pPr>
              <w:pStyle w:val="null3"/>
              <w:jc w:val="right"/>
            </w:pPr>
            <w:r>
              <w:rPr/>
              <w:t>1.00</w:t>
            </w:r>
          </w:p>
        </w:tc>
        <w:tc>
          <w:tcPr>
            <w:tcW w:type="dxa" w:w="831"/>
          </w:tcPr>
          <w:p>
            <w:pPr>
              <w:pStyle w:val="null3"/>
              <w:jc w:val="right"/>
            </w:pPr>
            <w:r>
              <w:rPr/>
              <w:t>688,000.00</w:t>
            </w:r>
          </w:p>
        </w:tc>
        <w:tc>
          <w:tcPr>
            <w:tcW w:type="dxa" w:w="831"/>
          </w:tcPr>
          <w:p>
            <w:pPr>
              <w:pStyle w:val="null3"/>
            </w:pPr>
            <w:r>
              <w:rPr/>
              <w:t>年</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标的名称：网络存储、服务器等硬件设备维保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both"/>
            </w:pPr>
            <w:r>
              <w:rPr>
                <w:rFonts w:ascii="宋体" w:hAnsi="宋体" w:cs="宋体" w:eastAsia="宋体"/>
                <w:b/>
                <w:sz w:val="24"/>
              </w:rPr>
              <w:t>服务内容现有设备清单</w:t>
            </w:r>
          </w:p>
          <w:tbl>
            <w:tblPr>
              <w:tblBorders>
                <w:top w:val="none" w:color="000000" w:sz="4"/>
                <w:left w:val="none" w:color="000000" w:sz="4"/>
                <w:bottom w:val="none" w:color="000000" w:sz="4"/>
                <w:right w:val="none" w:color="000000" w:sz="4"/>
                <w:insideH w:val="none"/>
                <w:insideV w:val="none"/>
              </w:tblBorders>
            </w:tblPr>
            <w:tblGrid>
              <w:gridCol w:w="217"/>
              <w:gridCol w:w="438"/>
              <w:gridCol w:w="1222"/>
              <w:gridCol w:w="217"/>
              <w:gridCol w:w="217"/>
              <w:gridCol w:w="244"/>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序号</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硬件设备</w:t>
                  </w:r>
                  <w:r>
                    <w:rPr>
                      <w:rFonts w:ascii="宋体" w:hAnsi="宋体" w:cs="宋体" w:eastAsia="宋体"/>
                      <w:b/>
                      <w:color w:val="000000"/>
                      <w:sz w:val="24"/>
                    </w:rPr>
                    <w:t>/软件</w:t>
                  </w:r>
                </w:p>
              </w:tc>
              <w:tc>
                <w:tcPr>
                  <w:tcW w:type="dxa" w:w="1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型号规格</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单位</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数量</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备注</w:t>
                  </w:r>
                </w:p>
              </w:tc>
            </w:tr>
            <w:tr>
              <w:tc>
                <w:tcPr>
                  <w:tcW w:type="dxa" w:w="255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ind w:left="390"/>
                    <w:jc w:val="left"/>
                  </w:pPr>
                  <w:r>
                    <w:rPr>
                      <w:rFonts w:ascii="宋体" w:hAnsi="宋体" w:cs="宋体" w:eastAsia="宋体"/>
                      <w:sz w:val="24"/>
                    </w:rPr>
                    <w:t>一、内网汇聚交换机板卡扩容维保</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12端口万兆光口模块板卡</w:t>
                  </w:r>
                </w:p>
              </w:tc>
              <w:tc>
                <w:tcPr>
                  <w:tcW w:type="dxa" w:w="1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华为</w:t>
                  </w:r>
                  <w:r>
                    <w:rPr>
                      <w:rFonts w:ascii="宋体" w:hAnsi="宋体" w:cs="宋体" w:eastAsia="宋体"/>
                      <w:sz w:val="24"/>
                    </w:rPr>
                    <w:t>S7700交换机，12端口万兆光口模块板卡</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块</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24端口千兆电口模块板卡</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华为</w:t>
                  </w:r>
                  <w:r>
                    <w:rPr>
                      <w:rFonts w:ascii="宋体" w:hAnsi="宋体" w:cs="宋体" w:eastAsia="宋体"/>
                      <w:sz w:val="24"/>
                    </w:rPr>
                    <w:t>S7700交换机，24端口千兆电口模块板卡</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万兆多模模块</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万兆多模模块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万兆单模模块</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万兆单模模块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服务器汇聚交换机扩容</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华为</w:t>
                  </w:r>
                  <w:r>
                    <w:rPr>
                      <w:rFonts w:ascii="宋体" w:hAnsi="宋体" w:cs="宋体" w:eastAsia="宋体"/>
                      <w:sz w:val="24"/>
                    </w:rPr>
                    <w:t>CE6881-48S6CQ-B交换机(48*万兆SFP+,6*100G QSFP28,2*交流电源,端口侧进风)，含堆叠模块及线缆。</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万兆多模模块</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万兆多模模块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千兆电口模块</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千兆电口模块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32</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宋体" w:hAnsi="宋体" w:cs="宋体" w:eastAsia="宋体"/>
                      <w:color w:val="000000"/>
                      <w:sz w:val="24"/>
                    </w:rPr>
                    <w:t>二、外网准入、内外网文件管理传输系统</w:t>
                  </w:r>
                  <w:r>
                    <w:rPr>
                      <w:rFonts w:ascii="宋体" w:hAnsi="宋体" w:cs="宋体" w:eastAsia="宋体"/>
                      <w:sz w:val="24"/>
                    </w:rPr>
                    <w:t>维保</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外网准入系统</w:t>
                  </w:r>
                </w:p>
              </w:tc>
              <w:tc>
                <w:tcPr>
                  <w:tcW w:type="dxa" w:w="1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网神</w:t>
                  </w:r>
                  <w:r>
                    <w:rPr>
                      <w:rFonts w:ascii="宋体" w:hAnsi="宋体" w:cs="宋体" w:eastAsia="宋体"/>
                      <w:sz w:val="24"/>
                    </w:rPr>
                    <w:t>/ NBM5310</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核心</w:t>
                  </w:r>
                </w:p>
                <w:p>
                  <w:pPr>
                    <w:pStyle w:val="null3"/>
                    <w:jc w:val="left"/>
                  </w:pPr>
                  <w:r>
                    <w:rPr>
                      <w:rFonts w:ascii="宋体" w:hAnsi="宋体" w:cs="宋体" w:eastAsia="宋体"/>
                      <w:sz w:val="24"/>
                    </w:rPr>
                    <w:t>设备</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内外网文件管理传输系统</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上海爱数</w:t>
                  </w:r>
                  <w:r>
                    <w:rPr>
                      <w:rFonts w:ascii="宋体" w:hAnsi="宋体" w:cs="宋体" w:eastAsia="宋体"/>
                      <w:sz w:val="24"/>
                    </w:rPr>
                    <w:t>/AnyShare</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核心</w:t>
                  </w:r>
                </w:p>
                <w:p>
                  <w:pPr>
                    <w:pStyle w:val="null3"/>
                    <w:jc w:val="left"/>
                  </w:pPr>
                  <w:r>
                    <w:rPr>
                      <w:rFonts w:ascii="宋体" w:hAnsi="宋体" w:cs="宋体" w:eastAsia="宋体"/>
                      <w:sz w:val="24"/>
                    </w:rPr>
                    <w:t>设备</w:t>
                  </w:r>
                </w:p>
              </w:tc>
            </w:tr>
            <w:tr>
              <w:tc>
                <w:tcPr>
                  <w:tcW w:type="dxa" w:w="255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ind w:left="390"/>
                    <w:jc w:val="left"/>
                  </w:pPr>
                  <w:r>
                    <w:rPr>
                      <w:rFonts w:ascii="宋体" w:hAnsi="宋体" w:cs="宋体" w:eastAsia="宋体"/>
                      <w:color w:val="000000"/>
                      <w:sz w:val="24"/>
                    </w:rPr>
                    <w:t>三、内网交换机设备</w:t>
                  </w:r>
                  <w:r>
                    <w:rPr>
                      <w:rFonts w:ascii="宋体" w:hAnsi="宋体" w:cs="宋体" w:eastAsia="宋体"/>
                      <w:sz w:val="24"/>
                    </w:rPr>
                    <w:t>维保</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医保窗口叫号取号机</w:t>
                  </w:r>
                </w:p>
              </w:tc>
              <w:tc>
                <w:tcPr>
                  <w:tcW w:type="dxa" w:w="1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英策长远</w:t>
                  </w:r>
                  <w:r>
                    <w:rPr>
                      <w:rFonts w:ascii="宋体" w:hAnsi="宋体" w:cs="宋体" w:eastAsia="宋体"/>
                      <w:sz w:val="24"/>
                    </w:rPr>
                    <w:t>/CLK009</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业务接入交换机</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新华三</w:t>
                  </w:r>
                  <w:r>
                    <w:rPr>
                      <w:rFonts w:ascii="宋体" w:hAnsi="宋体" w:cs="宋体" w:eastAsia="宋体"/>
                      <w:sz w:val="24"/>
                    </w:rPr>
                    <w:t>/ S5130S-52S-PWR-LI</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15</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内网无线</w:t>
                  </w:r>
                  <w:r>
                    <w:rPr>
                      <w:rFonts w:ascii="宋体" w:hAnsi="宋体" w:cs="宋体" w:eastAsia="宋体"/>
                      <w:sz w:val="24"/>
                    </w:rPr>
                    <w:t>AP</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锐捷</w:t>
                  </w:r>
                  <w:r>
                    <w:rPr>
                      <w:rFonts w:ascii="宋体" w:hAnsi="宋体" w:cs="宋体" w:eastAsia="宋体"/>
                      <w:sz w:val="24"/>
                    </w:rPr>
                    <w:t>/ RG-AP720-L</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5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宋体" w:hAnsi="宋体" w:cs="宋体" w:eastAsia="宋体"/>
                      <w:color w:val="000000"/>
                      <w:sz w:val="24"/>
                    </w:rPr>
                    <w:t>四、远程医疗平台及远程医疗软硬件设备</w:t>
                  </w:r>
                  <w:r>
                    <w:rPr>
                      <w:rFonts w:ascii="宋体" w:hAnsi="宋体" w:cs="宋体" w:eastAsia="宋体"/>
                      <w:sz w:val="24"/>
                    </w:rPr>
                    <w:t>维保</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会议管理平台</w:t>
                  </w:r>
                </w:p>
              </w:tc>
              <w:tc>
                <w:tcPr>
                  <w:tcW w:type="dxa" w:w="1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SMC2.0</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视讯交换平台</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CloudMCU</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录播服务器</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CH50</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会诊中心大屏</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TP3206-70（包含编码器、交换机、计算机及配件）</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核心</w:t>
                  </w:r>
                </w:p>
                <w:p>
                  <w:pPr>
                    <w:pStyle w:val="null3"/>
                    <w:jc w:val="left"/>
                  </w:pPr>
                  <w:r>
                    <w:rPr>
                      <w:rFonts w:ascii="宋体" w:hAnsi="宋体" w:cs="宋体" w:eastAsia="宋体"/>
                      <w:sz w:val="24"/>
                    </w:rPr>
                    <w:t>设备</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会议大屏</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IdeaHub Enterprise 86</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会议大屏</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IdeaHub Enterprise 65</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会议桌</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定制，第一排桌子</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医用竖屏</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JUSHA-M33D</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数字切片扫描与应用系统</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KF-PRO-005-EX</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数字切片扫描与应用系统</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KF-PRO-002</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查房一体化移动医疗推车</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RP210-H（包含摄像头、计算机）</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手术示教推车</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DG-006-2111（包含视讯终端、高清摄像机、全向麦克风、高清术野摄像机、液晶显示器、计算机、信号采集和图像分割设备、以及辅材）</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13</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礼堂直播设备</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定制</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5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宋体" w:hAnsi="宋体" w:cs="宋体" w:eastAsia="宋体"/>
                      <w:sz w:val="24"/>
                    </w:rPr>
                    <w:t>五、应用系统配套防火墙设备</w:t>
                  </w:r>
                  <w:r>
                    <w:rPr>
                      <w:rFonts w:ascii="宋体" w:hAnsi="宋体" w:cs="宋体" w:eastAsia="宋体"/>
                      <w:sz w:val="24"/>
                    </w:rPr>
                    <w:t>维保</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USG6500防火墙</w:t>
                  </w:r>
                </w:p>
              </w:tc>
              <w:tc>
                <w:tcPr>
                  <w:tcW w:type="dxa" w:w="1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USG6500交流主机（4GE电、2GE Combo,交流电源，含SSL VPN 100用户），IPS/AV/URL功能授权3年，含国密功能</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台</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5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宋体" w:hAnsi="宋体" w:cs="宋体" w:eastAsia="宋体"/>
                      <w:color w:val="000000"/>
                      <w:sz w:val="24"/>
                    </w:rPr>
                    <w:t>六、2019年服务器虚拟化平台硬件扩容、新增服务器及存储等2个采购项目服务器设备</w:t>
                  </w:r>
                  <w:r>
                    <w:rPr>
                      <w:rFonts w:ascii="宋体" w:hAnsi="宋体" w:cs="宋体" w:eastAsia="宋体"/>
                      <w:sz w:val="24"/>
                    </w:rPr>
                    <w:t>维保</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服务器</w:t>
                  </w:r>
                  <w:r>
                    <w:rPr>
                      <w:rFonts w:ascii="宋体" w:hAnsi="宋体" w:cs="宋体" w:eastAsia="宋体"/>
                      <w:color w:val="000000"/>
                      <w:sz w:val="24"/>
                    </w:rPr>
                    <w:t>HPE ProLiant DL388 G10</w:t>
                  </w:r>
                </w:p>
              </w:tc>
              <w:tc>
                <w:tcPr>
                  <w:tcW w:type="dxa" w:w="1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2*8核2.1GHz处理器，128G内存，2*240GSSD硬盘。4个千兆网口。16GBHBA卡，2个万兆光纤网卡，满配电源。</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台</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服务器</w:t>
                  </w:r>
                  <w:r>
                    <w:rPr>
                      <w:rFonts w:ascii="宋体" w:hAnsi="宋体" w:cs="宋体" w:eastAsia="宋体"/>
                      <w:color w:val="000000"/>
                      <w:sz w:val="24"/>
                    </w:rPr>
                    <w:t>HPE ProLiant DL580 G10</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4*8核2.1GHz处理器，256G内存，2*240GSSD硬盘。4个千兆网口。2块16GBHBA卡，2个万兆光纤网卡。满配电源。</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台</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高速存储</w:t>
                  </w:r>
                  <w:r>
                    <w:rPr>
                      <w:rFonts w:ascii="宋体" w:hAnsi="宋体" w:cs="宋体" w:eastAsia="宋体"/>
                      <w:color w:val="000000"/>
                      <w:sz w:val="24"/>
                    </w:rPr>
                    <w:t>DELL EMC UNITY 450F</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128G缓存，10*800GSSD硬盘。多路径管理软件，配置管理软件。</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台</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DL580G9 HP 32G内存</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DDR4-2400</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根</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48</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DL580G7 HP 16G内存</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PC3-8500R-7</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根</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64</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DL580G7 HP 600G硬盘</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12G SAS 10k 2.5 HDD</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7</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DL580G9 HP 1.8T硬盘</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12G SAS 10k 2.5 HDD</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DL580G 240G SSD硬盘</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SATA MU SFF SCSD SSD</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DL580G9电源</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1200W</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DL580G7电源</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4"/>
                    </w:rPr>
                    <w:t>1200W</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宋体" w:hAnsi="宋体" w:cs="宋体" w:eastAsia="宋体"/>
                <w:b/>
                <w:sz w:val="24"/>
              </w:rPr>
              <w:t>2、服务内容要求</w:t>
            </w:r>
          </w:p>
          <w:tbl>
            <w:tblPr>
              <w:tblBorders>
                <w:top w:val="none" w:color="000000" w:sz="4"/>
                <w:left w:val="none" w:color="000000" w:sz="4"/>
                <w:bottom w:val="none" w:color="000000" w:sz="4"/>
                <w:right w:val="none" w:color="000000" w:sz="4"/>
                <w:insideH w:val="none"/>
                <w:insideV w:val="none"/>
              </w:tblBorders>
            </w:tblPr>
            <w:tblGrid>
              <w:gridCol w:w="246"/>
              <w:gridCol w:w="623"/>
              <w:gridCol w:w="1684"/>
            </w:tblGrid>
            <w:tr>
              <w:tc>
                <w:tcPr>
                  <w:tcW w:type="dxa" w:w="246"/>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宋体" w:hAnsi="宋体" w:cs="宋体" w:eastAsia="宋体"/>
                      <w:b/>
                      <w:sz w:val="24"/>
                    </w:rPr>
                    <w:t>序号</w:t>
                  </w:r>
                </w:p>
              </w:tc>
              <w:tc>
                <w:tcPr>
                  <w:tcW w:type="dxa" w:w="623"/>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宋体" w:hAnsi="宋体" w:cs="宋体" w:eastAsia="宋体"/>
                      <w:b/>
                      <w:sz w:val="24"/>
                    </w:rPr>
                    <w:t>指标项</w:t>
                  </w:r>
                </w:p>
              </w:tc>
              <w:tc>
                <w:tcPr>
                  <w:tcW w:type="dxa" w:w="1684"/>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宋体" w:hAnsi="宋体" w:cs="宋体" w:eastAsia="宋体"/>
                      <w:b/>
                      <w:sz w:val="24"/>
                    </w:rPr>
                    <w:t>指标要求</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宋体" w:hAnsi="宋体" w:cs="宋体" w:eastAsia="宋体"/>
                      <w:sz w:val="24"/>
                    </w:rPr>
                    <w:t>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设备维保</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★1、为设备清单中所有设备提供7×24小时硬件保修及系统维护服务。设备清单中标#的设备为影响重大的核心设备，需提供原厂商维保,提供原厂商服务授权函和售后服务承诺函。</w:t>
                  </w:r>
                </w:p>
                <w:p>
                  <w:pPr>
                    <w:pStyle w:val="null3"/>
                    <w:jc w:val="both"/>
                  </w:pPr>
                  <w:r>
                    <w:rPr>
                      <w:rFonts w:ascii="宋体" w:hAnsi="宋体" w:cs="宋体" w:eastAsia="宋体"/>
                      <w:sz w:val="24"/>
                    </w:rPr>
                    <w:t>★2、设备清单中标#的设备在续保服务合同签订后2周内，可以根据设备序列号在设备厂商官网或400电话查询到设备服务期限。</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故障分析和问题报告</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每次重大故障后，提供系统故障记录分析（包括软件和硬件）和问题报告。</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培训</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为医院相关工作人员提供</w:t>
                  </w:r>
                  <w:r>
                    <w:rPr>
                      <w:rFonts w:ascii="宋体" w:hAnsi="宋体" w:cs="宋体" w:eastAsia="宋体"/>
                      <w:sz w:val="24"/>
                    </w:rPr>
                    <w:t>≥20小时/年系统运行维护培训。</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硬件巡检</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提供每周</w:t>
                  </w:r>
                  <w:r>
                    <w:rPr>
                      <w:rFonts w:ascii="宋体" w:hAnsi="宋体" w:cs="宋体" w:eastAsia="宋体"/>
                      <w:sz w:val="24"/>
                    </w:rPr>
                    <w:t>≥1次的硬件设备运行情况检查。</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系统巡检</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提供每周</w:t>
                  </w:r>
                  <w:r>
                    <w:rPr>
                      <w:rFonts w:ascii="宋体" w:hAnsi="宋体" w:cs="宋体" w:eastAsia="宋体"/>
                      <w:sz w:val="24"/>
                    </w:rPr>
                    <w:t>≥1次的操作系统健康检查。</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系统补丁</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提供系统补丁的合法升级服务，建立系统补丁的管理数据库，制订升级方案，协助采购人实施升级工作。</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宋体" w:hAnsi="宋体" w:cs="宋体" w:eastAsia="宋体"/>
                      <w:sz w:val="24"/>
                    </w:rPr>
                    <w:t>7</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微码升级</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提供硬件微码的合法升级服务，建立硬件微码档案，制订升级方案，协助采购人实施升级工作。</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宋体" w:hAnsi="宋体" w:cs="宋体" w:eastAsia="宋体"/>
                      <w:sz w:val="24"/>
                    </w:rPr>
                    <w:t>8</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备份及恢复</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协助采购人完善系统备份及恢复方案。</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运行分析</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每月提供相关设备运行分析、性能评估和配置调整服务，提高系统的可靠性、可用性和整体性能。</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容量分析</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每月提供相关设备容量分析和趋势预测服务，以提高系统容量评估的水平。</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安全分析</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每月提交详细的安全性分析报告，提交预防性维护策略报告。</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w:t>
                  </w:r>
                  <w:r>
                    <w:rPr>
                      <w:rFonts w:ascii="宋体" w:hAnsi="宋体" w:cs="宋体" w:eastAsia="宋体"/>
                      <w:sz w:val="24"/>
                    </w:rPr>
                    <w:t>安全服务</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每半年为医院提供一次渗透测试服务，并输出服务报告；</w:t>
                  </w:r>
                </w:p>
                <w:p>
                  <w:pPr>
                    <w:pStyle w:val="null3"/>
                    <w:jc w:val="both"/>
                  </w:pPr>
                  <w:r>
                    <w:rPr>
                      <w:rFonts w:ascii="宋体" w:hAnsi="宋体" w:cs="宋体" w:eastAsia="宋体"/>
                      <w:sz w:val="24"/>
                    </w:rPr>
                    <w:t>维保期内免费提供安全护网服务。</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重大变更和重点时段保障支持</w:t>
                  </w:r>
                </w:p>
              </w:tc>
              <w:tc>
                <w:tcPr>
                  <w:tcW w:type="dxa" w:w="1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在重大系统变更和重点时段保障期间，服务提供方应提前</w:t>
                  </w:r>
                  <w:r>
                    <w:rPr>
                      <w:rFonts w:ascii="宋体" w:hAnsi="宋体" w:cs="宋体" w:eastAsia="宋体"/>
                      <w:sz w:val="24"/>
                    </w:rPr>
                    <w:t>30个日历日开展系统健康检查，协助采购人实施参数调整和性能优化。</w:t>
                  </w:r>
                </w:p>
              </w:tc>
            </w:tr>
          </w:tbl>
          <w:p>
            <w:pPr>
              <w:pStyle w:val="null3"/>
              <w:jc w:val="both"/>
            </w:pPr>
            <w:r>
              <w:rPr>
                <w:rFonts w:ascii="宋体" w:hAnsi="宋体" w:cs="宋体" w:eastAsia="宋体"/>
                <w:b/>
                <w:sz w:val="24"/>
              </w:rPr>
              <w:t>3、服务流程要求</w:t>
            </w:r>
          </w:p>
          <w:p>
            <w:pPr>
              <w:pStyle w:val="null3"/>
              <w:jc w:val="both"/>
            </w:pPr>
            <w:r>
              <w:rPr>
                <w:rFonts w:ascii="宋体" w:hAnsi="宋体" w:cs="宋体" w:eastAsia="宋体"/>
                <w:sz w:val="24"/>
              </w:rPr>
              <w:t>（</w:t>
            </w:r>
            <w:r>
              <w:rPr>
                <w:rFonts w:ascii="宋体" w:hAnsi="宋体" w:cs="宋体" w:eastAsia="宋体"/>
                <w:sz w:val="24"/>
              </w:rPr>
              <w:t>1）主动式服务</w:t>
            </w:r>
          </w:p>
          <w:p>
            <w:pPr>
              <w:pStyle w:val="null3"/>
              <w:jc w:val="both"/>
            </w:pPr>
            <w:r>
              <w:rPr>
                <w:rFonts w:ascii="宋体" w:hAnsi="宋体" w:cs="宋体" w:eastAsia="宋体"/>
                <w:sz w:val="24"/>
              </w:rPr>
              <w:t>A、定期预防性维护服务</w:t>
            </w:r>
          </w:p>
          <w:p>
            <w:pPr>
              <w:pStyle w:val="null3"/>
              <w:ind w:firstLine="480"/>
              <w:jc w:val="both"/>
            </w:pPr>
            <w:r>
              <w:rPr>
                <w:rFonts w:ascii="宋体" w:hAnsi="宋体" w:cs="宋体" w:eastAsia="宋体"/>
                <w:sz w:val="24"/>
              </w:rPr>
              <w:t>服务提供方应根据系统维护服务计划或用户方要求为用户方提供定期预防性维护服务。在硬件维护方面，要求服务提供方工程师每周进行不少于</w:t>
            </w:r>
            <w:r>
              <w:rPr>
                <w:rFonts w:ascii="宋体" w:hAnsi="宋体" w:cs="宋体" w:eastAsia="宋体"/>
                <w:sz w:val="24"/>
              </w:rPr>
              <w:t>1次现场例行检查，维护硬件设备，及时更换存在安全隐患的备件。在系统服务方面，服务提供方应为用户方安装合法的预防性补丁，检测系统运行状况，解决系统软件问题，使用户方系统稳定运行。</w:t>
            </w:r>
          </w:p>
          <w:p>
            <w:pPr>
              <w:pStyle w:val="null3"/>
              <w:jc w:val="both"/>
            </w:pPr>
            <w:r>
              <w:rPr>
                <w:rFonts w:ascii="宋体" w:hAnsi="宋体" w:cs="宋体" w:eastAsia="宋体"/>
                <w:sz w:val="24"/>
              </w:rPr>
              <w:t>B、系统运行健康检查</w:t>
            </w:r>
          </w:p>
          <w:p>
            <w:pPr>
              <w:pStyle w:val="null3"/>
              <w:ind w:firstLine="480"/>
              <w:jc w:val="both"/>
            </w:pPr>
            <w:r>
              <w:rPr>
                <w:rFonts w:ascii="宋体" w:hAnsi="宋体" w:cs="宋体" w:eastAsia="宋体"/>
                <w:sz w:val="24"/>
              </w:rPr>
              <w:t>服务提供方应提供每周不少于</w:t>
            </w:r>
            <w:r>
              <w:rPr>
                <w:rFonts w:ascii="宋体" w:hAnsi="宋体" w:cs="宋体" w:eastAsia="宋体"/>
                <w:sz w:val="24"/>
              </w:rPr>
              <w:t>1次的系统运行健康检查，按计划由服务提供方专家定期对系统性能进行诊断，协助用户方调整系统参数，使系统稳定运行。对可能出现的问题提供必要的预防和补救措施。</w:t>
            </w:r>
          </w:p>
          <w:p>
            <w:pPr>
              <w:pStyle w:val="null3"/>
              <w:jc w:val="both"/>
            </w:pPr>
            <w:r>
              <w:rPr>
                <w:rFonts w:ascii="宋体" w:hAnsi="宋体" w:cs="宋体" w:eastAsia="宋体"/>
                <w:sz w:val="24"/>
              </w:rPr>
              <w:t>C、系统运行状况分析</w:t>
            </w:r>
          </w:p>
          <w:p>
            <w:pPr>
              <w:pStyle w:val="null3"/>
              <w:ind w:firstLine="480"/>
              <w:jc w:val="both"/>
            </w:pPr>
            <w:r>
              <w:rPr>
                <w:rFonts w:ascii="宋体" w:hAnsi="宋体" w:cs="宋体" w:eastAsia="宋体"/>
                <w:sz w:val="24"/>
              </w:rPr>
              <w:t>每月不少于</w:t>
            </w:r>
            <w:r>
              <w:rPr>
                <w:rFonts w:ascii="宋体" w:hAnsi="宋体" w:cs="宋体" w:eastAsia="宋体"/>
                <w:sz w:val="24"/>
              </w:rPr>
              <w:t>1次对系统的运行状况进行分析，提供相关设备的性能分析和评估服务，以提高系统的可靠性、可用性和整体性能。每半年不少于1次向用户方提交详细的系统可用性和安全性报告，以及预防性维护策略、报告和总结。</w:t>
            </w:r>
          </w:p>
          <w:p>
            <w:pPr>
              <w:pStyle w:val="null3"/>
              <w:jc w:val="both"/>
            </w:pPr>
            <w:r>
              <w:rPr>
                <w:rFonts w:ascii="宋体" w:hAnsi="宋体" w:cs="宋体" w:eastAsia="宋体"/>
                <w:sz w:val="24"/>
              </w:rPr>
              <w:t>D、系统容量评估</w:t>
            </w:r>
          </w:p>
          <w:p>
            <w:pPr>
              <w:pStyle w:val="null3"/>
              <w:ind w:firstLine="480"/>
              <w:jc w:val="both"/>
            </w:pPr>
            <w:r>
              <w:rPr>
                <w:rFonts w:ascii="宋体" w:hAnsi="宋体" w:cs="宋体" w:eastAsia="宋体"/>
                <w:sz w:val="24"/>
              </w:rPr>
              <w:t>每月不少于</w:t>
            </w:r>
            <w:r>
              <w:rPr>
                <w:rFonts w:ascii="宋体" w:hAnsi="宋体" w:cs="宋体" w:eastAsia="宋体"/>
                <w:sz w:val="24"/>
              </w:rPr>
              <w:t>1次对系统容量进行分析评估。使用业界先进的容量监测方法监测系统资源使用情况，提供相关设备的容量分析服务，评估系统资源使用趋势，提交容量评估分析报告。该报告应能够全面、系统、深入地分析系统使用情况，并结合实际情况提出具备前瞻性和高度可实施性的建议。</w:t>
            </w:r>
          </w:p>
          <w:p>
            <w:pPr>
              <w:pStyle w:val="null3"/>
              <w:jc w:val="both"/>
            </w:pPr>
            <w:r>
              <w:rPr>
                <w:rFonts w:ascii="宋体" w:hAnsi="宋体" w:cs="宋体" w:eastAsia="宋体"/>
                <w:sz w:val="24"/>
              </w:rPr>
              <w:t>E、重大变更和重点时段保障支持</w:t>
            </w:r>
          </w:p>
          <w:p>
            <w:pPr>
              <w:pStyle w:val="null3"/>
              <w:ind w:firstLine="480"/>
              <w:jc w:val="both"/>
            </w:pPr>
            <w:r>
              <w:rPr>
                <w:rFonts w:ascii="宋体" w:hAnsi="宋体" w:cs="宋体" w:eastAsia="宋体"/>
                <w:sz w:val="24"/>
              </w:rPr>
              <w:t>在用户方重大系统变更和重点时段保障期间，服务方应提前</w:t>
            </w:r>
            <w:r>
              <w:rPr>
                <w:rFonts w:ascii="宋体" w:hAnsi="宋体" w:cs="宋体" w:eastAsia="宋体"/>
                <w:sz w:val="24"/>
              </w:rPr>
              <w:t>1个月以上开展系统健康检查，协助用户方实施参数调整和性能优化。</w:t>
            </w:r>
          </w:p>
          <w:p>
            <w:pPr>
              <w:pStyle w:val="null3"/>
              <w:jc w:val="both"/>
            </w:pPr>
            <w:r>
              <w:rPr>
                <w:rFonts w:ascii="宋体" w:hAnsi="宋体" w:cs="宋体" w:eastAsia="宋体"/>
                <w:sz w:val="24"/>
              </w:rPr>
              <w:t>F、服务提供方应事先提交详细的主动式服务方案、流程、服务记录文档模版。</w:t>
            </w:r>
          </w:p>
          <w:p>
            <w:pPr>
              <w:pStyle w:val="null3"/>
              <w:jc w:val="both"/>
            </w:pPr>
            <w:r>
              <w:rPr>
                <w:rFonts w:ascii="宋体" w:hAnsi="宋体" w:cs="宋体" w:eastAsia="宋体"/>
                <w:sz w:val="24"/>
              </w:rPr>
              <w:t>（</w:t>
            </w:r>
            <w:r>
              <w:rPr>
                <w:rFonts w:ascii="宋体" w:hAnsi="宋体" w:cs="宋体" w:eastAsia="宋体"/>
                <w:sz w:val="24"/>
              </w:rPr>
              <w:t>2）纠错性维护及维修服务</w:t>
            </w:r>
          </w:p>
          <w:p>
            <w:pPr>
              <w:pStyle w:val="null3"/>
              <w:ind w:firstLine="480"/>
              <w:jc w:val="both"/>
            </w:pPr>
            <w:r>
              <w:rPr>
                <w:rFonts w:ascii="宋体" w:hAnsi="宋体" w:cs="宋体" w:eastAsia="宋体"/>
                <w:sz w:val="24"/>
              </w:rPr>
              <w:t>根据用户方的要求，服务提供方应提供电话支持服务和现场维修服务。在备件服务方面，服务提供方应承诺及时确认故障原因，更换故障备件，恢复系统正常运行。在系统服务方面，服务提供方应及时解决系统软件问题，恢复系统软件正常运行，实施系统备份，递交系统检查报告等。</w:t>
            </w:r>
          </w:p>
          <w:p>
            <w:pPr>
              <w:pStyle w:val="null3"/>
              <w:ind w:firstLine="480"/>
              <w:jc w:val="both"/>
            </w:pPr>
            <w:r>
              <w:rPr>
                <w:rFonts w:ascii="宋体" w:hAnsi="宋体" w:cs="宋体" w:eastAsia="宋体"/>
                <w:sz w:val="24"/>
              </w:rPr>
              <w:t>用户方将服务响应级别分为如下四个不同等级：</w:t>
            </w:r>
          </w:p>
          <w:p>
            <w:pPr>
              <w:pStyle w:val="null3"/>
              <w:ind w:firstLine="480"/>
              <w:jc w:val="both"/>
            </w:pPr>
            <w:r>
              <w:rPr>
                <w:rFonts w:ascii="宋体" w:hAnsi="宋体" w:cs="宋体" w:eastAsia="宋体"/>
                <w:sz w:val="24"/>
              </w:rPr>
              <w:t>一级：属于紧急问题；其具体现象为：系统故障导致业务停止、数据丢失。</w:t>
            </w:r>
          </w:p>
          <w:p>
            <w:pPr>
              <w:pStyle w:val="null3"/>
              <w:ind w:firstLine="480"/>
              <w:jc w:val="both"/>
            </w:pPr>
            <w:r>
              <w:rPr>
                <w:rFonts w:ascii="宋体" w:hAnsi="宋体" w:cs="宋体" w:eastAsia="宋体"/>
                <w:sz w:val="24"/>
              </w:rPr>
              <w:t>二级：属于严重问题；其具体现象为：部分部件失效、系统性能下降但不影响正常业务运作。</w:t>
            </w:r>
          </w:p>
          <w:p>
            <w:pPr>
              <w:pStyle w:val="null3"/>
              <w:ind w:firstLine="480"/>
              <w:jc w:val="both"/>
            </w:pPr>
            <w:r>
              <w:rPr>
                <w:rFonts w:ascii="宋体" w:hAnsi="宋体" w:cs="宋体" w:eastAsia="宋体"/>
                <w:sz w:val="24"/>
              </w:rPr>
              <w:t>三级：属于较严重的问题；其具体现象为：系统能继续运行且性能不受影响，但出现系统报错或部分部件故障，存在较大安全隐患。</w:t>
            </w:r>
          </w:p>
          <w:p>
            <w:pPr>
              <w:pStyle w:val="null3"/>
              <w:ind w:firstLine="480"/>
              <w:jc w:val="both"/>
            </w:pPr>
            <w:r>
              <w:rPr>
                <w:rFonts w:ascii="宋体" w:hAnsi="宋体" w:cs="宋体" w:eastAsia="宋体"/>
                <w:sz w:val="24"/>
              </w:rPr>
              <w:t>四级：属于普通常见问题；其具体现象为：系统安装和技术咨询等明显不影响业务运转的服务要求。</w:t>
            </w:r>
          </w:p>
          <w:p>
            <w:pPr>
              <w:pStyle w:val="null3"/>
              <w:jc w:val="both"/>
            </w:pPr>
            <w:r>
              <w:rPr>
                <w:rFonts w:ascii="宋体" w:hAnsi="宋体" w:cs="宋体" w:eastAsia="宋体"/>
                <w:sz w:val="24"/>
              </w:rPr>
              <w:t>（</w:t>
            </w:r>
            <w:r>
              <w:rPr>
                <w:rFonts w:ascii="宋体" w:hAnsi="宋体" w:cs="宋体" w:eastAsia="宋体"/>
                <w:sz w:val="24"/>
              </w:rPr>
              <w:t>3）服务响应</w:t>
            </w:r>
          </w:p>
          <w:p>
            <w:pPr>
              <w:pStyle w:val="null3"/>
              <w:ind w:firstLine="480"/>
              <w:jc w:val="both"/>
            </w:pPr>
            <w:r>
              <w:rPr>
                <w:rFonts w:ascii="宋体" w:hAnsi="宋体" w:cs="宋体" w:eastAsia="宋体"/>
                <w:sz w:val="24"/>
              </w:rPr>
              <w:t>当用户方因设备或系统故障或紧急问题需要服务提供方提供技术支持时，服务提供方应根据故障级别启动不同的服务流程，服务提供方应事先提交服务响应方式和流程的详细说明以及相关记录文档模版。</w:t>
            </w:r>
          </w:p>
          <w:p>
            <w:pPr>
              <w:pStyle w:val="null3"/>
              <w:jc w:val="both"/>
            </w:pPr>
            <w:r>
              <w:rPr>
                <w:rFonts w:ascii="宋体" w:hAnsi="宋体" w:cs="宋体" w:eastAsia="宋体"/>
                <w:b/>
                <w:sz w:val="24"/>
              </w:rPr>
              <w:t>4、服务响应时间要求</w:t>
            </w:r>
          </w:p>
          <w:p>
            <w:pPr>
              <w:pStyle w:val="null3"/>
              <w:jc w:val="both"/>
            </w:pPr>
            <w:r>
              <w:rPr>
                <w:rFonts w:ascii="宋体" w:hAnsi="宋体" w:cs="宋体" w:eastAsia="宋体"/>
                <w:sz w:val="24"/>
              </w:rPr>
              <w:t>（</w:t>
            </w:r>
            <w:r>
              <w:rPr>
                <w:rFonts w:ascii="宋体" w:hAnsi="宋体" w:cs="宋体" w:eastAsia="宋体"/>
                <w:sz w:val="24"/>
              </w:rPr>
              <w:t>1）★基本要求</w:t>
            </w:r>
          </w:p>
          <w:p>
            <w:pPr>
              <w:pStyle w:val="null3"/>
              <w:ind w:firstLine="480"/>
              <w:jc w:val="both"/>
            </w:pPr>
            <w:r>
              <w:rPr>
                <w:rFonts w:ascii="宋体" w:hAnsi="宋体" w:cs="宋体" w:eastAsia="宋体"/>
                <w:sz w:val="24"/>
              </w:rPr>
              <w:t>用户方对本项目服务响应时间的基本要求如下：</w:t>
            </w:r>
          </w:p>
          <w:p>
            <w:pPr>
              <w:pStyle w:val="null3"/>
              <w:ind w:firstLine="480"/>
              <w:jc w:val="both"/>
            </w:pPr>
            <w:r>
              <w:rPr>
                <w:rFonts w:ascii="宋体" w:hAnsi="宋体" w:cs="宋体" w:eastAsia="宋体"/>
                <w:sz w:val="24"/>
              </w:rPr>
              <w:t>服务提供方提供</w:t>
            </w:r>
            <w:r>
              <w:rPr>
                <w:rFonts w:ascii="宋体" w:hAnsi="宋体" w:cs="宋体" w:eastAsia="宋体"/>
                <w:sz w:val="24"/>
              </w:rPr>
              <w:t>7x24小时的热线服务电话和邮件作为服务接口，委派专人集中受理服务请求，并保证通讯线路畅通。</w:t>
            </w:r>
          </w:p>
          <w:p>
            <w:pPr>
              <w:pStyle w:val="null3"/>
              <w:ind w:firstLine="480"/>
              <w:jc w:val="both"/>
            </w:pPr>
            <w:r>
              <w:rPr>
                <w:rFonts w:ascii="宋体" w:hAnsi="宋体" w:cs="宋体" w:eastAsia="宋体"/>
                <w:sz w:val="24"/>
              </w:rPr>
              <w:t>服务响应时间从服务需求提出，即用户方开始拨打服务方热线服务电话后开始计时。现场工程师不能解决的问题须联系厂家。一级问题要求服务提供方承诺在服务需求提出后</w:t>
            </w:r>
            <w:r>
              <w:rPr>
                <w:rFonts w:ascii="宋体" w:hAnsi="宋体" w:cs="宋体" w:eastAsia="宋体"/>
                <w:sz w:val="24"/>
              </w:rPr>
              <w:t>15分钟之内提供电话响应或在线支持服务，并于2小时内恢复系统运行，4小时内彻底排除设备故障。二级和三级问题要求服务提供方工程师在服务需求提出后30分钟之内提供电话支持服务，并根据用户方要求和实际情况提供现场维修服务，一般应于2小时内到达现场，在4小时内恢复系统运行，6小时内彻底排除设备故障。四级问题要求服务提供方工程师在服务需求提出后1小时之内提供电话支持服务，如用户方需要则在3小时内到现场提供技术支持。</w:t>
            </w:r>
          </w:p>
          <w:p>
            <w:pPr>
              <w:pStyle w:val="null3"/>
              <w:ind w:firstLine="480"/>
              <w:jc w:val="both"/>
            </w:pPr>
            <w:r>
              <w:rPr>
                <w:rFonts w:ascii="宋体" w:hAnsi="宋体" w:cs="宋体" w:eastAsia="宋体"/>
                <w:sz w:val="24"/>
              </w:rPr>
              <w:t>在合同服务时限内，按合同违约条款处理。服务提供方应具备完备可靠的服务管理流程，能够对服务请求进行派发、跟踪、升级、管理、总结和监督，为用户方提供完整的故障处理知识库。</w:t>
            </w:r>
          </w:p>
          <w:p>
            <w:pPr>
              <w:pStyle w:val="null3"/>
              <w:jc w:val="both"/>
            </w:pPr>
            <w:r>
              <w:rPr>
                <w:rFonts w:ascii="宋体" w:hAnsi="宋体" w:cs="宋体" w:eastAsia="宋体"/>
                <w:sz w:val="24"/>
              </w:rPr>
              <w:t>（</w:t>
            </w:r>
            <w:r>
              <w:rPr>
                <w:rFonts w:ascii="宋体" w:hAnsi="宋体" w:cs="宋体" w:eastAsia="宋体"/>
                <w:sz w:val="24"/>
              </w:rPr>
              <w:t>2）★故障升级处理程序</w:t>
            </w:r>
          </w:p>
          <w:p>
            <w:pPr>
              <w:pStyle w:val="null3"/>
              <w:ind w:firstLine="480"/>
              <w:jc w:val="both"/>
            </w:pPr>
            <w:r>
              <w:rPr>
                <w:rFonts w:ascii="宋体" w:hAnsi="宋体" w:cs="宋体" w:eastAsia="宋体"/>
                <w:sz w:val="24"/>
              </w:rPr>
              <w:t>如服务提供方不能按基本要求规定的时间彻底排除设备故障，需立即启动故障升级处理程序。</w:t>
            </w:r>
          </w:p>
          <w:p>
            <w:pPr>
              <w:pStyle w:val="null3"/>
              <w:ind w:firstLine="480"/>
              <w:jc w:val="both"/>
            </w:pPr>
            <w:r>
              <w:rPr>
                <w:rFonts w:ascii="宋体" w:hAnsi="宋体" w:cs="宋体" w:eastAsia="宋体"/>
                <w:sz w:val="24"/>
              </w:rPr>
              <w:t>A、服务提供方在规定时间到达后立即启动故障升级处理程序，为本项目服务的资深工程师必须立即提供技术支持。</w:t>
            </w:r>
          </w:p>
          <w:p>
            <w:pPr>
              <w:pStyle w:val="null3"/>
              <w:ind w:firstLine="480"/>
              <w:jc w:val="both"/>
            </w:pPr>
            <w:r>
              <w:rPr>
                <w:rFonts w:ascii="宋体" w:hAnsi="宋体" w:cs="宋体" w:eastAsia="宋体"/>
                <w:sz w:val="24"/>
              </w:rPr>
              <w:t>B、在规定时间到达后1小时依然无法排除故障，服务提供方需立即联系原厂工程师共同解决故障，费用由服务提供方承担。同时，服务提供方需在规定时间到达后2小时内提供性能相近的备机，保证系统正常运行。</w:t>
            </w:r>
          </w:p>
          <w:p>
            <w:pPr>
              <w:pStyle w:val="null3"/>
              <w:jc w:val="both"/>
            </w:pPr>
            <w:r>
              <w:rPr>
                <w:rFonts w:ascii="宋体" w:hAnsi="宋体" w:cs="宋体" w:eastAsia="宋体"/>
                <w:sz w:val="24"/>
              </w:rPr>
              <w:t>（</w:t>
            </w:r>
            <w:r>
              <w:rPr>
                <w:rFonts w:ascii="宋体" w:hAnsi="宋体" w:cs="宋体" w:eastAsia="宋体"/>
                <w:sz w:val="24"/>
              </w:rPr>
              <w:t>3）原厂技术支持</w:t>
            </w:r>
          </w:p>
          <w:p>
            <w:pPr>
              <w:pStyle w:val="null3"/>
              <w:ind w:firstLine="480"/>
              <w:jc w:val="both"/>
            </w:pPr>
            <w:r>
              <w:rPr>
                <w:rFonts w:ascii="宋体" w:hAnsi="宋体" w:cs="宋体" w:eastAsia="宋体"/>
                <w:sz w:val="24"/>
              </w:rPr>
              <w:t>服务提供方在接到服务需求后，明确自身力量无法完成的，需立即联系原厂工程师在规定时间内解决故障，费用由服务提供方承担。超出规定时间的部分，用户方将对服务提供方进行相应的问责和索赔。情节特别严重的，用户方将解除本项目的服务合同。</w:t>
            </w:r>
          </w:p>
          <w:p>
            <w:pPr>
              <w:pStyle w:val="null3"/>
              <w:jc w:val="both"/>
            </w:pPr>
            <w:r>
              <w:rPr>
                <w:rFonts w:ascii="宋体" w:hAnsi="宋体" w:cs="宋体" w:eastAsia="宋体"/>
                <w:b/>
                <w:sz w:val="24"/>
              </w:rPr>
              <w:t>5、服务报告要求</w:t>
            </w:r>
          </w:p>
          <w:p>
            <w:pPr>
              <w:pStyle w:val="null3"/>
              <w:ind w:firstLine="480"/>
              <w:jc w:val="both"/>
            </w:pPr>
            <w:r>
              <w:rPr>
                <w:rFonts w:ascii="宋体" w:hAnsi="宋体" w:cs="宋体" w:eastAsia="宋体"/>
                <w:sz w:val="24"/>
              </w:rPr>
              <w:t>服务提供方应主动与用户方及时沟通服务情况，每月定期提供本月的服务月报，服务期结束前应提供服务年报，并对每一次重大故障和问题的原因、解决方法、完成情况等形成专门报告，及时报送用户方。服务提供方应事先提供相关服务的月报、年报和专题报告的样本。</w:t>
            </w:r>
          </w:p>
          <w:p>
            <w:pPr>
              <w:pStyle w:val="null3"/>
              <w:jc w:val="both"/>
            </w:pPr>
            <w:r>
              <w:rPr>
                <w:rFonts w:ascii="宋体" w:hAnsi="宋体" w:cs="宋体" w:eastAsia="宋体"/>
                <w:b/>
                <w:sz w:val="24"/>
              </w:rPr>
              <w:t>6、备件保障及支持体系要求</w:t>
            </w:r>
          </w:p>
          <w:p>
            <w:pPr>
              <w:pStyle w:val="null3"/>
              <w:ind w:firstLine="480"/>
              <w:jc w:val="both"/>
            </w:pPr>
            <w:r>
              <w:rPr>
                <w:rFonts w:ascii="宋体" w:hAnsi="宋体" w:cs="宋体" w:eastAsia="宋体"/>
                <w:sz w:val="24"/>
              </w:rPr>
              <w:t>服务提供方应针对本项目提供完备的备件保障，服务提供方应具备设施完整、规模较大、管理完善的备件储备库，备件库的备件种类应覆盖设备清单中的设备类型，因特殊情况下不能保证及时备件供应，服务提供方应能提供备机支持。服务提供方应详细说明日常备件保障及支持体系，并提供为本项目中的硬件设备专门配备的详细备件清单，并明确承诺备件到达设备故障现场时间。</w:t>
            </w:r>
          </w:p>
          <w:p>
            <w:pPr>
              <w:pStyle w:val="null3"/>
              <w:ind w:firstLine="480"/>
              <w:jc w:val="both"/>
            </w:pPr>
            <w:r>
              <w:rPr>
                <w:rFonts w:ascii="宋体" w:hAnsi="宋体" w:cs="宋体" w:eastAsia="宋体"/>
                <w:b/>
                <w:sz w:val="24"/>
              </w:rPr>
              <w:t>7</w:t>
            </w:r>
            <w:r>
              <w:rPr>
                <w:rFonts w:ascii="宋体" w:hAnsi="宋体" w:cs="宋体" w:eastAsia="宋体"/>
                <w:b/>
                <w:sz w:val="24"/>
              </w:rPr>
              <w:t>、其他要求</w:t>
            </w:r>
          </w:p>
          <w:p>
            <w:pPr>
              <w:pStyle w:val="null3"/>
              <w:ind w:firstLine="480"/>
              <w:jc w:val="both"/>
            </w:pPr>
            <w:r>
              <w:rPr>
                <w:rFonts w:ascii="宋体" w:hAnsi="宋体" w:cs="宋体" w:eastAsia="宋体"/>
                <w:sz w:val="24"/>
              </w:rPr>
              <w:t>1)</w:t>
            </w:r>
            <w:r>
              <w:rPr>
                <w:rFonts w:ascii="宋体" w:hAnsi="宋体" w:cs="宋体" w:eastAsia="宋体"/>
                <w:sz w:val="24"/>
              </w:rPr>
              <w:t>要求项目经理熟悉项目情况，服务管理到位，及时了解维保服务的进展情况及潜在风险，确保整体项目维护效果；</w:t>
            </w:r>
          </w:p>
          <w:p>
            <w:pPr>
              <w:pStyle w:val="null3"/>
              <w:ind w:firstLine="480"/>
              <w:jc w:val="both"/>
            </w:pPr>
            <w:r>
              <w:rPr>
                <w:rFonts w:ascii="宋体" w:hAnsi="宋体" w:cs="宋体" w:eastAsia="宋体"/>
                <w:sz w:val="24"/>
              </w:rPr>
              <w:t>2)</w:t>
            </w:r>
            <w:r>
              <w:rPr>
                <w:rFonts w:ascii="宋体" w:hAnsi="宋体" w:cs="宋体" w:eastAsia="宋体"/>
                <w:sz w:val="24"/>
              </w:rPr>
              <w:t>制定项目组各层次人员的沟通管理计划，必须确保项目组所有人员及时了解项目进展信息，必须确保维保服务的项目管理负责人在该服务对应的项目阶段全程在现场进行项目管理服务；</w:t>
            </w:r>
          </w:p>
          <w:p>
            <w:pPr>
              <w:pStyle w:val="null3"/>
              <w:ind w:firstLine="480"/>
              <w:jc w:val="both"/>
            </w:pPr>
            <w:r>
              <w:rPr>
                <w:rFonts w:ascii="宋体" w:hAnsi="宋体" w:cs="宋体" w:eastAsia="宋体"/>
                <w:sz w:val="24"/>
              </w:rPr>
              <w:t>3)</w:t>
            </w:r>
            <w:r>
              <w:rPr>
                <w:rFonts w:ascii="宋体" w:hAnsi="宋体" w:cs="宋体" w:eastAsia="宋体"/>
                <w:sz w:val="24"/>
              </w:rPr>
              <w:t>对项目维保过程中的各部分实施服务的技术方案确认，需得到用户技术团队沟通确认，涉及业务停机需求，需得到用户负责人确认；</w:t>
            </w:r>
          </w:p>
          <w:p>
            <w:pPr>
              <w:pStyle w:val="null3"/>
              <w:ind w:firstLine="480"/>
              <w:jc w:val="both"/>
            </w:pPr>
            <w:r>
              <w:rPr>
                <w:rFonts w:ascii="宋体" w:hAnsi="宋体" w:cs="宋体" w:eastAsia="宋体"/>
                <w:sz w:val="24"/>
              </w:rPr>
              <w:t>4)</w:t>
            </w:r>
            <w:r>
              <w:rPr>
                <w:rFonts w:ascii="宋体" w:hAnsi="宋体" w:cs="宋体" w:eastAsia="宋体"/>
                <w:sz w:val="24"/>
              </w:rPr>
              <w:t>对项目维保过程中的各部分服务的风险进行管理，必须确保在实施过程中的潜在风险得到有效控制和处理；</w:t>
            </w:r>
          </w:p>
          <w:p>
            <w:pPr>
              <w:pStyle w:val="null3"/>
              <w:ind w:firstLine="480"/>
              <w:jc w:val="both"/>
            </w:pPr>
            <w:r>
              <w:rPr>
                <w:rFonts w:ascii="宋体" w:hAnsi="宋体" w:cs="宋体" w:eastAsia="宋体"/>
                <w:sz w:val="24"/>
              </w:rPr>
              <w:t>5)</w:t>
            </w:r>
            <w:r>
              <w:rPr>
                <w:rFonts w:ascii="宋体" w:hAnsi="宋体" w:cs="宋体" w:eastAsia="宋体"/>
                <w:sz w:val="24"/>
              </w:rPr>
              <w:t>必须确保项目各个部分服务严格按照项目既定的流程、目标进行实施，项目实施后每个交付物符合预定义要求；</w:t>
            </w:r>
          </w:p>
          <w:p>
            <w:pPr>
              <w:pStyle w:val="null3"/>
              <w:ind w:firstLine="480"/>
              <w:jc w:val="both"/>
            </w:pPr>
            <w:r>
              <w:rPr>
                <w:rFonts w:ascii="宋体" w:hAnsi="宋体" w:cs="宋体" w:eastAsia="宋体"/>
                <w:sz w:val="24"/>
              </w:rPr>
              <w:t>6</w:t>
            </w:r>
            <w:r>
              <w:rPr>
                <w:rFonts w:ascii="宋体" w:hAnsi="宋体" w:cs="宋体" w:eastAsia="宋体"/>
                <w:sz w:val="24"/>
              </w:rPr>
              <w:t>)为保证项目正常进行，须保证技术服务人员相对固定，不得更换技术负责人。其它人员变更不得超过3次，调整前1周以书面形式向医院申请，医院有权根据项目情况否决或调整上述申请；</w:t>
            </w:r>
          </w:p>
          <w:p>
            <w:pPr>
              <w:pStyle w:val="null3"/>
              <w:ind w:firstLine="480"/>
              <w:jc w:val="both"/>
            </w:pPr>
            <w:r>
              <w:rPr>
                <w:rFonts w:ascii="宋体" w:hAnsi="宋体" w:cs="宋体" w:eastAsia="宋体"/>
                <w:sz w:val="24"/>
              </w:rPr>
              <w:t>7</w:t>
            </w:r>
            <w:r>
              <w:rPr>
                <w:rFonts w:ascii="宋体" w:hAnsi="宋体" w:cs="宋体" w:eastAsia="宋体"/>
                <w:sz w:val="24"/>
              </w:rPr>
              <w:t>)在服务期间，项目经理和主要技术服务人员必须提供有效联系方式，并保证7×24小时联系渠道畅通。</w:t>
            </w:r>
          </w:p>
        </w:tc>
      </w:tr>
    </w:tbl>
    <w:p>
      <w:pPr>
        <w:pStyle w:val="null3"/>
        <w:outlineLvl w:val="2"/>
      </w:pPr>
      <w:r>
        <w:rPr>
          <w:b/>
          <w:sz w:val="28"/>
        </w:rPr>
        <w:t>3.2.3人员配置要求</w:t>
      </w:r>
    </w:p>
    <w:p>
      <w:pPr>
        <w:pStyle w:val="null3"/>
      </w:pPr>
      <w:r>
        <w:rPr/>
        <w:t>采购包1：</w:t>
      </w:r>
    </w:p>
    <w:p>
      <w:pPr>
        <w:pStyle w:val="null3"/>
      </w:pPr>
      <w:r>
        <w:rPr/>
        <w:t>详见服务要求</w:t>
      </w:r>
    </w:p>
    <w:p>
      <w:pPr>
        <w:pStyle w:val="null3"/>
        <w:outlineLvl w:val="2"/>
      </w:pPr>
      <w:r>
        <w:rPr>
          <w:b/>
          <w:sz w:val="28"/>
        </w:rPr>
        <w:t>3.2.4设施设备要求</w:t>
      </w:r>
    </w:p>
    <w:p>
      <w:pPr>
        <w:pStyle w:val="null3"/>
      </w:pPr>
      <w:r>
        <w:rPr/>
        <w:t>采购包1：</w:t>
      </w:r>
    </w:p>
    <w:p>
      <w:pPr>
        <w:pStyle w:val="null3"/>
      </w:pPr>
      <w:r>
        <w:rPr/>
        <w:t>详见服务要求</w:t>
      </w:r>
    </w:p>
    <w:p>
      <w:pPr>
        <w:pStyle w:val="null3"/>
        <w:outlineLvl w:val="2"/>
      </w:pPr>
      <w:r>
        <w:rPr>
          <w:b/>
          <w:sz w:val="28"/>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一年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根据磋商文件要求及合同约定执行。</w:t>
      </w:r>
    </w:p>
    <w:p>
      <w:pPr>
        <w:pStyle w:val="null3"/>
        <w:outlineLvl w:val="3"/>
      </w:pPr>
      <w:r>
        <w:rPr>
          <w:b/>
          <w:sz w:val="24"/>
        </w:rPr>
        <w:t>3.3.4支付方式</w:t>
      </w:r>
    </w:p>
    <w:p>
      <w:pPr>
        <w:pStyle w:val="null3"/>
      </w:pPr>
      <w:r>
        <w:rPr/>
        <w:t>采购包1：</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合同期保期结束后，乙方提供维保记录，经甲方确认后，支付当年维保费用。</w:t>
      </w:r>
      <w:r>
        <w:rPr/>
        <w:t xml:space="preserve"> ，达到付款条件起 </w:t>
      </w:r>
      <w:r>
        <w:rPr/>
        <w:t>30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根据磋商文件要求及合同约定执行。</w:t>
      </w:r>
    </w:p>
    <w:p>
      <w:pPr>
        <w:pStyle w:val="null3"/>
        <w:outlineLvl w:val="2"/>
      </w:pPr>
      <w:r>
        <w:rPr>
          <w:b/>
          <w:sz w:val="28"/>
        </w:rPr>
        <w:t>3.4其他要求</w:t>
      </w:r>
    </w:p>
    <w:p>
      <w:pPr>
        <w:pStyle w:val="null3"/>
      </w:pPr>
      <w:r>
        <w:rPr/>
        <w:t>1.报价说明：价格包含产品安装调试、咨询培训、技术维护及售后服务在内的所有费用。 2.质量保证：（1）成交人应根据维保服务方案规范进行维保服务工作，采购人在服务过程中起到配合、监督及管理的作用。（2）在维保服务期内，如果发现服务内容、服务质量等存在与合同中任何一项不符，采购人应在最短时间内，以书面形式向成交人提出索赔。 （3）每年根据当年的维保服务情况进行考评，如乙方未能达到甲方维保要求且维保考评不过关，甲方可终止合同。 3.合同续签情况说明：（1）本次招标有效期为三年，合同一年一签； （2）每年维保期结束后，供应商应按要求提供维保记录，根据院方考核结果决定是否续签下一年合同。 （3）如中标公司未达到医院维保要求，不再续签下一年维保合同，另行招标。</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法定代表人身份证明/法定代表人授权书</w:t>
            </w:r>
          </w:p>
        </w:tc>
        <w:tc>
          <w:tcPr>
            <w:tcW w:type="dxa" w:w="3322"/>
          </w:tcPr>
          <w:p>
            <w:pPr>
              <w:pStyle w:val="null3"/>
            </w:pPr>
            <w:r>
              <w:rPr/>
              <w:t>法定代表人授权书：提供法定代表人授权书（附法定代表人、被授权人身份证复印件），（法定代表人直接参加投标，须提供法定代表人身份证明）；</w:t>
            </w:r>
          </w:p>
        </w:tc>
        <w:tc>
          <w:tcPr>
            <w:tcW w:type="dxa" w:w="1661"/>
          </w:tcPr>
          <w:p>
            <w:pPr>
              <w:pStyle w:val="null3"/>
            </w:pPr>
            <w:r>
              <w:rPr/>
              <w:t>法定代表人身份证明及法定代表人授权书 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提供递交响应文件截止之日前一年内任意一个月的社会保障资金缴存单据或社保机构开具的社会保险参保缴费情况证明，依法不需要缴纳社会保障资金的单位应提供相关证明材料；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无违法记录书面声明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参加政府采购活动前3年内在经营活动中没有重大违法纪录的书面声明 供应商应提交的相关资格证明材料</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具有履行本合同所必需的设备和专业技术能力的书面声明 供应商应提交的相关资格证明材料</w:t>
            </w:r>
          </w:p>
        </w:tc>
      </w:tr>
      <w:tr>
        <w:tc>
          <w:tcPr>
            <w:tcW w:type="dxa" w:w="831"/>
          </w:tcPr>
          <w:p>
            <w:pPr>
              <w:pStyle w:val="null3"/>
            </w:pPr>
            <w:r>
              <w:rPr/>
              <w:t>7</w:t>
            </w:r>
          </w:p>
        </w:tc>
        <w:tc>
          <w:tcPr>
            <w:tcW w:type="dxa" w:w="2492"/>
          </w:tcPr>
          <w:p>
            <w:pPr>
              <w:pStyle w:val="null3"/>
            </w:pPr>
            <w:r>
              <w:rPr/>
              <w:t>中小企业声明函</w:t>
            </w:r>
          </w:p>
        </w:tc>
        <w:tc>
          <w:tcPr>
            <w:tcW w:type="dxa" w:w="3322"/>
          </w:tcPr>
          <w:p>
            <w:pPr>
              <w:pStyle w:val="null3"/>
            </w:pPr>
            <w:r>
              <w:rPr/>
              <w:t>供应商须提供中小企业声明函且必须为中型、小型或微型企业；</w:t>
            </w:r>
          </w:p>
        </w:tc>
        <w:tc>
          <w:tcPr>
            <w:tcW w:type="dxa" w:w="1661"/>
          </w:tcPr>
          <w:p>
            <w:pPr>
              <w:pStyle w:val="null3"/>
            </w:pPr>
            <w:r>
              <w:rPr/>
              <w:t>中小企业声明函 供应商应提交的相关资格证明材料</w:t>
            </w:r>
          </w:p>
        </w:tc>
      </w:tr>
      <w:tr>
        <w:tc>
          <w:tcPr>
            <w:tcW w:type="dxa" w:w="831"/>
          </w:tcPr>
          <w:p>
            <w:pPr>
              <w:pStyle w:val="null3"/>
            </w:pPr>
            <w:r>
              <w:rPr/>
              <w:t>8</w:t>
            </w:r>
          </w:p>
        </w:tc>
        <w:tc>
          <w:tcPr>
            <w:tcW w:type="dxa" w:w="2492"/>
          </w:tcPr>
          <w:p>
            <w:pPr>
              <w:pStyle w:val="null3"/>
            </w:pPr>
            <w:r>
              <w:rPr/>
              <w:t>本项目不接受联合体磋商</w:t>
            </w:r>
          </w:p>
        </w:tc>
        <w:tc>
          <w:tcPr>
            <w:tcW w:type="dxa" w:w="3322"/>
          </w:tcPr>
          <w:p>
            <w:pPr>
              <w:pStyle w:val="null3"/>
            </w:pPr>
            <w:r>
              <w:rPr/>
              <w:t>本项目不接受联合体磋商（提供承诺书）；</w:t>
            </w:r>
          </w:p>
        </w:tc>
        <w:tc>
          <w:tcPr>
            <w:tcW w:type="dxa" w:w="1661"/>
          </w:tcPr>
          <w:p>
            <w:pPr>
              <w:pStyle w:val="null3"/>
            </w:pPr>
            <w:r>
              <w:rPr/>
              <w:t>供应商应提交的相关资格证明材料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磋商响应文件签字、盖章是否满足磋商文件要求。 磋商响应文件逐页加盖公章，按照格式签字或盖章。</w:t>
            </w:r>
          </w:p>
        </w:tc>
        <w:tc>
          <w:tcPr>
            <w:tcW w:type="dxa" w:w="1661"/>
          </w:tcPr>
          <w:p>
            <w:pPr>
              <w:pStyle w:val="null3"/>
            </w:pPr>
            <w:r>
              <w:rPr/>
              <w:t>服务内容要求响应表 分项报价表 法定代表人身份证明及法定代表人授权书 中小企业声明函 商务应答表 供应商应提交的相关资格证明材料 报价表 响应文件封面 具有履行本合同所必需的设备和专业技术能力的书面声明 参加政府采购活动前3年内在经营活动中没有重大违法纪录的书面声明 残疾人福利性单位声明函 服务方案 标的清单 陕西省政府采购供应商拒绝政府采购领域商业贿赂承诺书 响应函 监狱企业的证明文件</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磋商报价是否超过预算或最高限价。</w:t>
            </w:r>
          </w:p>
        </w:tc>
        <w:tc>
          <w:tcPr>
            <w:tcW w:type="dxa" w:w="1661"/>
          </w:tcPr>
          <w:p>
            <w:pPr>
              <w:pStyle w:val="null3"/>
            </w:pPr>
            <w:r>
              <w:rPr/>
              <w:t>分项报价表 报价表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投标有效期是否满足磋商文件要求。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商务条款</w:t>
            </w:r>
          </w:p>
        </w:tc>
        <w:tc>
          <w:tcPr>
            <w:tcW w:type="dxa" w:w="3322"/>
          </w:tcPr>
          <w:p>
            <w:pPr>
              <w:pStyle w:val="null3"/>
            </w:pPr>
            <w:r>
              <w:rPr/>
              <w:t>商务条款是否出现负偏离。</w:t>
            </w:r>
          </w:p>
        </w:tc>
        <w:tc>
          <w:tcPr>
            <w:tcW w:type="dxa" w:w="1661"/>
          </w:tcPr>
          <w:p>
            <w:pPr>
              <w:pStyle w:val="null3"/>
            </w:pPr>
            <w:r>
              <w:rPr/>
              <w:t>商务应答表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技术参响应</w:t>
            </w:r>
          </w:p>
        </w:tc>
        <w:tc>
          <w:tcPr>
            <w:tcW w:type="dxa" w:w="2492"/>
          </w:tcPr>
          <w:p>
            <w:pPr>
              <w:pStyle w:val="null3"/>
            </w:pPr>
            <w:r>
              <w:rPr/>
              <w:t>1.磋商文件要求的★条款参数，标★条款一项不满足扣2分。 2.其他参数为一般参数，每项不满足扣1分。 扣完为止，不计负分。 注：★条款须提供证明材料，佐证材料包括但不限于供应商服务承诺函等。</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服务内容要求响应表</w:t>
            </w:r>
          </w:p>
        </w:tc>
      </w:tr>
      <w:tr>
        <w:tc>
          <w:tcPr>
            <w:tcW w:type="dxa" w:w="831"/>
            <w:vMerge/>
          </w:tcPr>
          <w:p/>
        </w:tc>
        <w:tc>
          <w:tcPr>
            <w:tcW w:type="dxa" w:w="1661"/>
          </w:tcPr>
          <w:p>
            <w:pPr>
              <w:pStyle w:val="null3"/>
            </w:pPr>
            <w:r>
              <w:rPr/>
              <w:t>服务方案</w:t>
            </w:r>
          </w:p>
        </w:tc>
        <w:tc>
          <w:tcPr>
            <w:tcW w:type="dxa" w:w="2492"/>
          </w:tcPr>
          <w:p>
            <w:pPr>
              <w:pStyle w:val="null3"/>
            </w:pPr>
            <w:r>
              <w:rPr/>
              <w:t>针对医院设备及系统现状及服务内容要求，根据投标人运维经验定制有针对性的服务和管理维保方案。 1、服务方案中对医院现状及服务要求理解清楚、技术服务及管理方案针对性强，计7-10分； 2、服务及管理方案一般，满足服务要求，计3-6.9分； 3、服务及管理方案仅能满足服务基本要求的，计0-2.9分。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运维保障措施及服务流程</w:t>
            </w:r>
          </w:p>
        </w:tc>
        <w:tc>
          <w:tcPr>
            <w:tcW w:type="dxa" w:w="2492"/>
          </w:tcPr>
          <w:p>
            <w:pPr>
              <w:pStyle w:val="null3"/>
            </w:pPr>
            <w:r>
              <w:rPr/>
              <w:t>针对医院现状，提供完善的运维保障措施及服务流程，以保障本次项目服务的质量。 1、运维保障措施充分、人员配备合理、服务流程设计合理，充分满足医院需求，计3-5分； 2、运维保障方案一般，流程内容完善，满足服务要求，计1-2.9分； 3、仅能满足项目服务基本要求的，计0-0.9分。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应急方案</w:t>
            </w:r>
          </w:p>
        </w:tc>
        <w:tc>
          <w:tcPr>
            <w:tcW w:type="dxa" w:w="2492"/>
          </w:tcPr>
          <w:p>
            <w:pPr>
              <w:pStyle w:val="null3"/>
            </w:pPr>
            <w:r>
              <w:rPr/>
              <w:t>针对医院设备维保服务中可能发生的突发事件，有具体可行的应急措施和解决方案，根据响应程度横向比较。 1、措施方案完整可行、层次清楚计3-5分； 2、措施方案较完整、层次较清楚计1-2.9分； 3、措施不足，层次不清楚计0-0.9分。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运维能力</w:t>
            </w:r>
          </w:p>
        </w:tc>
        <w:tc>
          <w:tcPr>
            <w:tcW w:type="dxa" w:w="2492"/>
          </w:tcPr>
          <w:p>
            <w:pPr>
              <w:pStyle w:val="null3"/>
            </w:pPr>
            <w:r>
              <w:rPr/>
              <w:t>投标人须提供以下资质证明： 1）ISO9001质量管理体系认证； 2）ISO20000信息技术服务管理体系认证证书； 3）ISO27001信息安全管理体系认证证书； 4）ISO45001职业健康安全管理体系认证证书； 5）ISO14001环境管理体系认证； 以上每提供一项资质证明复印件（盖章）得2分，总计得10分。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人员支撑能力</w:t>
            </w:r>
          </w:p>
        </w:tc>
        <w:tc>
          <w:tcPr>
            <w:tcW w:type="dxa" w:w="2492"/>
          </w:tcPr>
          <w:p>
            <w:pPr>
              <w:pStyle w:val="null3"/>
            </w:pPr>
            <w:r>
              <w:rPr/>
              <w:t>项目组团队运维人员能力： 1、项目组团队配备1名及以上系统集成项目管理工程师或信息系统项目管理师，须提供证书复印件，得2分，不提供不得分； 2、项目组配备1名及以上IE（H3CIE/HCIE）工程师，提供职称证书复印件，提供一名得2分，最高4分，不提供不得分； 3、项目组配备1名及以上麒麟操作系统运维工程师或RHCE工程师，提供证书复印件，得2分，不提供不得分； 4、项目组配备1名及以上CISP工程师，提供证书复印件，得2分，不提供不得分； 注:以上人员需提供投标人为其缴纳的本年度任意一个月的社保证明材料或劳动合同，未提供不计分。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备件及技术支持保障</w:t>
            </w:r>
          </w:p>
        </w:tc>
        <w:tc>
          <w:tcPr>
            <w:tcW w:type="dxa" w:w="2492"/>
          </w:tcPr>
          <w:p>
            <w:pPr>
              <w:pStyle w:val="null3"/>
            </w:pPr>
            <w:r>
              <w:rPr/>
              <w:t>核心设备备件及技术支持保障： 结合医院现状，提供针对核心设备的备品备件及原厂商的技术支持保障措施及证明（核心设备原厂商服务承诺函）： 1）保障措施充分满足医院的需求，得3-5分； 2）保障措施一般满足医院的需求，得1-2.9分； 3）保障措施不能满足医院的需求，得0-0.9分。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项目业绩</w:t>
            </w:r>
          </w:p>
        </w:tc>
        <w:tc>
          <w:tcPr>
            <w:tcW w:type="dxa" w:w="2492"/>
          </w:tcPr>
          <w:p>
            <w:pPr>
              <w:pStyle w:val="null3"/>
            </w:pPr>
            <w:r>
              <w:rPr/>
              <w:t>提供2020年1月1日至今维保服务项目业绩（以合同复印件加盖公章为准），每个有效业绩得1分，满分5分。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价格分采用低价优先法计算，即满足磋商文件要求且二次报价最低的为评审基准价，其价格分为满分。其他投标人的价格分统一按照下列公式计算：报价得分=（评审基准价/二次报价）×30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详见附件：法定代表人身份证明及法定代表人授权书</w:t>
      </w:r>
    </w:p>
    <w:p>
      <w:pPr>
        <w:pStyle w:val="null3"/>
        <w:ind w:firstLine="960"/>
      </w:pPr>
      <w:r>
        <w:rPr/>
        <w:t>详见附件：服务内容要求响应表</w:t>
      </w:r>
    </w:p>
    <w:p>
      <w:pPr>
        <w:pStyle w:val="null3"/>
        <w:ind w:firstLine="960"/>
      </w:pPr>
      <w:r>
        <w:rPr/>
        <w:t>详见附件：参加政府采购活动前3年内在经营活动中没有重大违法纪录的书面声明</w:t>
      </w:r>
    </w:p>
    <w:p>
      <w:pPr>
        <w:pStyle w:val="null3"/>
        <w:ind w:firstLine="960"/>
      </w:pPr>
      <w:r>
        <w:rPr/>
        <w:t>详见附件：具有履行本合同所必需的设备和专业技术能力的书面声明</w:t>
      </w:r>
    </w:p>
    <w:p>
      <w:pPr>
        <w:pStyle w:val="null3"/>
        <w:ind w:firstLine="960"/>
      </w:pPr>
      <w:r>
        <w:rPr/>
        <w:t>详见附件：陕西省政府采购供应商拒绝政府采购领域商业贿赂承诺书</w:t>
      </w:r>
    </w:p>
    <w:p>
      <w:pPr>
        <w:pStyle w:val="null3"/>
      </w:pPr>
      <w:r>
        <w:rPr/>
        <w:t xml:space="preserve"> </w:t>
      </w:r>
    </w:p>
    <w:p>
      <w:pPr>
        <w:pStyle w:val="null3"/>
        <w:jc w:val="center"/>
        <w:outlineLvl w:val="1"/>
      </w:pPr>
      <w:r>
        <w:rPr>
          <w:b/>
          <w:sz w:val="36"/>
        </w:rPr>
        <w:t>第八章 拟签订采购合同文本</w:t>
      </w:r>
    </w:p>
    <w:p>
      <w:pPr>
        <w:pStyle w:val="null3"/>
      </w:pPr>
      <w:r>
        <w:rPr/>
        <w:t>详见附件：合同范本.docx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