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体外膜肺氧合机（ECMO）</w:t>
      </w:r>
    </w:p>
    <w:p>
      <w:pPr>
        <w:pStyle w:val="null3"/>
        <w:jc w:val="center"/>
        <w:outlineLvl w:val="2"/>
      </w:pPr>
      <w:r>
        <w:rPr>
          <w:b/>
          <w:sz w:val="28"/>
        </w:rPr>
        <w:t>采购项目编号：</w:t>
      </w:r>
      <w:r>
        <w:rPr>
          <w:b/>
          <w:sz w:val="28"/>
        </w:rPr>
        <w:t>SXZCX2024-005</w:t>
      </w:r>
      <w:r>
        <w:br/>
      </w:r>
      <w:r>
        <w:br/>
      </w:r>
      <w:r>
        <w:br/>
      </w:r>
    </w:p>
    <w:p>
      <w:pPr>
        <w:pStyle w:val="null3"/>
        <w:jc w:val="center"/>
        <w:outlineLvl w:val="2"/>
      </w:pPr>
      <w:r>
        <w:rPr>
          <w:b/>
          <w:sz w:val="28"/>
        </w:rPr>
        <w:t>西安医学院第二附属医院</w:t>
      </w:r>
    </w:p>
    <w:p>
      <w:pPr>
        <w:pStyle w:val="null3"/>
        <w:jc w:val="center"/>
        <w:outlineLvl w:val="2"/>
      </w:pPr>
      <w:r>
        <w:rPr>
          <w:b/>
          <w:sz w:val="28"/>
        </w:rPr>
        <w:t>陕西省中诚信招标有限公司</w:t>
      </w:r>
      <w:r>
        <w:rPr>
          <w:b/>
          <w:sz w:val="28"/>
        </w:rPr>
        <w:t>共同编制</w:t>
      </w:r>
    </w:p>
    <w:p>
      <w:pPr>
        <w:pStyle w:val="null3"/>
        <w:jc w:val="center"/>
        <w:outlineLvl w:val="2"/>
      </w:pPr>
      <w:r>
        <w:rPr>
          <w:b/>
          <w:sz w:val="28"/>
        </w:rPr>
        <w:t>2024年02月28日</w:t>
      </w:r>
    </w:p>
    <w:p>
      <w:pPr>
        <w:pStyle w:val="null3"/>
      </w:pPr>
      <w:r>
        <w:rPr/>
        <w:t xml:space="preserve"> </w:t>
      </w:r>
    </w:p>
    <w:p>
      <w:pPr>
        <w:pStyle w:val="null3"/>
        <w:jc w:val="center"/>
        <w:outlineLvl w:val="1"/>
      </w:pPr>
      <w:r>
        <w:rPr>
          <w:b/>
          <w:sz w:val="36"/>
        </w:rPr>
        <w:t>第一章 投标邀请</w:t>
      </w:r>
    </w:p>
    <w:p>
      <w:pPr>
        <w:pStyle w:val="null3"/>
        <w:ind w:firstLine="480"/>
      </w:pPr>
      <w:r>
        <w:rPr/>
        <w:t>陕西省中诚信招标有限公司</w:t>
      </w:r>
      <w:r>
        <w:rPr/>
        <w:t>（以下简称“代理机构”）受</w:t>
      </w:r>
      <w:r>
        <w:rPr/>
        <w:t>西安医学院第二附属医院</w:t>
      </w:r>
      <w:r>
        <w:rPr/>
        <w:t>委托，拟对</w:t>
      </w:r>
      <w:r>
        <w:rPr/>
        <w:t>体外膜肺氧合机（ECMO）</w:t>
      </w:r>
      <w:r>
        <w:rPr/>
        <w:t>进行国内公开招标，兹邀请符合本次招标要求的供应商参加投标。</w:t>
      </w:r>
    </w:p>
    <w:p>
      <w:pPr>
        <w:pStyle w:val="null3"/>
        <w:outlineLvl w:val="2"/>
      </w:pPr>
      <w:r>
        <w:rPr>
          <w:b/>
          <w:sz w:val="28"/>
        </w:rPr>
        <w:t>一、采购项目编号：</w:t>
      </w:r>
      <w:r>
        <w:rPr>
          <w:b/>
          <w:sz w:val="28"/>
        </w:rPr>
        <w:t>SXZCX2024-005</w:t>
      </w:r>
    </w:p>
    <w:p>
      <w:pPr>
        <w:pStyle w:val="null3"/>
        <w:outlineLvl w:val="2"/>
      </w:pPr>
      <w:r>
        <w:rPr>
          <w:b/>
          <w:sz w:val="28"/>
        </w:rPr>
        <w:t>二、采购项目名称：</w:t>
      </w:r>
      <w:r>
        <w:rPr>
          <w:b/>
          <w:sz w:val="28"/>
        </w:rPr>
        <w:t>体外膜肺氧合机（ECMO）</w:t>
      </w:r>
    </w:p>
    <w:p>
      <w:pPr>
        <w:pStyle w:val="null3"/>
        <w:outlineLvl w:val="2"/>
      </w:pPr>
      <w:r>
        <w:rPr>
          <w:b/>
          <w:sz w:val="28"/>
        </w:rPr>
        <w:t>三、招标项目简介</w:t>
      </w:r>
    </w:p>
    <w:p>
      <w:pPr>
        <w:pStyle w:val="null3"/>
        <w:ind w:firstLine="480"/>
      </w:pPr>
      <w:r>
        <w:rPr/>
        <w:t>体外膜肺氧合机（ECMO）一台，具体参数详见招标文件</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人资格要求：投标人为代理商的应出具医疗器械经营许可证（或医疗器械经营备案凭证）和制造厂商的医疗器械生产许可证（或医疗器械生产备案凭证）；投标人为生产厂商的应出具医疗器械生产许可证（或医疗器械生产备案凭证）。进口产品不需提供医疗器械生产许可证。</w:t>
      </w:r>
    </w:p>
    <w:p>
      <w:pPr>
        <w:pStyle w:val="null3"/>
      </w:pPr>
      <w:r>
        <w:rPr/>
        <w:t>2、投标人资格要求：所投产品应出具医疗器械注册证或医疗器械备案凭证；</w:t>
      </w:r>
    </w:p>
    <w:p>
      <w:pPr>
        <w:pStyle w:val="null3"/>
      </w:pPr>
      <w:r>
        <w:rPr/>
        <w:t>3、投标人资格要求（进口产品填写）：提供所投进口产品的厂家授权书或总代理商授权书（厂家直投不需提供授权书）。注：如提供总代理商授权书的须同时提供该总代理商具有有效授权权限的相关证明文件，证明文件需能显示产品制造厂家对所投产品授权链条的完整性。</w:t>
      </w:r>
    </w:p>
    <w:p>
      <w:pPr>
        <w:pStyle w:val="null3"/>
      </w:pPr>
      <w:r>
        <w:rPr/>
        <w:t>4、投标人信用要求：截止至投标文件递交截止时间之前，投标人不得在“信用中国”网站（www.creditchina.gov.cn）中被列入严重失信z主体名单查询、未在“中国执行信息公开网”（http：/zxgk.court.gov.cn/shixin/）中被列入失信被执行人、“中国政府采购网(www.ccgp.gov.cn)” 不得被列入政府采购严重违法失信行为记录名单；</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西安医学院第二附属医院</w:t>
      </w:r>
    </w:p>
    <w:p>
      <w:pPr>
        <w:pStyle w:val="null3"/>
      </w:pPr>
      <w:r>
        <w:rPr/>
        <w:t xml:space="preserve"> 地址： </w:t>
      </w:r>
      <w:r>
        <w:rPr/>
        <w:t>灞桥区纺织城东街167号</w:t>
      </w:r>
    </w:p>
    <w:p>
      <w:pPr>
        <w:pStyle w:val="null3"/>
      </w:pPr>
      <w:r>
        <w:rPr/>
        <w:t xml:space="preserve"> 邮编： </w:t>
      </w:r>
      <w:r>
        <w:rPr/>
        <w:t>710000</w:t>
      </w:r>
    </w:p>
    <w:p>
      <w:pPr>
        <w:pStyle w:val="null3"/>
      </w:pPr>
      <w:r>
        <w:rPr/>
        <w:t xml:space="preserve"> 联系人： </w:t>
      </w:r>
      <w:r>
        <w:rPr/>
        <w:t>西安医学院第二附属医院</w:t>
      </w:r>
    </w:p>
    <w:p>
      <w:pPr>
        <w:pStyle w:val="null3"/>
      </w:pPr>
      <w:r>
        <w:rPr/>
        <w:t xml:space="preserve"> 联系电话： </w:t>
      </w:r>
      <w:r>
        <w:rPr/>
        <w:t>029-83513612</w:t>
      </w:r>
    </w:p>
    <w:p>
      <w:pPr>
        <w:pStyle w:val="null3"/>
        <w:outlineLvl w:val="2"/>
      </w:pPr>
      <w:r>
        <w:rPr>
          <w:b/>
          <w:sz w:val="28"/>
        </w:rPr>
        <w:t>代理机构：</w:t>
      </w:r>
      <w:r>
        <w:rPr>
          <w:b/>
          <w:sz w:val="28"/>
        </w:rPr>
        <w:t>陕西省中诚信招标有限公司</w:t>
      </w:r>
    </w:p>
    <w:p>
      <w:pPr>
        <w:pStyle w:val="null3"/>
      </w:pPr>
      <w:r>
        <w:rPr/>
        <w:t xml:space="preserve"> 地址： </w:t>
      </w:r>
      <w:r>
        <w:rPr/>
        <w:t>西安市碑林区南二环西段华融国际商务大厦A座11E</w:t>
      </w:r>
    </w:p>
    <w:p>
      <w:pPr>
        <w:pStyle w:val="null3"/>
      </w:pPr>
      <w:r>
        <w:rPr/>
        <w:t xml:space="preserve"> 邮编： </w:t>
      </w:r>
      <w:r>
        <w:rPr/>
        <w:t>710061</w:t>
      </w:r>
    </w:p>
    <w:p>
      <w:pPr>
        <w:pStyle w:val="null3"/>
      </w:pPr>
      <w:r>
        <w:rPr/>
        <w:t xml:space="preserve"> 联系人： </w:t>
      </w:r>
      <w:r>
        <w:rPr/>
        <w:t>王宝荣</w:t>
      </w:r>
    </w:p>
    <w:p>
      <w:pPr>
        <w:pStyle w:val="null3"/>
      </w:pPr>
      <w:r>
        <w:rPr/>
        <w:t xml:space="preserve"> 联系电话： </w:t>
      </w:r>
      <w:r>
        <w:rPr/>
        <w:t>029-85561586</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采购包1：2,400,000.00元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服务费参照《国家计委关于印发&lt;招标代理服务收费管理暂行办法&gt;的通知》（计价格[2002]1980号）和国家发展改革委员会办公厅颁发的《关于招标代理服务收费有关问题的通知》（发改办价格[2003]857号）规定标准（按标段）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西安医学院第二附属医院</w:t>
      </w:r>
      <w:r>
        <w:rPr/>
        <w:t>和</w:t>
      </w:r>
      <w:r>
        <w:rPr/>
        <w:t>陕西省中诚信招标有限公司</w:t>
      </w:r>
      <w:r>
        <w:rPr/>
        <w:t>享有。对招标文件中供应商参加本次政府采购活动应当具备的条件，招标项目技术、服务、商务及其他要求，评标细则及标准由</w:t>
      </w:r>
      <w:r>
        <w:rPr/>
        <w:t>西安医学院第二附属医院</w:t>
      </w:r>
      <w:r>
        <w:rPr/>
        <w:t>负责解释。除上述招标文件内容，其他内容由</w:t>
      </w:r>
      <w:r>
        <w:rPr/>
        <w:t>陕西省中诚信招标有限公司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西安医学院第二附属医院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陕西省中诚信招标有限公司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详见合同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陕西省中诚信招标有限公司</w:t>
      </w:r>
      <w:r>
        <w:rPr/>
        <w:t xml:space="preserve"> 负责答复；供应商对除采购需求外的采购文件的询问、质疑由</w:t>
      </w:r>
      <w:r>
        <w:rPr/>
        <w:t>陕西省中诚信招标有限公司</w:t>
      </w:r>
      <w:r>
        <w:rPr/>
        <w:t xml:space="preserve"> 负责答复；供应商对采购过程、采购结果的询问、质疑由 </w:t>
      </w:r>
      <w:r>
        <w:rPr/>
        <w:t>陕西省中诚信招标有限公司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联系人：王宝荣</w:t>
      </w:r>
    </w:p>
    <w:p>
      <w:pPr>
        <w:pStyle w:val="null3"/>
      </w:pPr>
      <w:r>
        <w:rPr/>
        <w:t>联系电话：029-85561586</w:t>
      </w:r>
    </w:p>
    <w:p>
      <w:pPr>
        <w:pStyle w:val="null3"/>
      </w:pPr>
      <w:r>
        <w:rPr/>
        <w:t>地址：西安市碑林区南二环西段华融国际商务大厦A座11E</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体外膜肺氧合机（ECMO） ,本次采购内容为1个标段</w:t>
      </w:r>
    </w:p>
    <w:p>
      <w:pPr>
        <w:pStyle w:val="null3"/>
        <w:outlineLvl w:val="2"/>
      </w:pPr>
      <w:r>
        <w:rPr>
          <w:b/>
          <w:sz w:val="28"/>
        </w:rPr>
        <w:t>3.2采购内容</w:t>
      </w:r>
    </w:p>
    <w:p>
      <w:pPr>
        <w:pStyle w:val="null3"/>
      </w:pPr>
      <w:r>
        <w:rPr/>
        <w:t>采购包1：</w:t>
      </w:r>
    </w:p>
    <w:p>
      <w:pPr>
        <w:pStyle w:val="null3"/>
      </w:pPr>
      <w:r>
        <w:rPr/>
        <w:t>采购包预算金额（元）: 2,400,000.00</w:t>
      </w:r>
    </w:p>
    <w:p>
      <w:pPr>
        <w:pStyle w:val="null3"/>
      </w:pPr>
      <w:r>
        <w:rPr/>
        <w:t>采购包最高限价（元）: 2,100,000.00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体外膜肺氧合机（ECMO）</w:t>
            </w:r>
          </w:p>
        </w:tc>
        <w:tc>
          <w:tcPr>
            <w:tcW w:type="dxa" w:w="831"/>
          </w:tcPr>
          <w:p>
            <w:pPr>
              <w:pStyle w:val="null3"/>
              <w:jc w:val="right"/>
            </w:pPr>
            <w:r>
              <w:rPr/>
              <w:t>1.00</w:t>
            </w:r>
          </w:p>
        </w:tc>
        <w:tc>
          <w:tcPr>
            <w:tcW w:type="dxa" w:w="831"/>
          </w:tcPr>
          <w:p>
            <w:pPr>
              <w:pStyle w:val="null3"/>
              <w:jc w:val="right"/>
            </w:pPr>
            <w:r>
              <w:rPr/>
              <w:t>2,400,000.00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标的名称：体外膜肺氧合机（ECMO）</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0"/>
              <w:gridCol w:w="314"/>
              <w:gridCol w:w="2050"/>
            </w:tblGrid>
            <w:tr>
              <w:tc>
                <w:tcPr>
                  <w:tcW w:type="dxa" w:w="494"/>
                  <w:gridSpan w:val="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right"/>
                  </w:pPr>
                  <w:r>
                    <w:rPr>
                      <w:rFonts w:ascii="宋体" w:hAnsi="宋体" w:cs="宋体" w:eastAsia="宋体"/>
                      <w:b/>
                      <w:sz w:val="19"/>
                    </w:rPr>
                    <w:t>最高限价</w:t>
                  </w:r>
                </w:p>
              </w:tc>
              <w:tc>
                <w:tcPr>
                  <w:tcW w:type="dxa" w:w="205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quot;times new roman&quot;" w:hAnsi="&quot;times new roman&quot;" w:cs="&quot;times new roman&quot;" w:eastAsia="&quot;times new roman&quot;"/>
                      <w:b/>
                      <w:sz w:val="19"/>
                    </w:rPr>
                    <w:t>2100000.00</w:t>
                  </w:r>
                  <w:r>
                    <w:rPr>
                      <w:rFonts w:ascii="宋体" w:hAnsi="宋体" w:cs="宋体" w:eastAsia="宋体"/>
                      <w:b/>
                      <w:sz w:val="19"/>
                    </w:rPr>
                    <w:t>元（供应商报价不允许超过最高限价）</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微软雅黑" w:hAnsi="微软雅黑" w:cs="微软雅黑" w:eastAsia="微软雅黑"/>
                      <w:b/>
                      <w:sz w:val="21"/>
                    </w:rPr>
                    <w:t>参数性质</w:t>
                  </w: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微软雅黑" w:hAnsi="微软雅黑" w:cs="微软雅黑" w:eastAsia="微软雅黑"/>
                      <w:b/>
                      <w:sz w:val="21"/>
                    </w:rPr>
                    <w:t>序号</w:t>
                  </w:r>
                </w:p>
              </w:tc>
              <w:tc>
                <w:tcPr>
                  <w:tcW w:type="dxa" w:w="205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微软雅黑" w:hAnsi="微软雅黑" w:cs="微软雅黑" w:eastAsia="微软雅黑"/>
                      <w:b/>
                      <w:sz w:val="21"/>
                    </w:rPr>
                    <w:t>技术参数与性能指标</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1"/>
                    <w:jc w:val="both"/>
                  </w:pPr>
                  <w:r>
                    <w:rPr>
                      <w:rFonts w:ascii="宋体" w:hAnsi="宋体" w:cs="宋体" w:eastAsia="宋体"/>
                      <w:b/>
                      <w:sz w:val="24"/>
                    </w:rPr>
                    <w:t>ECMO</w:t>
                  </w:r>
                  <w:r>
                    <w:rPr>
                      <w:rFonts w:ascii="宋体" w:hAnsi="宋体" w:cs="宋体" w:eastAsia="宋体"/>
                      <w:b/>
                      <w:sz w:val="24"/>
                    </w:rPr>
                    <w:t>主机</w:t>
                  </w:r>
                  <w:r>
                    <w:rPr>
                      <w:rFonts w:ascii="宋体" w:hAnsi="宋体" w:cs="宋体" w:eastAsia="宋体"/>
                      <w:b/>
                      <w:sz w:val="24"/>
                    </w:rPr>
                    <w:t>：</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1.1</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泵驱动器工作原理：磁力驱动</w:t>
                  </w:r>
                  <w:r>
                    <w:rPr>
                      <w:rFonts w:ascii="宋体" w:hAnsi="宋体" w:cs="宋体" w:eastAsia="宋体"/>
                      <w:sz w:val="24"/>
                    </w:rPr>
                    <w:t>；</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1.2</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主机</w:t>
                  </w:r>
                  <w:r>
                    <w:rPr>
                      <w:rFonts w:ascii="宋体" w:hAnsi="宋体" w:cs="宋体" w:eastAsia="宋体"/>
                      <w:sz w:val="24"/>
                    </w:rPr>
                    <w:t>显示屏：</w:t>
                  </w:r>
                  <w:r>
                    <w:rPr>
                      <w:rFonts w:ascii="宋体" w:hAnsi="宋体" w:cs="宋体" w:eastAsia="宋体"/>
                      <w:sz w:val="24"/>
                    </w:rPr>
                    <w:t>具备压力数据、趋势图、温度等数据实时显示；</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1.3</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主机可监测的参数：温度，压力，流量和气泡，可以存储数据功能，并可显示保存期的趋势图，可以在患者撤机后，通过控制面板的</w:t>
                  </w:r>
                  <w:r>
                    <w:rPr>
                      <w:rFonts w:ascii="宋体" w:hAnsi="宋体" w:cs="宋体" w:eastAsia="宋体"/>
                      <w:sz w:val="24"/>
                    </w:rPr>
                    <w:t>USB接口拷贝</w:t>
                  </w:r>
                  <w:r>
                    <w:rPr>
                      <w:rFonts w:ascii="宋体" w:hAnsi="宋体" w:cs="宋体" w:eastAsia="宋体"/>
                      <w:sz w:val="24"/>
                    </w:rPr>
                    <w:t>；</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1.4</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软件具备两种不同场景模式；</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1.5</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泵驱动显示屏：液晶触摸显示屏</w:t>
                  </w:r>
                  <w:r>
                    <w:rPr>
                      <w:rFonts w:ascii="宋体" w:hAnsi="宋体" w:cs="宋体" w:eastAsia="宋体"/>
                      <w:sz w:val="24"/>
                    </w:rPr>
                    <w:t>≥12吋，分辨率：≥1024*768 ；</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1.6</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泵驱动器转速：</w:t>
                  </w:r>
                  <w:r>
                    <w:rPr>
                      <w:rFonts w:ascii="宋体" w:hAnsi="宋体" w:cs="宋体" w:eastAsia="宋体"/>
                      <w:sz w:val="24"/>
                    </w:rPr>
                    <w:t>0-6500</w:t>
                  </w:r>
                  <w:r>
                    <w:rPr>
                      <w:rFonts w:ascii="宋体" w:hAnsi="宋体" w:cs="宋体" w:eastAsia="宋体"/>
                      <w:sz w:val="24"/>
                    </w:rPr>
                    <w:t>rpm</w:t>
                  </w:r>
                  <w:r>
                    <w:rPr>
                      <w:rFonts w:ascii="宋体" w:hAnsi="宋体" w:cs="宋体" w:eastAsia="宋体"/>
                      <w:sz w:val="24"/>
                    </w:rPr>
                    <w:t>（精度</w:t>
                  </w:r>
                  <w:r>
                    <w:rPr>
                      <w:rFonts w:ascii="宋体" w:hAnsi="宋体" w:cs="宋体" w:eastAsia="宋体"/>
                      <w:sz w:val="24"/>
                    </w:rPr>
                    <w:t>±100rpm）；</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1.7</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流量</w:t>
                  </w:r>
                  <w:r>
                    <w:rPr>
                      <w:rFonts w:ascii="宋体" w:hAnsi="宋体" w:cs="宋体" w:eastAsia="宋体"/>
                      <w:sz w:val="24"/>
                    </w:rPr>
                    <w:t>监测</w:t>
                  </w:r>
                  <w:r>
                    <w:rPr>
                      <w:rFonts w:ascii="宋体" w:hAnsi="宋体" w:cs="宋体" w:eastAsia="宋体"/>
                      <w:sz w:val="24"/>
                    </w:rPr>
                    <w:t>范围：</w:t>
                  </w:r>
                  <w:r>
                    <w:rPr>
                      <w:rFonts w:ascii="宋体" w:hAnsi="宋体" w:cs="宋体" w:eastAsia="宋体"/>
                      <w:sz w:val="24"/>
                    </w:rPr>
                    <w:t xml:space="preserve">0-8 </w:t>
                  </w:r>
                  <w:r>
                    <w:rPr>
                      <w:rFonts w:ascii="宋体" w:hAnsi="宋体" w:cs="宋体" w:eastAsia="宋体"/>
                      <w:sz w:val="24"/>
                    </w:rPr>
                    <w:t>L/mi</w:t>
                  </w:r>
                  <w:r>
                    <w:rPr>
                      <w:rFonts w:ascii="宋体" w:hAnsi="宋体" w:cs="宋体" w:eastAsia="宋体"/>
                      <w:sz w:val="24"/>
                    </w:rPr>
                    <w:t>n（精度0.1L/min）；</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1.8</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▲泵头预冲量</w:t>
                  </w:r>
                  <w:r>
                    <w:rPr>
                      <w:rFonts w:ascii="宋体" w:hAnsi="宋体" w:cs="宋体" w:eastAsia="宋体"/>
                      <w:sz w:val="24"/>
                    </w:rPr>
                    <w:t>：</w:t>
                  </w:r>
                  <w:r>
                    <w:rPr>
                      <w:rFonts w:ascii="宋体" w:hAnsi="宋体" w:cs="宋体" w:eastAsia="宋体"/>
                      <w:sz w:val="24"/>
                    </w:rPr>
                    <w:t>≤22ml；</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1.9</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外部泵驱动装置重量：</w:t>
                  </w:r>
                  <w:r>
                    <w:rPr>
                      <w:rFonts w:ascii="宋体" w:hAnsi="宋体" w:cs="宋体" w:eastAsia="宋体"/>
                      <w:sz w:val="24"/>
                    </w:rPr>
                    <w:t>≤2kg；</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1.10</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监测功能</w:t>
                  </w:r>
                  <w:r>
                    <w:rPr>
                      <w:rFonts w:ascii="宋体" w:hAnsi="宋体" w:cs="宋体" w:eastAsia="宋体"/>
                      <w:sz w:val="24"/>
                    </w:rPr>
                    <w:t>：</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1.10.1</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流量气泡传感器监测</w:t>
                  </w:r>
                  <w:r>
                    <w:rPr>
                      <w:rFonts w:ascii="宋体" w:hAnsi="宋体" w:cs="宋体" w:eastAsia="宋体"/>
                      <w:sz w:val="24"/>
                    </w:rPr>
                    <w:t>；</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1.10.2</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3</w:t>
                  </w:r>
                  <w:r>
                    <w:rPr>
                      <w:rFonts w:ascii="宋体" w:hAnsi="宋体" w:cs="宋体" w:eastAsia="宋体"/>
                      <w:sz w:val="24"/>
                    </w:rPr>
                    <w:t>个压力监</w:t>
                  </w:r>
                  <w:r>
                    <w:rPr>
                      <w:rFonts w:ascii="宋体" w:hAnsi="宋体" w:cs="宋体" w:eastAsia="宋体"/>
                      <w:sz w:val="24"/>
                    </w:rPr>
                    <w:t>测（</w:t>
                  </w:r>
                  <w:r>
                    <w:rPr>
                      <w:rFonts w:ascii="宋体" w:hAnsi="宋体" w:cs="宋体" w:eastAsia="宋体"/>
                      <w:sz w:val="24"/>
                    </w:rPr>
                    <w:t>-400至+400mmHg）；</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1.10.3</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2个外部温度监测(+18至+45℃；精度±1℃）；</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1.11</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报警功能：通路中的压力报警、温度报警、气泡监测报警；</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1.12</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准确度：</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1.12.1</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电机转速：</w:t>
                  </w:r>
                  <w:r>
                    <w:rPr>
                      <w:rFonts w:ascii="宋体" w:hAnsi="宋体" w:cs="宋体" w:eastAsia="宋体"/>
                      <w:sz w:val="24"/>
                    </w:rPr>
                    <w:t>±2%；</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1.12.2</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流量传感器</w:t>
                  </w:r>
                  <w:r>
                    <w:rPr>
                      <w:rFonts w:ascii="宋体" w:hAnsi="宋体" w:cs="宋体" w:eastAsia="宋体"/>
                      <w:sz w:val="24"/>
                    </w:rPr>
                    <w:t>:0.0-8.0</w:t>
                  </w:r>
                  <w:r>
                    <w:rPr>
                      <w:rFonts w:ascii="宋体" w:hAnsi="宋体" w:cs="宋体" w:eastAsia="宋体"/>
                      <w:sz w:val="24"/>
                    </w:rPr>
                    <w:t>L/mi</w:t>
                  </w:r>
                  <w:r>
                    <w:rPr>
                      <w:rFonts w:ascii="宋体" w:hAnsi="宋体" w:cs="宋体" w:eastAsia="宋体"/>
                      <w:sz w:val="24"/>
                    </w:rPr>
                    <w:t>n,精准度±8%；</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1.12.3</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压力</w:t>
                  </w:r>
                  <w:r>
                    <w:rPr>
                      <w:rFonts w:ascii="宋体" w:hAnsi="宋体" w:cs="宋体" w:eastAsia="宋体"/>
                      <w:sz w:val="24"/>
                    </w:rPr>
                    <w:t>:（-400mmHg至-151mmHg）±8%</w:t>
                  </w:r>
                </w:p>
                <w:p>
                  <w:pPr>
                    <w:pStyle w:val="null3"/>
                    <w:ind w:firstLine="960"/>
                    <w:jc w:val="both"/>
                  </w:pPr>
                  <w:r>
                    <w:rPr>
                      <w:rFonts w:ascii="宋体" w:hAnsi="宋体" w:cs="宋体" w:eastAsia="宋体"/>
                      <w:sz w:val="24"/>
                    </w:rPr>
                    <w:t>（</w:t>
                  </w:r>
                  <w:r>
                    <w:rPr>
                      <w:rFonts w:ascii="宋体" w:hAnsi="宋体" w:cs="宋体" w:eastAsia="宋体"/>
                      <w:sz w:val="24"/>
                    </w:rPr>
                    <w:t>-150mmHg至400mmHg）±4%；</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1.13</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采用一体化非接触式设计压力传感器测定通路中的压力，具备实时体外循环的压力监测功能；</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1.14</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配备两个驱动泵；</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1.15</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w:t>
                  </w:r>
                  <w:r>
                    <w:rPr>
                      <w:rFonts w:ascii="宋体" w:hAnsi="宋体" w:cs="宋体" w:eastAsia="宋体"/>
                      <w:sz w:val="24"/>
                    </w:rPr>
                    <w:t>驱动泵与主机可分离</w:t>
                  </w:r>
                  <w:r>
                    <w:rPr>
                      <w:rFonts w:ascii="宋体" w:hAnsi="宋体" w:cs="宋体" w:eastAsia="宋体"/>
                      <w:sz w:val="24"/>
                    </w:rPr>
                    <w:t>,可直接连电池使用，驱动泵连接电池紧急转运时，备用驱动泵可以辅助预冲，紧急转运；</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1.16</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w:t>
                  </w:r>
                  <w:r>
                    <w:rPr>
                      <w:rFonts w:ascii="宋体" w:hAnsi="宋体" w:cs="宋体" w:eastAsia="宋体"/>
                      <w:sz w:val="24"/>
                    </w:rPr>
                    <w:t>未配备主电源的情况下使用设备时，在双电池充满电情况下，转速</w:t>
                  </w:r>
                  <w:r>
                    <w:rPr>
                      <w:rFonts w:ascii="宋体" w:hAnsi="宋体" w:cs="宋体" w:eastAsia="宋体"/>
                      <w:sz w:val="24"/>
                    </w:rPr>
                    <w:t>4000rpm，流量5L/min，可持续运行≥240分钟；</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1.17</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单机重量：</w:t>
                  </w:r>
                  <w:r>
                    <w:rPr>
                      <w:rFonts w:ascii="宋体" w:hAnsi="宋体" w:cs="宋体" w:eastAsia="宋体"/>
                      <w:sz w:val="24"/>
                    </w:rPr>
                    <w:t>≤12kg；</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1.18</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4"/>
                    </w:rPr>
                    <w:t>▲设备耗材：套包：具备配套耗材，循环管路，离心泵头，膜式氧合器一体化预连接套包，具备抗凝血涂层、完整一体化一次性使用膜式氧合器套包（含膜式氧合器、动静脉管路组件、离心泵泵头、预充管路组件、氧气管路、可选三路压力传感器）。</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配套设备</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w:t>
                  </w:r>
                  <w:r>
                    <w:rPr>
                      <w:rFonts w:ascii="宋体" w:hAnsi="宋体" w:cs="宋体" w:eastAsia="宋体"/>
                      <w:sz w:val="21"/>
                    </w:rPr>
                    <w:t>.1</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33"/>
                    <w:jc w:val="both"/>
                  </w:pPr>
                  <w:r>
                    <w:rPr>
                      <w:rFonts w:ascii="宋体" w:hAnsi="宋体" w:cs="宋体" w:eastAsia="宋体"/>
                      <w:b/>
                      <w:sz w:val="24"/>
                    </w:rPr>
                    <w:t>自动凝血检测仪</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2.1.1</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取血量：</w:t>
                  </w:r>
                  <w:r>
                    <w:rPr>
                      <w:rFonts w:ascii="宋体" w:hAnsi="宋体" w:cs="宋体" w:eastAsia="宋体"/>
                      <w:sz w:val="24"/>
                    </w:rPr>
                    <w:t>≤1ml；</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2.1.2</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通道数量：</w:t>
                  </w:r>
                  <w:r>
                    <w:rPr>
                      <w:rFonts w:ascii="宋体" w:hAnsi="宋体" w:cs="宋体" w:eastAsia="宋体"/>
                      <w:sz w:val="24"/>
                    </w:rPr>
                    <w:t>≥2个；</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2.1.3</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加热模块温度：</w:t>
                  </w:r>
                  <w:r>
                    <w:rPr>
                      <w:rFonts w:ascii="宋体" w:hAnsi="宋体" w:cs="宋体" w:eastAsia="宋体"/>
                      <w:sz w:val="24"/>
                    </w:rPr>
                    <w:t>37.0℃±2℃；</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2.1.4</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精准度：</w:t>
                  </w:r>
                  <w:r>
                    <w:rPr>
                      <w:rFonts w:ascii="宋体" w:hAnsi="宋体" w:cs="宋体" w:eastAsia="宋体"/>
                      <w:sz w:val="24"/>
                    </w:rPr>
                    <w:t>±0.5℃；</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2.1.6</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分辨率：</w:t>
                  </w:r>
                  <w:r>
                    <w:rPr>
                      <w:rFonts w:ascii="宋体" w:hAnsi="宋体" w:cs="宋体" w:eastAsia="宋体"/>
                      <w:sz w:val="24"/>
                    </w:rPr>
                    <w:t>0.1℃；</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2.1.7</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加热模块预热时间：</w:t>
                  </w:r>
                  <w:r>
                    <w:rPr>
                      <w:rFonts w:ascii="宋体" w:hAnsi="宋体" w:cs="宋体" w:eastAsia="宋体"/>
                      <w:sz w:val="24"/>
                    </w:rPr>
                    <w:t>≤15分钟；</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2.2</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33"/>
                    <w:jc w:val="both"/>
                  </w:pPr>
                  <w:r>
                    <w:rPr>
                      <w:rFonts w:ascii="宋体" w:hAnsi="宋体" w:cs="宋体" w:eastAsia="宋体"/>
                      <w:b/>
                      <w:sz w:val="24"/>
                    </w:rPr>
                    <w:t>医用水箱</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2.2.1</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具备国家注册证；</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2.2.2</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大功率控温系统；</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2.2.3</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连续循环输出</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2.2.4</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彩色触摸屏，中文及图标直观显示信息；</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2.2.5</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水箱缺水、水温超限报警；</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2.2.6</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功能模式：手动或自动模式；</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2.2.7</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控温精度</w:t>
                  </w:r>
                  <w:r>
                    <w:rPr>
                      <w:rFonts w:ascii="宋体" w:hAnsi="宋体" w:cs="宋体" w:eastAsia="宋体"/>
                      <w:sz w:val="24"/>
                    </w:rPr>
                    <w:t>±0.1℃；</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2.2.8</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温度控制范围</w:t>
                  </w:r>
                  <w:r>
                    <w:rPr>
                      <w:rFonts w:ascii="宋体" w:hAnsi="宋体" w:cs="宋体" w:eastAsia="宋体"/>
                      <w:sz w:val="24"/>
                    </w:rPr>
                    <w:t>:4℃--39℃</w:t>
                  </w:r>
                  <w:r>
                    <w:rPr>
                      <w:rFonts w:ascii="宋体" w:hAnsi="宋体" w:cs="宋体" w:eastAsia="宋体"/>
                      <w:sz w:val="24"/>
                    </w:rPr>
                    <w:t>；</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2.3</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1"/>
                    <w:jc w:val="both"/>
                  </w:pPr>
                  <w:r>
                    <w:rPr>
                      <w:rFonts w:ascii="宋体" w:hAnsi="宋体" w:cs="宋体" w:eastAsia="宋体"/>
                      <w:b/>
                      <w:sz w:val="24"/>
                    </w:rPr>
                    <w:t>血气分析仪</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2.3.1</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40"/>
                    <w:jc w:val="both"/>
                  </w:pPr>
                  <w:r>
                    <w:rPr>
                      <w:rFonts w:ascii="宋体" w:hAnsi="宋体" w:cs="宋体" w:eastAsia="宋体"/>
                      <w:sz w:val="24"/>
                    </w:rPr>
                    <w:t>直接</w:t>
                  </w:r>
                  <w:r>
                    <w:rPr>
                      <w:rFonts w:ascii="宋体" w:hAnsi="宋体" w:cs="宋体" w:eastAsia="宋体"/>
                      <w:sz w:val="24"/>
                    </w:rPr>
                    <w:t>测量</w:t>
                  </w:r>
                  <w:r>
                    <w:rPr>
                      <w:rFonts w:ascii="宋体" w:hAnsi="宋体" w:cs="宋体" w:eastAsia="宋体"/>
                      <w:sz w:val="24"/>
                    </w:rPr>
                    <w:t>参数：</w:t>
                  </w:r>
                  <w:r>
                    <w:rPr>
                      <w:rFonts w:ascii="宋体" w:hAnsi="宋体" w:cs="宋体" w:eastAsia="宋体"/>
                      <w:sz w:val="24"/>
                    </w:rPr>
                    <w:t>pH</w:t>
                  </w:r>
                  <w:r>
                    <w:rPr>
                      <w:rFonts w:ascii="微软雅黑" w:hAnsi="微软雅黑" w:cs="微软雅黑" w:eastAsia="微软雅黑"/>
                      <w:sz w:val="24"/>
                    </w:rPr>
                    <w:t>、</w:t>
                  </w:r>
                  <w:r>
                    <w:rPr>
                      <w:rFonts w:ascii="宋体" w:hAnsi="宋体" w:cs="宋体" w:eastAsia="宋体"/>
                      <w:sz w:val="24"/>
                    </w:rPr>
                    <w:t>PCO</w:t>
                  </w:r>
                  <w:r>
                    <w:rPr>
                      <w:rFonts w:ascii="宋体" w:hAnsi="宋体" w:cs="宋体" w:eastAsia="宋体"/>
                      <w:sz w:val="24"/>
                      <w:vertAlign w:val="subscript"/>
                    </w:rPr>
                    <w:t>2</w:t>
                  </w:r>
                  <w:r>
                    <w:rPr>
                      <w:rFonts w:ascii="微软雅黑" w:hAnsi="微软雅黑" w:cs="微软雅黑" w:eastAsia="微软雅黑"/>
                      <w:sz w:val="24"/>
                    </w:rPr>
                    <w:t>、</w:t>
                  </w:r>
                  <w:r>
                    <w:rPr>
                      <w:rFonts w:ascii="宋体" w:hAnsi="宋体" w:cs="宋体" w:eastAsia="宋体"/>
                      <w:sz w:val="24"/>
                    </w:rPr>
                    <w:t>PO</w:t>
                  </w:r>
                  <w:r>
                    <w:rPr>
                      <w:rFonts w:ascii="宋体" w:hAnsi="宋体" w:cs="宋体" w:eastAsia="宋体"/>
                      <w:sz w:val="24"/>
                      <w:vertAlign w:val="subscript"/>
                    </w:rPr>
                    <w:t>2</w:t>
                  </w:r>
                  <w:r>
                    <w:rPr>
                      <w:rFonts w:ascii="微软雅黑" w:hAnsi="微软雅黑" w:cs="微软雅黑" w:eastAsia="微软雅黑"/>
                      <w:sz w:val="24"/>
                    </w:rPr>
                    <w:t>、</w:t>
                  </w:r>
                  <w:r>
                    <w:rPr>
                      <w:rFonts w:ascii="宋体" w:hAnsi="宋体" w:cs="宋体" w:eastAsia="宋体"/>
                      <w:sz w:val="24"/>
                    </w:rPr>
                    <w:t>Hct</w:t>
                  </w:r>
                  <w:r>
                    <w:rPr>
                      <w:rFonts w:ascii="微软雅黑" w:hAnsi="微软雅黑" w:cs="微软雅黑" w:eastAsia="微软雅黑"/>
                      <w:sz w:val="24"/>
                    </w:rPr>
                    <w:t>、</w:t>
                  </w:r>
                  <w:r>
                    <w:rPr>
                      <w:rFonts w:ascii="宋体" w:hAnsi="宋体" w:cs="宋体" w:eastAsia="宋体"/>
                      <w:sz w:val="24"/>
                    </w:rPr>
                    <w:t>Na</w:t>
                  </w:r>
                  <w:r>
                    <w:rPr>
                      <w:rFonts w:ascii="微软雅黑" w:hAnsi="微软雅黑" w:cs="微软雅黑" w:eastAsia="微软雅黑"/>
                      <w:sz w:val="24"/>
                    </w:rPr>
                    <w:t>、</w:t>
                  </w:r>
                  <w:r>
                    <w:rPr>
                      <w:rFonts w:ascii="宋体" w:hAnsi="宋体" w:cs="宋体" w:eastAsia="宋体"/>
                      <w:sz w:val="24"/>
                    </w:rPr>
                    <w:t>K</w:t>
                  </w:r>
                  <w:r>
                    <w:rPr>
                      <w:rFonts w:ascii="微软雅黑" w:hAnsi="微软雅黑" w:cs="微软雅黑" w:eastAsia="微软雅黑"/>
                      <w:sz w:val="24"/>
                    </w:rPr>
                    <w:t>、</w:t>
                  </w:r>
                  <w:r>
                    <w:rPr>
                      <w:rFonts w:ascii="宋体" w:hAnsi="宋体" w:cs="宋体" w:eastAsia="宋体"/>
                      <w:sz w:val="24"/>
                    </w:rPr>
                    <w:t>Cl</w:t>
                  </w:r>
                  <w:r>
                    <w:rPr>
                      <w:rFonts w:ascii="微软雅黑" w:hAnsi="微软雅黑" w:cs="微软雅黑" w:eastAsia="微软雅黑"/>
                      <w:sz w:val="24"/>
                    </w:rPr>
                    <w:t>、</w:t>
                  </w:r>
                  <w:r>
                    <w:rPr>
                      <w:rFonts w:ascii="宋体" w:hAnsi="宋体" w:cs="宋体" w:eastAsia="宋体"/>
                      <w:sz w:val="24"/>
                    </w:rPr>
                    <w:t>iCa</w:t>
                  </w:r>
                  <w:r>
                    <w:rPr>
                      <w:rFonts w:ascii="微软雅黑" w:hAnsi="微软雅黑" w:cs="微软雅黑" w:eastAsia="微软雅黑"/>
                      <w:sz w:val="24"/>
                    </w:rPr>
                    <w:t>、</w:t>
                  </w:r>
                  <w:r>
                    <w:rPr>
                      <w:rFonts w:ascii="宋体" w:hAnsi="宋体" w:cs="宋体" w:eastAsia="宋体"/>
                      <w:sz w:val="24"/>
                    </w:rPr>
                    <w:t>Glu</w:t>
                  </w:r>
                  <w:r>
                    <w:rPr>
                      <w:rFonts w:ascii="微软雅黑" w:hAnsi="微软雅黑" w:cs="微软雅黑" w:eastAsia="微软雅黑"/>
                      <w:sz w:val="24"/>
                    </w:rPr>
                    <w:t>、</w:t>
                  </w:r>
                  <w:r>
                    <w:rPr>
                      <w:rFonts w:ascii="宋体" w:hAnsi="宋体" w:cs="宋体" w:eastAsia="宋体"/>
                      <w:sz w:val="24"/>
                    </w:rPr>
                    <w:t>Lac</w:t>
                  </w:r>
                  <w:r>
                    <w:rPr>
                      <w:rFonts w:ascii="宋体" w:hAnsi="宋体" w:cs="宋体" w:eastAsia="宋体"/>
                      <w:sz w:val="24"/>
                    </w:rPr>
                    <w:t>；</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2.3.2</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480"/>
                    <w:jc w:val="both"/>
                  </w:pPr>
                  <w:r>
                    <w:rPr>
                      <w:rFonts w:ascii="宋体" w:hAnsi="宋体" w:cs="宋体" w:eastAsia="宋体"/>
                      <w:sz w:val="24"/>
                    </w:rPr>
                    <w:t>计算</w:t>
                  </w:r>
                  <w:r>
                    <w:rPr>
                      <w:rFonts w:ascii="宋体" w:hAnsi="宋体" w:cs="宋体" w:eastAsia="宋体"/>
                      <w:sz w:val="24"/>
                    </w:rPr>
                    <w:t>参数：</w:t>
                  </w:r>
                  <w:r>
                    <w:rPr>
                      <w:rFonts w:ascii="宋体" w:hAnsi="宋体" w:cs="宋体" w:eastAsia="宋体"/>
                      <w:sz w:val="24"/>
                    </w:rPr>
                    <w:t>SO2%, HCO3, TCO</w:t>
                  </w:r>
                  <w:r>
                    <w:rPr>
                      <w:rFonts w:ascii="宋体" w:hAnsi="宋体" w:cs="宋体" w:eastAsia="宋体"/>
                      <w:sz w:val="24"/>
                      <w:vertAlign w:val="subscript"/>
                    </w:rPr>
                    <w:t>2</w:t>
                  </w:r>
                  <w:r>
                    <w:rPr>
                      <w:rFonts w:ascii="宋体" w:hAnsi="宋体" w:cs="宋体" w:eastAsia="宋体"/>
                      <w:sz w:val="24"/>
                    </w:rPr>
                    <w:t>, Be-efc, Be-b, SBC,0</w:t>
                  </w:r>
                  <w:r>
                    <w:rPr>
                      <w:rFonts w:ascii="宋体" w:hAnsi="宋体" w:cs="宋体" w:eastAsia="宋体"/>
                      <w:sz w:val="24"/>
                      <w:vertAlign w:val="subscript"/>
                    </w:rPr>
                    <w:t>2</w:t>
                  </w:r>
                  <w:r>
                    <w:rPr>
                      <w:rFonts w:ascii="宋体" w:hAnsi="宋体" w:cs="宋体" w:eastAsia="宋体"/>
                      <w:sz w:val="24"/>
                    </w:rPr>
                    <w:t>Ct, 0</w:t>
                  </w:r>
                  <w:r>
                    <w:rPr>
                      <w:rFonts w:ascii="宋体" w:hAnsi="宋体" w:cs="宋体" w:eastAsia="宋体"/>
                      <w:sz w:val="24"/>
                      <w:vertAlign w:val="subscript"/>
                    </w:rPr>
                    <w:t>2</w:t>
                  </w:r>
                  <w:r>
                    <w:rPr>
                      <w:rFonts w:ascii="宋体" w:hAnsi="宋体" w:cs="宋体" w:eastAsia="宋体"/>
                      <w:sz w:val="24"/>
                    </w:rPr>
                    <w:t>Cap, AaDO</w:t>
                  </w:r>
                  <w:r>
                    <w:rPr>
                      <w:rFonts w:ascii="宋体" w:hAnsi="宋体" w:cs="宋体" w:eastAsia="宋体"/>
                      <w:sz w:val="24"/>
                      <w:vertAlign w:val="subscript"/>
                    </w:rPr>
                    <w:t>2</w:t>
                  </w:r>
                  <w:r>
                    <w:rPr>
                      <w:rFonts w:ascii="宋体" w:hAnsi="宋体" w:cs="宋体" w:eastAsia="宋体"/>
                      <w:sz w:val="24"/>
                    </w:rPr>
                    <w:t>, a/A, RI, PO</w:t>
                  </w:r>
                  <w:r>
                    <w:rPr>
                      <w:rFonts w:ascii="宋体" w:hAnsi="宋体" w:cs="宋体" w:eastAsia="宋体"/>
                      <w:sz w:val="24"/>
                      <w:vertAlign w:val="subscript"/>
                    </w:rPr>
                    <w:t>2</w:t>
                  </w:r>
                  <w:r>
                    <w:rPr>
                      <w:rFonts w:ascii="宋体" w:hAnsi="宋体" w:cs="宋体" w:eastAsia="宋体"/>
                      <w:sz w:val="24"/>
                    </w:rPr>
                    <w:t>/FIO</w:t>
                  </w:r>
                  <w:r>
                    <w:rPr>
                      <w:rFonts w:ascii="宋体" w:hAnsi="宋体" w:cs="宋体" w:eastAsia="宋体"/>
                      <w:sz w:val="24"/>
                      <w:vertAlign w:val="subscript"/>
                    </w:rPr>
                    <w:t>2</w:t>
                  </w:r>
                  <w:r>
                    <w:rPr>
                      <w:rFonts w:ascii="宋体" w:hAnsi="宋体" w:cs="宋体" w:eastAsia="宋体"/>
                      <w:sz w:val="24"/>
                    </w:rPr>
                    <w:t>,Anion Gap</w:t>
                  </w:r>
                  <w:r>
                    <w:rPr>
                      <w:rFonts w:ascii="微软雅黑" w:hAnsi="微软雅黑" w:cs="微软雅黑" w:eastAsia="微软雅黑"/>
                      <w:sz w:val="24"/>
                    </w:rPr>
                    <w:t>，</w:t>
                  </w:r>
                  <w:r>
                    <w:rPr>
                      <w:rFonts w:ascii="宋体" w:hAnsi="宋体" w:cs="宋体" w:eastAsia="宋体"/>
                      <w:sz w:val="24"/>
                    </w:rPr>
                    <w:t>Hb等；</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2.3.3</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主要测量参数的范围及精度</w:t>
                  </w:r>
                  <w:r>
                    <w:rPr>
                      <w:rFonts w:ascii="宋体" w:hAnsi="宋体" w:cs="宋体" w:eastAsia="宋体"/>
                      <w:sz w:val="24"/>
                    </w:rPr>
                    <w:t>:</w:t>
                  </w:r>
                </w:p>
                <w:p>
                  <w:pPr>
                    <w:pStyle w:val="null3"/>
                    <w:ind w:firstLine="240"/>
                    <w:jc w:val="both"/>
                  </w:pPr>
                  <w:r>
                    <w:rPr>
                      <w:rFonts w:ascii="宋体" w:hAnsi="宋体" w:cs="宋体" w:eastAsia="宋体"/>
                      <w:sz w:val="24"/>
                    </w:rPr>
                    <w:t>PH:6.5-8.0</w:t>
                  </w:r>
                </w:p>
                <w:p>
                  <w:pPr>
                    <w:pStyle w:val="null3"/>
                    <w:ind w:firstLine="240"/>
                    <w:jc w:val="both"/>
                  </w:pPr>
                  <w:r>
                    <w:rPr>
                      <w:rFonts w:ascii="宋体" w:hAnsi="宋体" w:cs="宋体" w:eastAsia="宋体"/>
                      <w:sz w:val="24"/>
                    </w:rPr>
                    <w:t>PCO2：3.0-200mmHg（0.4-26.7kPa）</w:t>
                  </w:r>
                </w:p>
                <w:p>
                  <w:pPr>
                    <w:pStyle w:val="null3"/>
                    <w:ind w:firstLine="240"/>
                    <w:jc w:val="both"/>
                  </w:pPr>
                  <w:r>
                    <w:rPr>
                      <w:rFonts w:ascii="宋体" w:hAnsi="宋体" w:cs="宋体" w:eastAsia="宋体"/>
                      <w:sz w:val="24"/>
                    </w:rPr>
                    <w:t>PO2:5-765mmHg（0.66-102kPa）；</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2.3.4</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样本量</w:t>
                  </w:r>
                  <w:r>
                    <w:rPr>
                      <w:rFonts w:ascii="宋体" w:hAnsi="宋体" w:cs="宋体" w:eastAsia="宋体"/>
                      <w:sz w:val="24"/>
                    </w:rPr>
                    <w:t>:全参数≤100uL；</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2.3.5</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检测速度：每份标本测试时间</w:t>
                  </w:r>
                  <w:r>
                    <w:rPr>
                      <w:rFonts w:ascii="宋体" w:hAnsi="宋体" w:cs="宋体" w:eastAsia="宋体"/>
                      <w:sz w:val="24"/>
                    </w:rPr>
                    <w:t>≤100秒；</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2.3.6</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质控要求：可选择自动及手动模式，有全自动独立液体内质控系统质量控制统计数据和报告自动维护；</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2.4</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1"/>
                    <w:jc w:val="both"/>
                  </w:pPr>
                  <w:r>
                    <w:rPr>
                      <w:rFonts w:ascii="宋体" w:hAnsi="宋体" w:cs="宋体" w:eastAsia="宋体"/>
                      <w:b/>
                      <w:sz w:val="24"/>
                    </w:rPr>
                    <w:t>医用空氧混合器</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2.4.1</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无需外接电源</w:t>
                  </w:r>
                  <w:r>
                    <w:rPr>
                      <w:rFonts w:ascii="宋体" w:hAnsi="宋体" w:cs="宋体" w:eastAsia="宋体"/>
                      <w:sz w:val="24"/>
                    </w:rPr>
                    <w:t>,机械操作，氧浓度、流量分开调节，互不影响；</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2.4.2</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流量范围：</w:t>
                  </w:r>
                  <w:r>
                    <w:rPr>
                      <w:rFonts w:ascii="宋体" w:hAnsi="宋体" w:cs="宋体" w:eastAsia="宋体"/>
                      <w:sz w:val="24"/>
                    </w:rPr>
                    <w:t>0-1</w:t>
                  </w:r>
                  <w:r>
                    <w:rPr>
                      <w:rFonts w:ascii="宋体" w:hAnsi="宋体" w:cs="宋体" w:eastAsia="宋体"/>
                      <w:sz w:val="24"/>
                    </w:rPr>
                    <w:t>0</w:t>
                  </w:r>
                  <w:r>
                    <w:rPr>
                      <w:rFonts w:ascii="宋体" w:hAnsi="宋体" w:cs="宋体" w:eastAsia="宋体"/>
                      <w:sz w:val="24"/>
                    </w:rPr>
                    <w:t>L/min 、气源压力范围： 0.</w:t>
                  </w:r>
                  <w:r>
                    <w:rPr>
                      <w:rFonts w:ascii="宋体" w:hAnsi="宋体" w:cs="宋体" w:eastAsia="宋体"/>
                      <w:sz w:val="24"/>
                    </w:rPr>
                    <w:t>3</w:t>
                  </w:r>
                  <w:r>
                    <w:rPr>
                      <w:rFonts w:ascii="宋体" w:hAnsi="宋体" w:cs="宋体" w:eastAsia="宋体"/>
                      <w:sz w:val="24"/>
                    </w:rPr>
                    <w:t>-0.4MPa；</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2.4.3</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显示参数：氧浓度：</w:t>
                  </w:r>
                  <w:r>
                    <w:rPr>
                      <w:rFonts w:ascii="宋体" w:hAnsi="宋体" w:cs="宋体" w:eastAsia="宋体"/>
                      <w:sz w:val="24"/>
                    </w:rPr>
                    <w:t>21-100% ；</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2.4.4</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具有气源压差声音报警功能；</w:t>
                  </w:r>
                </w:p>
              </w:tc>
            </w:tr>
            <w:tr>
              <w:tc>
                <w:tcPr>
                  <w:tcW w:type="dxa" w:w="1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1"/>
                    </w:rPr>
                    <w:t>2.4.5</w:t>
                  </w:r>
                </w:p>
              </w:tc>
              <w:tc>
                <w:tcPr>
                  <w:tcW w:type="dxa" w:w="205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ind w:firstLine="240"/>
                    <w:jc w:val="both"/>
                  </w:pPr>
                  <w:r>
                    <w:rPr>
                      <w:rFonts w:ascii="宋体" w:hAnsi="宋体" w:cs="宋体" w:eastAsia="宋体"/>
                      <w:sz w:val="24"/>
                    </w:rPr>
                    <w:t>空气源、氧气源压力差声音提示：压力差</w:t>
                  </w:r>
                  <w:r>
                    <w:rPr>
                      <w:rFonts w:ascii="宋体" w:hAnsi="宋体" w:cs="宋体" w:eastAsia="宋体"/>
                      <w:sz w:val="24"/>
                    </w:rPr>
                    <w:t>≥</w:t>
                  </w:r>
                  <w:r>
                    <w:rPr>
                      <w:rFonts w:ascii="宋体" w:hAnsi="宋体" w:cs="宋体" w:eastAsia="宋体"/>
                      <w:sz w:val="24"/>
                    </w:rPr>
                    <w:t>0.1MPa</w:t>
                  </w:r>
                  <w:r>
                    <w:rPr>
                      <w:rFonts w:ascii="微软雅黑" w:hAnsi="微软雅黑" w:cs="微软雅黑" w:eastAsia="微软雅黑"/>
                      <w:sz w:val="21"/>
                    </w:rPr>
                    <w:t>。</w:t>
                  </w: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 90 天内到货，并完成安装、调试、培训、验收</w:t>
      </w:r>
    </w:p>
    <w:p>
      <w:pPr>
        <w:pStyle w:val="null3"/>
        <w:outlineLvl w:val="3"/>
      </w:pPr>
      <w:r>
        <w:rPr>
          <w:b/>
          <w:sz w:val="24"/>
        </w:rPr>
        <w:t>3.4.2交货地点</w:t>
      </w:r>
    </w:p>
    <w:p>
      <w:pPr>
        <w:pStyle w:val="null3"/>
      </w:pPr>
      <w:r>
        <w:rPr/>
        <w:t>采购包1：</w:t>
      </w:r>
    </w:p>
    <w:p>
      <w:pPr>
        <w:pStyle w:val="null3"/>
      </w:pPr>
      <w:r>
        <w:rPr/>
        <w:t xml:space="preserve"> 西安医学院第二附属医院指定地点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验收合格后十三个月内</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（一）乙方提供的设备要求：自出厂日期当月起2年内的全新设备。 （二）货物到达甲方指定地点后，甲方根据合同要求，进行外观验收，确认规格、型号和数量。甲乙双方须在约定的时间和地点共同开箱检验。 （三）货物安装、调试并正常运行后，由乙方进行自检，合格后能够正常使用时通知甲方。 （四）甲方确认乙方的自检内容后，进行最终验收，验收合格后，填写验收单作为对货物的最终认可。 （五）乙方向甲方提交货物实施过程中的所有资料，以便甲方日后管理和维护。 （六）若合同设备外箱包装受损、包装箱件数不符、设备有质量或技术问题，乙方应按照甲方要求，采取补足、更换或退货处理措施，并承担由此发生的一切损失和费用。 （七）验收依据：合同正文、合同附件、招标文件、投标文件。</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（一）自验收合格之日起，原厂质保 5年。设备终身维修，软件终身免费使用及升级，提供永久的技术咨询、服务和备品备件。 （二）保修期内若主要配件故障，更换后配件的保修期从更换之日起重新计算。 （三）保修期内设备每年开机率≥95%（每年按365天计算），若保修期内年开机率未达到95%，每延误1天，保修期顺延5天。 （四）保修期过后只收取配件费用，免服务费。 （五）维修响应时间：乙方接到故障报告后在 2小时内响应， 4时内到达现场，提供备用机。 （六）乙方对甲方购买的设备至少每半年进行一次免费维护保养，并提供维护保养记录。</w:t>
      </w:r>
    </w:p>
    <w:p>
      <w:pPr>
        <w:pStyle w:val="null3"/>
        <w:outlineLvl w:val="3"/>
      </w:pPr>
      <w:r>
        <w:rPr>
          <w:b/>
          <w:sz w:val="24"/>
        </w:rPr>
        <w:t>3.4.8违约责任与解决争议的方法</w:t>
      </w:r>
    </w:p>
    <w:p>
      <w:pPr>
        <w:pStyle w:val="null3"/>
      </w:pPr>
      <w:r>
        <w:rPr/>
        <w:t>采购包1：</w:t>
      </w:r>
    </w:p>
    <w:p>
      <w:pPr>
        <w:pStyle w:val="null3"/>
      </w:pPr>
      <w:r>
        <w:rPr/>
        <w:t xml:space="preserve"> 违约责任:（一）按《政府采购法》、《民法典》中的相关条款执行。 （二）乙方逾期交货，每逾期一天应支付合同总额0.5%的违约金，直至交货为止。逾期交货超过20天，甲方有权终止合同。 （三）未按合同要求提供货物或质量不能满足要求，乙方必须无条件更换，提高技术，完善质量，否则，甲方有权终止合同。; 解决争议的方法:本合同在履行过程中发生的争议，由甲、乙双方当事人协商解决，协商不成的提交甲方所在地人民法院起诉。</w:t>
      </w:r>
    </w:p>
    <w:p>
      <w:pPr>
        <w:pStyle w:val="null3"/>
        <w:jc w:val="left"/>
        <w:outlineLvl w:val="2"/>
      </w:pPr>
      <w:r>
        <w:rPr>
          <w:b/>
          <w:sz w:val="28"/>
        </w:rPr>
        <w:t>3.5其他要求</w:t>
      </w:r>
    </w:p>
    <w:p>
      <w:pPr>
        <w:pStyle w:val="null3"/>
      </w:pPr>
      <w:r>
        <w:rPr/>
        <w:t>无</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应具有独立承担民事责任的能力且具备向采购人提供相关货物的企业法人、事业法人、其他组织,企业法人应提供合法有效的营业执照等证明文件，事业法人应提供合法有效的事业单位法人证等证明文件，其他组织应提供合法有效的证明文件（扫描件或复印件加盖供应商公章）；2. 法定代表人/负责人直接参加投标的，须递交《法定代表人/负责人身份证明书》和身份证；法定代表人/负责人授权代表参加投标的，须递交《法定代表人/负责人授权委托书》及授权代表身份证；3. 具有依法缴纳税收和社会保障资金的良好记录（提供开标前12个月内任一月份的社保和缴纳税收的证明，依法不需要缴纳社会保障资金、免税或无须缴纳税款的供应商，应提供相关证明文件)；4. 参加政府采购活动前 3 年内在经营活动中没有重大违法记录的书面声明（格式详见附件）。同时提供满足政府采购法第二十二条规定的承诺函，供应商需在项目电子化交易系统中按要求填写《投标函》完成承诺并进行电子签章。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提供会计师事务所出具的完整的2022年度审计报告（成立时间至提交响应文件截止时间不足一年的可提供成立后任意时段的资产负债表），或提交自2023年1月1日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t>开标一览表 产品技术参数表 投标函 中小企业声明函 残疾人福利性单位声明函 商务应答表 标的清单 投标文件封面 投标人应提交的相关资格证明材料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开标一览表 产品技术参数表 投标函 残疾人福利性单位声明函 商务应答表 标的清单 监狱企业的证明文件 投标人应提交的相关资格证明材料</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投标人资格要求</w:t>
            </w:r>
          </w:p>
        </w:tc>
        <w:tc>
          <w:tcPr>
            <w:tcW w:type="dxa" w:w="3322"/>
          </w:tcPr>
          <w:p>
            <w:pPr>
              <w:pStyle w:val="null3"/>
            </w:pPr>
            <w:r>
              <w:rPr/>
              <w:t>投标人为代理商的应出具医疗器械经营许可证（或医疗器械经营备案凭证）和制造厂商的医疗器械生产许可证（或医疗器械生产备案凭证）；投标人为生产厂商的应出具医疗器械生产许可证（或医疗器械生产备案凭证）。进口产品不需提供医疗器械生产许可证。</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2</w:t>
            </w:r>
          </w:p>
        </w:tc>
        <w:tc>
          <w:tcPr>
            <w:tcW w:type="dxa" w:w="2492"/>
          </w:tcPr>
          <w:p>
            <w:pPr>
              <w:pStyle w:val="null3"/>
            </w:pPr>
            <w:r>
              <w:rPr/>
              <w:t>投标人资格要求</w:t>
            </w:r>
          </w:p>
        </w:tc>
        <w:tc>
          <w:tcPr>
            <w:tcW w:type="dxa" w:w="3322"/>
          </w:tcPr>
          <w:p>
            <w:pPr>
              <w:pStyle w:val="null3"/>
            </w:pPr>
            <w:r>
              <w:rPr/>
              <w:t>所投产品应出具医疗器械注册证或医疗器械备案凭证；</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投标人资格要求（进口产品填写）</w:t>
            </w:r>
          </w:p>
        </w:tc>
        <w:tc>
          <w:tcPr>
            <w:tcW w:type="dxa" w:w="3322"/>
          </w:tcPr>
          <w:p>
            <w:pPr>
              <w:pStyle w:val="null3"/>
            </w:pPr>
            <w:r>
              <w:rPr/>
              <w:t>提供所投进口产品的厂家授权书或总代理商授权书（厂家直投不需提供授权书）。注：如提供总代理商授权书的须同时提供该总代理商具有有效授权权限的相关证明文件，证明文件需能显示产品制造厂家对所投产品授权链条的完整性。</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投标人信用要求</w:t>
            </w:r>
          </w:p>
        </w:tc>
        <w:tc>
          <w:tcPr>
            <w:tcW w:type="dxa" w:w="3322"/>
          </w:tcPr>
          <w:p>
            <w:pPr>
              <w:pStyle w:val="null3"/>
            </w:pPr>
            <w:r>
              <w:rPr/>
              <w:t>截止至投标文件递交截止时间之前，投标人不得在“信用中国”网站（www.creditchina.gov.cn）中被列入严重失信z主体名单查询、未在“中国执行信息公开网”（http：/zxgk.court.gov.cn/shixin/）中被列入失信被执行人、“中国政府采购网(www.ccgp.gov.cn)” 不得被列入政府采购严重违法失信行为记录名单；</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价格</w:t>
            </w:r>
          </w:p>
        </w:tc>
        <w:tc>
          <w:tcPr>
            <w:tcW w:type="dxa" w:w="2492"/>
          </w:tcPr>
          <w:p>
            <w:pPr>
              <w:pStyle w:val="null3"/>
            </w:pPr>
            <w:r>
              <w:rPr/>
              <w:t>在预算限额之内满足招标文件要求且投标价格最低的投标报价为评标基准价，其价格分为满分。高于评标基准价的投标供应商的价格分按照下列公式计算：投标报价得分=（评标基准价/投标报价）×价格权值×100（注：评标小组认为投标人的报价明显低于其他通过符合性审查投标人的报价，有可能影响产品质量或者不能诚信履约的，应当要求其在评审现场合理的时间内提供书面说明，必要时提交相关证明材料；投标人不能证明其报价合理性的，评标小组应当将其作为无效响应处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产品技术指标评审</w:t>
            </w:r>
          </w:p>
        </w:tc>
        <w:tc>
          <w:tcPr>
            <w:tcW w:type="dxa" w:w="2492"/>
          </w:tcPr>
          <w:p>
            <w:pPr>
              <w:pStyle w:val="null3"/>
            </w:pPr>
            <w:r>
              <w:rPr/>
              <w:t>1、投标产品的技术指标和性能完全满足招标文件要求计30分。一般指标不满足，每条扣1分. 应逐条对应技术参数进行应答，并提供充足的佐证材料（包括但不限于检验报告、产品彩页、产品说明书、官网功能截图等），予以证明参数的技术响应性,不提供不得分。(其中标注“▲”的为重要参数，每一项负偏离扣3分；其他每一项负偏离扣1分，扣完为止。)</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产品选型、功能配置等</w:t>
            </w:r>
          </w:p>
        </w:tc>
        <w:tc>
          <w:tcPr>
            <w:tcW w:type="dxa" w:w="2492"/>
          </w:tcPr>
          <w:p>
            <w:pPr>
              <w:pStyle w:val="null3"/>
            </w:pPr>
            <w:r>
              <w:rPr/>
              <w:t>1、所响应产品选型合理、配置齐全，整体功能完备且满足使用要求、提供了响应产品技术支持文件（提供生产厂家确认的、相应的功能证明材料），有“详细的生产厂家及产地配置清单”，根据响应情况得（8-10]分。 2、所响应产品选型较为合理，配置较齐全，整体功能基本满足使用要求、提供了响应产品技术支持文件（提供生产厂家确认的、相应的功能证明材料），有“详细的生产厂家及产地配置清单”，根据响应情况得（3-8]分。 3、选型配置差，产品功能较难满足招标文件要求得（0～3]分。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履约能力</w:t>
            </w:r>
          </w:p>
        </w:tc>
        <w:tc>
          <w:tcPr>
            <w:tcW w:type="dxa" w:w="2492"/>
          </w:tcPr>
          <w:p>
            <w:pPr>
              <w:pStyle w:val="null3"/>
            </w:pPr>
            <w:r>
              <w:rPr/>
              <w:t>（1）产品货源渠道正规，确保产品无假货、水货、翻新货且无产权纠纷，提供所投主要产品的合法来源渠道证明文件（包括但不限于产品授权书、销售协议等）和原厂售后支持服务证明，根据来源的完整性、可靠性、合法性等响应程度计0-2分。未提供来源渠道证明文件的不计分。 （2）项目实施安排合理，供应商针对本次采购任务有具体的供货组织安排，详细的人员、财力调配、运输、与采购人的配合度等方案说明。专家根据资料提供情况，按照方案的合理性、可行性、时效性等计0-7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提供所投同类产品2020年 月1日至今同类项目的业绩合同，每提供一份计2分，满分10分。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售后服务及培训</w:t>
            </w:r>
          </w:p>
        </w:tc>
        <w:tc>
          <w:tcPr>
            <w:tcW w:type="dxa" w:w="2492"/>
          </w:tcPr>
          <w:p>
            <w:pPr>
              <w:pStyle w:val="null3"/>
            </w:pPr>
            <w:r>
              <w:rPr/>
              <w:t>（1）具有完善的售后服务保障体系，本地化服务能力, 人员配置、以及备品、备件供应计划，设备（产品）发生故障后的补救措施等方面，具有明确的承诺且符合实际需求。提供售后方案的同时，须提供相关的佐证材料，如与生产厂商签订的质保合同或原厂质保承诺书等。计0-5分。 （2）免费为使用单位培训操作维护人员，制定完善的技术培训方案和措施（包括培训计划、时间、地点、培训人数等），培训内容有层次，培训方式合理，能保证使用单位熟练操作、维护和正常使用等，根据方案和措施的完整性、合理性、先进性等计0-5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节能环保产品</w:t>
            </w:r>
          </w:p>
        </w:tc>
        <w:tc>
          <w:tcPr>
            <w:tcW w:type="dxa" w:w="2492"/>
          </w:tcPr>
          <w:p>
            <w:pPr>
              <w:pStyle w:val="null3"/>
            </w:pPr>
            <w:r>
              <w:rPr/>
              <w:t>1、所投设备为节能产品（以《节能产品政府采购清单》为准），并提供相应证明，评标委员会综合评审得0-0.5分。2、所投设备为环保产品（以《环境标志产品政府采购清单》为准），并提供相应证明，评标委员会综合评审得0-0.5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pPr>
      <w:r>
        <w:rPr/>
        <w:t xml:space="preserve"> </w:t>
      </w:r>
    </w:p>
    <w:p>
      <w:pPr>
        <w:pStyle w:val="null3"/>
        <w:jc w:val="center"/>
        <w:outlineLvl w:val="1"/>
      </w:pPr>
      <w:r>
        <w:rPr>
          <w:b/>
          <w:sz w:val="36"/>
        </w:rPr>
        <w:t>第七章 拟签订合同文本</w:t>
      </w:r>
    </w:p>
    <w:p>
      <w:pPr>
        <w:pStyle w:val="null3"/>
      </w:pPr>
      <w:r>
        <w:rPr/>
        <w:t>详见附件：合同模板参考.docx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