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rPr>
          <w:rFonts w:hint="default" w:ascii="Times New Roman" w:hAnsi="Times New Roman" w:cs="Times New Roman"/>
        </w:rPr>
      </w:pPr>
      <w:bookmarkStart w:id="0" w:name="_Toc11770"/>
      <w:r>
        <w:rPr>
          <w:rFonts w:hint="default" w:ascii="Times New Roman" w:hAnsi="Times New Roman" w:cs="Times New Roman"/>
        </w:rPr>
        <w:t>一、项目总体情况</w:t>
      </w:r>
      <w:bookmarkEnd w:id="0"/>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（一）项目名称：</w:t>
      </w:r>
      <w:r>
        <w:rPr>
          <w:rStyle w:val="60"/>
          <w:rFonts w:hint="default" w:ascii="Times New Roman" w:hAnsi="Times New Roman" w:cs="Times New Roman"/>
          <w:sz w:val="21"/>
          <w:szCs w:val="21"/>
          <w:u w:val="single"/>
        </w:rPr>
        <w:t xml:space="preserve"> 陕西省工业和信息化厅“数字工信”建设项目一期    </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（二）项目所属年度：</w:t>
      </w:r>
      <w:r>
        <w:rPr>
          <w:rStyle w:val="60"/>
          <w:rFonts w:hint="default" w:ascii="Times New Roman" w:hAnsi="Times New Roman" w:cs="Times New Roman"/>
          <w:sz w:val="21"/>
          <w:szCs w:val="21"/>
          <w:u w:val="single"/>
        </w:rPr>
        <w:t xml:space="preserve">    2023年    </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（三）项目所属分类：</w:t>
      </w:r>
      <w:r>
        <w:rPr>
          <w:rStyle w:val="60"/>
          <w:rFonts w:hint="default" w:ascii="Times New Roman" w:hAnsi="Times New Roman" w:cs="Times New Roman"/>
          <w:sz w:val="21"/>
          <w:szCs w:val="21"/>
          <w:u w:val="single"/>
        </w:rPr>
        <w:t xml:space="preserve"> 政务服务 </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（四）预算金额（元）：</w:t>
      </w:r>
      <w:r>
        <w:rPr>
          <w:rStyle w:val="60"/>
          <w:rFonts w:hint="default" w:ascii="Times New Roman" w:hAnsi="Times New Roman" w:cs="Times New Roman"/>
          <w:sz w:val="21"/>
          <w:szCs w:val="21"/>
          <w:u w:val="single"/>
        </w:rPr>
        <w:t xml:space="preserve">9696100 </w:t>
      </w:r>
      <w:r>
        <w:rPr>
          <w:rFonts w:hint="default" w:ascii="Times New Roman" w:hAnsi="Times New Roman" w:cs="Times New Roman"/>
          <w:sz w:val="21"/>
          <w:szCs w:val="21"/>
        </w:rPr>
        <w:t>元 ，大写（人民币）：</w:t>
      </w:r>
      <w:r>
        <w:rPr>
          <w:rStyle w:val="60"/>
          <w:rFonts w:hint="default" w:ascii="Times New Roman" w:hAnsi="Times New Roman" w:cs="Times New Roman"/>
          <w:sz w:val="21"/>
          <w:szCs w:val="21"/>
          <w:u w:val="single"/>
        </w:rPr>
        <w:t xml:space="preserve">玖佰陆拾玖万陆仟壹佰元整  </w:t>
      </w:r>
      <w:r>
        <w:rPr>
          <w:rFonts w:hint="default" w:ascii="Times New Roman" w:hAnsi="Times New Roman" w:cs="Times New Roman"/>
          <w:sz w:val="21"/>
          <w:szCs w:val="21"/>
        </w:rPr>
        <w:t xml:space="preserve"> </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（五）项目概况：</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Style w:val="27"/>
          <w:rFonts w:hint="default" w:ascii="Times New Roman" w:hAnsi="Times New Roman" w:cs="Times New Roman"/>
          <w:sz w:val="21"/>
          <w:szCs w:val="21"/>
          <w:u w:val="single"/>
        </w:rPr>
      </w:pPr>
      <w:r>
        <w:rPr>
          <w:rStyle w:val="27"/>
          <w:rFonts w:hint="default" w:ascii="Times New Roman" w:hAnsi="Times New Roman" w:cs="Times New Roman"/>
          <w:sz w:val="21"/>
          <w:szCs w:val="21"/>
          <w:u w:val="single"/>
        </w:rPr>
        <w:t>为贯彻落实工信部《“数字工信”三年行动计划（2023—2025年）》及《陕西省数字政府建设“十四五”规划》等文件要求，</w:t>
      </w:r>
      <w:bookmarkStart w:id="1" w:name="_Hlk54080614"/>
      <w:r>
        <w:rPr>
          <w:rStyle w:val="27"/>
          <w:rFonts w:hint="default" w:ascii="Times New Roman" w:hAnsi="Times New Roman" w:cs="Times New Roman"/>
          <w:sz w:val="21"/>
          <w:szCs w:val="21"/>
          <w:u w:val="single"/>
        </w:rPr>
        <w:t>陕西省工业和信息化厅结合实际，启动陕西省工业和信息化厅“数字工信”建设项目一期建设工作。</w:t>
      </w:r>
      <w:bookmarkEnd w:id="1"/>
      <w:r>
        <w:rPr>
          <w:rStyle w:val="27"/>
          <w:rFonts w:hint="default" w:ascii="Times New Roman" w:hAnsi="Times New Roman" w:cs="Times New Roman"/>
          <w:sz w:val="21"/>
          <w:szCs w:val="21"/>
          <w:u w:val="single"/>
        </w:rPr>
        <w:t xml:space="preserve"> </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Style w:val="27"/>
          <w:rFonts w:hint="default" w:ascii="Times New Roman" w:hAnsi="Times New Roman" w:cs="Times New Roman"/>
          <w:u w:val="single"/>
        </w:rPr>
      </w:pPr>
      <w:r>
        <w:rPr>
          <w:rStyle w:val="27"/>
          <w:rFonts w:hint="default" w:ascii="Times New Roman" w:hAnsi="Times New Roman" w:cs="Times New Roman"/>
          <w:sz w:val="21"/>
          <w:szCs w:val="21"/>
          <w:u w:val="single"/>
        </w:rPr>
        <w:t>本项目分为“实施方案编制服务”、“系统建设”、“软件测评服务”、“网络安全等级保护测评服务”、“商用密码应用安全性评估服务”和“监理服务”六个标段。其中，“实施方案编制服务”负责完成项目实施方案的设计编制，“系统建设”负责项目业务系统建设、数据资源建设、标准规范建设、安全体系建设、系统改造和迁移等工作，“软件测评服务”负责完成第三方软件测评工作，“网络安全等级保护测评服务”和“商用密码应用安全性评估服务”</w:t>
      </w:r>
      <w:r>
        <w:rPr>
          <w:rStyle w:val="27"/>
          <w:rFonts w:hint="default" w:ascii="Times New Roman" w:hAnsi="Times New Roman" w:cs="Times New Roman"/>
          <w:sz w:val="21"/>
          <w:szCs w:val="21"/>
          <w:u w:val="single"/>
          <w:lang w:eastAsia="zh-CN"/>
        </w:rPr>
        <w:t>分别</w:t>
      </w:r>
      <w:r>
        <w:rPr>
          <w:rStyle w:val="27"/>
          <w:rFonts w:hint="default" w:ascii="Times New Roman" w:hAnsi="Times New Roman" w:cs="Times New Roman"/>
          <w:sz w:val="21"/>
          <w:szCs w:val="21"/>
          <w:u w:val="single"/>
        </w:rPr>
        <w:t>负责提供</w:t>
      </w:r>
      <w:r>
        <w:rPr>
          <w:rStyle w:val="27"/>
          <w:rFonts w:hint="default" w:ascii="Times New Roman" w:hAnsi="Times New Roman" w:cs="Times New Roman"/>
          <w:sz w:val="21"/>
          <w:szCs w:val="21"/>
          <w:u w:val="single"/>
          <w:lang w:eastAsia="zh-CN"/>
        </w:rPr>
        <w:t>网络</w:t>
      </w:r>
      <w:r>
        <w:rPr>
          <w:rStyle w:val="27"/>
          <w:rFonts w:hint="default" w:ascii="Times New Roman" w:hAnsi="Times New Roman" w:cs="Times New Roman"/>
          <w:sz w:val="21"/>
          <w:szCs w:val="21"/>
          <w:u w:val="single"/>
        </w:rPr>
        <w:t>安全等级保护测评及商用密码应用安全性评估</w:t>
      </w:r>
      <w:r>
        <w:rPr>
          <w:rStyle w:val="27"/>
          <w:rFonts w:hint="default" w:ascii="Times New Roman" w:hAnsi="Times New Roman" w:cs="Times New Roman"/>
          <w:sz w:val="21"/>
          <w:szCs w:val="21"/>
          <w:u w:val="single"/>
          <w:lang w:eastAsia="zh-CN"/>
        </w:rPr>
        <w:t>服务</w:t>
      </w:r>
      <w:r>
        <w:rPr>
          <w:rStyle w:val="27"/>
          <w:rFonts w:hint="default" w:ascii="Times New Roman" w:hAnsi="Times New Roman" w:cs="Times New Roman"/>
          <w:sz w:val="21"/>
          <w:szCs w:val="21"/>
          <w:u w:val="single"/>
        </w:rPr>
        <w:t>，“监理服务”依据法律、法规、技术标准、相关合同及文件对项目的实施进行全程监理，对项目的进度、质量和投资进行控制和管理。本项目六个标段均采用公开招标方式。</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default" w:ascii="Times New Roman" w:hAnsi="Times New Roman" w:cs="Times New Roman"/>
          <w:sz w:val="21"/>
          <w:szCs w:val="21"/>
          <w:u w:val="single"/>
        </w:rPr>
      </w:pPr>
      <w:r>
        <w:rPr>
          <w:rFonts w:hint="default" w:ascii="Times New Roman" w:hAnsi="Times New Roman" w:cs="Times New Roman"/>
          <w:sz w:val="21"/>
          <w:szCs w:val="21"/>
        </w:rPr>
        <w:t>（六）本项目是否有为采购项目提供整体设计、规范编制或者项目管理、监理、检测等服务的供应商：</w:t>
      </w:r>
      <w:r>
        <w:rPr>
          <w:rStyle w:val="28"/>
          <w:rFonts w:hint="default" w:ascii="Times New Roman" w:hAnsi="Times New Roman" w:cs="Times New Roman"/>
          <w:sz w:val="21"/>
          <w:szCs w:val="21"/>
          <w:u w:val="single"/>
        </w:rPr>
        <w:t xml:space="preserve"> 无 </w:t>
      </w:r>
    </w:p>
    <w:p>
      <w:pPr>
        <w:pStyle w:val="3"/>
        <w:spacing w:line="360" w:lineRule="auto"/>
        <w:rPr>
          <w:rFonts w:hint="default" w:ascii="Times New Roman" w:hAnsi="Times New Roman" w:cs="Times New Roman"/>
        </w:rPr>
      </w:pPr>
      <w:bookmarkStart w:id="2" w:name="_Toc4437"/>
      <w:r>
        <w:rPr>
          <w:rFonts w:hint="default" w:ascii="Times New Roman" w:hAnsi="Times New Roman" w:cs="Times New Roman"/>
        </w:rPr>
        <w:t>二、项目需求调查情况</w:t>
      </w:r>
      <w:bookmarkEnd w:id="2"/>
    </w:p>
    <w:p>
      <w:pPr>
        <w:pStyle w:val="62"/>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 xml:space="preserve">依据《政府采购需求管理办法》的规定，本项目 </w:t>
      </w:r>
      <w:r>
        <w:rPr>
          <w:rFonts w:hint="default" w:ascii="Times New Roman" w:hAnsi="Times New Roman" w:eastAsia="宋体" w:cs="Times New Roman"/>
          <w:szCs w:val="21"/>
          <w:u w:val="single"/>
        </w:rPr>
        <w:t xml:space="preserve">  需要  </w:t>
      </w:r>
      <w:r>
        <w:rPr>
          <w:rFonts w:hint="default" w:ascii="Times New Roman" w:hAnsi="Times New Roman" w:eastAsia="宋体" w:cs="Times New Roman"/>
          <w:szCs w:val="21"/>
        </w:rPr>
        <w:t xml:space="preserve"> 需求调查，具体情况如下：</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（一）需求调查方式</w:t>
      </w:r>
    </w:p>
    <w:p>
      <w:pPr>
        <w:pStyle w:val="62"/>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以召开需求调查座谈会、发放需求调查问卷表、实地走访调查等方式开展需求调查。</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（二）需求调查对象</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Style w:val="27"/>
          <w:rFonts w:hint="default" w:ascii="Times New Roman" w:hAnsi="Times New Roman" w:cs="Times New Roman"/>
          <w:sz w:val="21"/>
          <w:szCs w:val="21"/>
        </w:rPr>
      </w:pPr>
      <w:r>
        <w:rPr>
          <w:rStyle w:val="27"/>
          <w:rFonts w:hint="default" w:ascii="Times New Roman" w:hAnsi="Times New Roman" w:cs="Times New Roman"/>
          <w:sz w:val="21"/>
          <w:szCs w:val="21"/>
        </w:rPr>
        <w:t>依据本项目建设内容及业务范围，需求调查对象涉及陕西省工信厅法规处、人事处、产业政策处、规划处、产业链推进处（省重点产业链提升工作领导小组办公室）、非公经济发展处、信息化产业发展处、大数据产业处、招标监管处等相关处室，涉及到的外部单位有省统计局、省市场监管局、人民银行西安分行、省科技厅、省工商联等，依据业务需求需要扩大调查范围时可随时调整。</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Style w:val="27"/>
          <w:rFonts w:hint="default" w:ascii="Times New Roman" w:hAnsi="Times New Roman" w:cs="Times New Roman"/>
          <w:sz w:val="21"/>
          <w:szCs w:val="21"/>
        </w:rPr>
      </w:pPr>
      <w:r>
        <w:rPr>
          <w:rStyle w:val="27"/>
          <w:rFonts w:hint="default" w:ascii="Times New Roman" w:hAnsi="Times New Roman" w:cs="Times New Roman"/>
          <w:sz w:val="21"/>
          <w:szCs w:val="21"/>
        </w:rPr>
        <w:t>涉及的主要业务包括产业结构及上下游管理、产业链动态监测、链上工作集中管理与跟踪、链上企业综合评价、产业链招商、产业链人才管理、产业链政策宣贯、产业重点项目监管、产业链补链强链、链上企业公共服务、产业链外部数据的获取与管理、全省民营经济评价考核、制造业单项冠军企业培育、制造业产业链领航企业培育、干部民主素质测评与政治素质等业务。</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（三）需求调查结果</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2" w:firstLineChars="200"/>
        <w:textAlignment w:val="auto"/>
        <w:rPr>
          <w:rStyle w:val="27"/>
          <w:rFonts w:hint="default" w:ascii="Times New Roman" w:hAnsi="Times New Roman" w:cs="Times New Roman"/>
          <w:sz w:val="21"/>
          <w:szCs w:val="21"/>
        </w:rPr>
      </w:pPr>
      <w:r>
        <w:rPr>
          <w:rStyle w:val="27"/>
          <w:rFonts w:hint="default" w:ascii="Times New Roman" w:hAnsi="Times New Roman" w:cs="Times New Roman"/>
          <w:b/>
          <w:bCs/>
          <w:sz w:val="21"/>
          <w:szCs w:val="21"/>
        </w:rPr>
        <w:t>产业结构及上下游管理：</w:t>
      </w:r>
      <w:r>
        <w:rPr>
          <w:rStyle w:val="27"/>
          <w:rFonts w:hint="default" w:ascii="Times New Roman" w:hAnsi="Times New Roman" w:cs="Times New Roman"/>
          <w:sz w:val="21"/>
          <w:szCs w:val="21"/>
        </w:rPr>
        <w:t>目前对于产业结构及上下游的管理，各产业链的产业图谱由各产业链专班进行手工绘制，每个产业专班负责各自所负责链图谱的绘制工作及数据分析工作，每个产业图谱涵盖产业的上下游结构划分、细分行业类别、核心产品、企业数量、行业产值分布及龙头企业等数据，进而全方位呈现产业链结构、区域规划差异和发展成果等。</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2" w:firstLineChars="200"/>
        <w:textAlignment w:val="auto"/>
        <w:rPr>
          <w:rStyle w:val="27"/>
          <w:rFonts w:hint="default" w:ascii="Times New Roman" w:hAnsi="Times New Roman" w:cs="Times New Roman"/>
          <w:sz w:val="21"/>
          <w:szCs w:val="21"/>
        </w:rPr>
      </w:pPr>
      <w:bookmarkStart w:id="3" w:name="_Toc148352889"/>
      <w:bookmarkStart w:id="4" w:name="_Toc7461"/>
      <w:r>
        <w:rPr>
          <w:rStyle w:val="27"/>
          <w:rFonts w:hint="default" w:ascii="Times New Roman" w:hAnsi="Times New Roman" w:cs="Times New Roman"/>
          <w:b/>
          <w:bCs/>
          <w:sz w:val="21"/>
          <w:szCs w:val="21"/>
        </w:rPr>
        <w:t>产业链动态监测业务</w:t>
      </w:r>
      <w:bookmarkEnd w:id="3"/>
      <w:bookmarkEnd w:id="4"/>
      <w:r>
        <w:rPr>
          <w:rStyle w:val="27"/>
          <w:rFonts w:hint="default" w:ascii="Times New Roman" w:hAnsi="Times New Roman" w:cs="Times New Roman"/>
          <w:b/>
          <w:bCs/>
          <w:sz w:val="21"/>
          <w:szCs w:val="21"/>
        </w:rPr>
        <w:t>：</w:t>
      </w:r>
      <w:r>
        <w:rPr>
          <w:rStyle w:val="27"/>
          <w:rFonts w:hint="default" w:ascii="Times New Roman" w:hAnsi="Times New Roman" w:cs="Times New Roman"/>
          <w:sz w:val="21"/>
          <w:szCs w:val="21"/>
        </w:rPr>
        <w:t>产业链推进处及各产业链专班需要定期收集链上企业的基础规模数据、经营数据、产值数据等，其数据的来源主要依靠通过电话、电子表格等方式直接从链上企业处获取，有部分是通过相关统计部门获取。之后通过手动汇总分析的方式，对产业链的各个运行指标进行监测，了解产业链的发展促进现状。</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2" w:firstLineChars="200"/>
        <w:textAlignment w:val="auto"/>
        <w:rPr>
          <w:rStyle w:val="27"/>
          <w:rFonts w:hint="default" w:ascii="Times New Roman" w:hAnsi="Times New Roman" w:cs="Times New Roman"/>
          <w:sz w:val="21"/>
          <w:szCs w:val="21"/>
        </w:rPr>
      </w:pPr>
      <w:bookmarkStart w:id="5" w:name="_Toc148352890"/>
      <w:bookmarkStart w:id="6" w:name="_Toc22208"/>
      <w:r>
        <w:rPr>
          <w:rStyle w:val="27"/>
          <w:rFonts w:hint="default" w:ascii="Times New Roman" w:hAnsi="Times New Roman" w:cs="Times New Roman"/>
          <w:b/>
          <w:bCs/>
          <w:sz w:val="21"/>
          <w:szCs w:val="21"/>
        </w:rPr>
        <w:t>链上工作集中管理与跟踪业务</w:t>
      </w:r>
      <w:bookmarkEnd w:id="5"/>
      <w:bookmarkEnd w:id="6"/>
      <w:r>
        <w:rPr>
          <w:rStyle w:val="27"/>
          <w:rFonts w:hint="default" w:ascii="Times New Roman" w:hAnsi="Times New Roman" w:cs="Times New Roman"/>
          <w:b/>
          <w:bCs/>
          <w:sz w:val="21"/>
          <w:szCs w:val="21"/>
        </w:rPr>
        <w:t>：</w:t>
      </w:r>
      <w:r>
        <w:rPr>
          <w:rStyle w:val="27"/>
          <w:rFonts w:hint="default" w:ascii="Times New Roman" w:hAnsi="Times New Roman" w:cs="Times New Roman"/>
          <w:sz w:val="21"/>
          <w:szCs w:val="21"/>
        </w:rPr>
        <w:t>重点产业链各链上企业分布于我省各个地市，其直接责任部门包括陕西省工业和信息化厅、省委军民融合办、省农业农村厅、省发展改革委、省科技厅及省国资委6个不同的省级部门，因而其日常工作中存在众多的跨部门、跨层级的协调沟通场景。</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2" w:firstLineChars="200"/>
        <w:textAlignment w:val="auto"/>
        <w:rPr>
          <w:rStyle w:val="27"/>
          <w:rFonts w:hint="default" w:ascii="Times New Roman" w:hAnsi="Times New Roman" w:cs="Times New Roman"/>
          <w:sz w:val="21"/>
          <w:szCs w:val="21"/>
        </w:rPr>
      </w:pPr>
      <w:bookmarkStart w:id="7" w:name="_Toc148352891"/>
      <w:bookmarkStart w:id="8" w:name="_Toc13736"/>
      <w:r>
        <w:rPr>
          <w:rStyle w:val="27"/>
          <w:rFonts w:hint="default" w:ascii="Times New Roman" w:hAnsi="Times New Roman" w:cs="Times New Roman"/>
          <w:b/>
          <w:bCs/>
          <w:sz w:val="21"/>
          <w:szCs w:val="21"/>
        </w:rPr>
        <w:t>链上企业综合评价业务</w:t>
      </w:r>
      <w:bookmarkEnd w:id="7"/>
      <w:bookmarkEnd w:id="8"/>
      <w:r>
        <w:rPr>
          <w:rStyle w:val="27"/>
          <w:rFonts w:hint="default" w:ascii="Times New Roman" w:hAnsi="Times New Roman" w:cs="Times New Roman"/>
          <w:b/>
          <w:bCs/>
          <w:sz w:val="21"/>
          <w:szCs w:val="21"/>
        </w:rPr>
        <w:t>：</w:t>
      </w:r>
      <w:r>
        <w:rPr>
          <w:rStyle w:val="27"/>
          <w:rFonts w:hint="default" w:ascii="Times New Roman" w:hAnsi="Times New Roman" w:cs="Times New Roman"/>
          <w:sz w:val="21"/>
          <w:szCs w:val="21"/>
        </w:rPr>
        <w:t>链上企业的评价，目前以其经营数据的统计分析为主，在客观上只能反映其生产和经营能力，暂未涉及企业诉讼风险、企业创新、社会贡献等综合因素，未形成体系化的评价机制，且信息的收集和分析都是采用传统手工的方式进行，信息来源有限，工作量大。</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2" w:firstLineChars="200"/>
        <w:textAlignment w:val="auto"/>
        <w:rPr>
          <w:rStyle w:val="27"/>
          <w:rFonts w:hint="default" w:ascii="Times New Roman" w:hAnsi="Times New Roman" w:cs="Times New Roman"/>
          <w:sz w:val="21"/>
          <w:szCs w:val="21"/>
        </w:rPr>
      </w:pPr>
      <w:bookmarkStart w:id="9" w:name="_Toc148352892"/>
      <w:bookmarkStart w:id="10" w:name="_Toc2610"/>
      <w:r>
        <w:rPr>
          <w:rStyle w:val="27"/>
          <w:rFonts w:hint="default" w:ascii="Times New Roman" w:hAnsi="Times New Roman" w:cs="Times New Roman"/>
          <w:b/>
          <w:bCs/>
          <w:sz w:val="21"/>
          <w:szCs w:val="21"/>
        </w:rPr>
        <w:t>产业链招商</w:t>
      </w:r>
      <w:bookmarkEnd w:id="9"/>
      <w:bookmarkEnd w:id="10"/>
      <w:r>
        <w:rPr>
          <w:rStyle w:val="27"/>
          <w:rFonts w:hint="default" w:ascii="Times New Roman" w:hAnsi="Times New Roman" w:cs="Times New Roman"/>
          <w:b/>
          <w:bCs/>
          <w:sz w:val="21"/>
          <w:szCs w:val="21"/>
        </w:rPr>
        <w:t>：</w:t>
      </w:r>
      <w:r>
        <w:rPr>
          <w:rStyle w:val="27"/>
          <w:rFonts w:hint="default" w:ascii="Times New Roman" w:hAnsi="Times New Roman" w:cs="Times New Roman"/>
          <w:sz w:val="21"/>
          <w:szCs w:val="21"/>
        </w:rPr>
        <w:t>根据对重点产业链招商工作的调研，各产业链的招商工作目前主要由产业链专班、地方政府及产业园区三方配合完成，产业链专班提供方向和政策的引导，具体由地方政府及产业园区进行落地实施，更加依赖传统的方式和方法来进行招商活动。</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2" w:firstLineChars="200"/>
        <w:textAlignment w:val="auto"/>
        <w:rPr>
          <w:rStyle w:val="27"/>
          <w:rFonts w:hint="default" w:ascii="Times New Roman" w:hAnsi="Times New Roman" w:cs="Times New Roman"/>
          <w:sz w:val="21"/>
          <w:szCs w:val="21"/>
        </w:rPr>
      </w:pPr>
      <w:bookmarkStart w:id="11" w:name="_Toc148352893"/>
      <w:bookmarkStart w:id="12" w:name="_Toc15233"/>
      <w:r>
        <w:rPr>
          <w:rStyle w:val="27"/>
          <w:rFonts w:hint="default" w:ascii="Times New Roman" w:hAnsi="Times New Roman" w:cs="Times New Roman"/>
          <w:b/>
          <w:bCs/>
          <w:sz w:val="21"/>
          <w:szCs w:val="21"/>
        </w:rPr>
        <w:t>产业链人才管理</w:t>
      </w:r>
      <w:bookmarkEnd w:id="11"/>
      <w:bookmarkEnd w:id="12"/>
      <w:r>
        <w:rPr>
          <w:rStyle w:val="27"/>
          <w:rFonts w:hint="default" w:ascii="Times New Roman" w:hAnsi="Times New Roman" w:cs="Times New Roman"/>
          <w:b/>
          <w:bCs/>
          <w:sz w:val="21"/>
          <w:szCs w:val="21"/>
        </w:rPr>
        <w:t>：</w:t>
      </w:r>
      <w:r>
        <w:rPr>
          <w:rStyle w:val="27"/>
          <w:rFonts w:hint="default" w:ascii="Times New Roman" w:hAnsi="Times New Roman" w:cs="Times New Roman"/>
          <w:sz w:val="21"/>
          <w:szCs w:val="21"/>
        </w:rPr>
        <w:t>目前对于产业链上专有人才的管理，尚未形成体系化的管理机制，需要通过手工方式来管理产业链人才的信息，由于缺乏相应的管理方式，政府产业链人才管理部门难以有效控制人才流失。难以及时了解和掌握人才的需求和动向，也难以对人才流失进行有效的分析和预测。</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2" w:firstLineChars="200"/>
        <w:textAlignment w:val="auto"/>
        <w:rPr>
          <w:rStyle w:val="27"/>
          <w:rFonts w:hint="default" w:ascii="Times New Roman" w:hAnsi="Times New Roman" w:cs="Times New Roman"/>
          <w:sz w:val="21"/>
          <w:szCs w:val="21"/>
        </w:rPr>
      </w:pPr>
      <w:bookmarkStart w:id="13" w:name="_Toc21180"/>
      <w:bookmarkStart w:id="14" w:name="_Toc148352894"/>
      <w:r>
        <w:rPr>
          <w:rStyle w:val="27"/>
          <w:rFonts w:hint="default" w:ascii="Times New Roman" w:hAnsi="Times New Roman" w:cs="Times New Roman"/>
          <w:b/>
          <w:bCs/>
          <w:sz w:val="21"/>
          <w:szCs w:val="21"/>
        </w:rPr>
        <w:t>产业链政策宣贯</w:t>
      </w:r>
      <w:bookmarkEnd w:id="13"/>
      <w:bookmarkEnd w:id="14"/>
      <w:r>
        <w:rPr>
          <w:rStyle w:val="27"/>
          <w:rFonts w:hint="default" w:ascii="Times New Roman" w:hAnsi="Times New Roman" w:cs="Times New Roman"/>
          <w:b/>
          <w:bCs/>
          <w:sz w:val="21"/>
          <w:szCs w:val="21"/>
        </w:rPr>
        <w:t>：</w:t>
      </w:r>
      <w:r>
        <w:rPr>
          <w:rStyle w:val="27"/>
          <w:rFonts w:hint="default" w:ascii="Times New Roman" w:hAnsi="Times New Roman" w:cs="Times New Roman"/>
          <w:sz w:val="21"/>
          <w:szCs w:val="21"/>
        </w:rPr>
        <w:t>对于政府发布的各项产业链政策，目前主要通过两种方式向企业传达。一是通过政府、主管厅局的门户网站发布，需要企业不定期的去关注查询了解。二是通过各产业链的行业协会，由其向各成员单位进行宣贯。</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2" w:firstLineChars="200"/>
        <w:textAlignment w:val="auto"/>
        <w:rPr>
          <w:rStyle w:val="27"/>
          <w:rFonts w:hint="default" w:ascii="Times New Roman" w:hAnsi="Times New Roman" w:cs="Times New Roman"/>
          <w:sz w:val="21"/>
          <w:szCs w:val="21"/>
        </w:rPr>
      </w:pPr>
      <w:bookmarkStart w:id="15" w:name="_Toc9155"/>
      <w:bookmarkStart w:id="16" w:name="_Toc148352895"/>
      <w:r>
        <w:rPr>
          <w:rStyle w:val="27"/>
          <w:rFonts w:hint="default" w:ascii="Times New Roman" w:hAnsi="Times New Roman" w:cs="Times New Roman"/>
          <w:b/>
          <w:bCs/>
          <w:sz w:val="21"/>
          <w:szCs w:val="21"/>
        </w:rPr>
        <w:t>产业链补链强链</w:t>
      </w:r>
      <w:bookmarkEnd w:id="15"/>
      <w:bookmarkEnd w:id="16"/>
      <w:r>
        <w:rPr>
          <w:rStyle w:val="27"/>
          <w:rFonts w:hint="default" w:ascii="Times New Roman" w:hAnsi="Times New Roman" w:cs="Times New Roman"/>
          <w:b/>
          <w:bCs/>
          <w:sz w:val="21"/>
          <w:szCs w:val="21"/>
        </w:rPr>
        <w:t>：</w:t>
      </w:r>
      <w:r>
        <w:rPr>
          <w:rStyle w:val="27"/>
          <w:rFonts w:hint="default" w:ascii="Times New Roman" w:hAnsi="Times New Roman" w:cs="Times New Roman"/>
          <w:sz w:val="21"/>
          <w:szCs w:val="21"/>
        </w:rPr>
        <w:t>需要健全工作机制，梳理关键产业链的上中下游，查找产业链堵点断点痛点，优化营商环境，培育链主企业吸引上下游相关企业补链强链。还需梳理被“卡脖子”产业目录，着力加强关键核心技术攻关和对外技术交流合作，形成完整的产业链闭环。</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2" w:firstLineChars="200"/>
        <w:textAlignment w:val="auto"/>
        <w:rPr>
          <w:rStyle w:val="27"/>
          <w:rFonts w:hint="default" w:ascii="Times New Roman" w:hAnsi="Times New Roman" w:cs="Times New Roman"/>
          <w:sz w:val="21"/>
          <w:szCs w:val="21"/>
        </w:rPr>
      </w:pPr>
      <w:bookmarkStart w:id="17" w:name="_Toc148352896"/>
      <w:bookmarkStart w:id="18" w:name="_Toc25592"/>
      <w:r>
        <w:rPr>
          <w:rStyle w:val="27"/>
          <w:rFonts w:hint="default" w:ascii="Times New Roman" w:hAnsi="Times New Roman" w:cs="Times New Roman"/>
          <w:b/>
          <w:bCs/>
          <w:sz w:val="21"/>
          <w:szCs w:val="21"/>
        </w:rPr>
        <w:t>产业重点项目监管</w:t>
      </w:r>
      <w:bookmarkEnd w:id="17"/>
      <w:bookmarkEnd w:id="18"/>
      <w:r>
        <w:rPr>
          <w:rStyle w:val="27"/>
          <w:rFonts w:hint="default" w:ascii="Times New Roman" w:hAnsi="Times New Roman" w:cs="Times New Roman"/>
          <w:b/>
          <w:bCs/>
          <w:sz w:val="21"/>
          <w:szCs w:val="21"/>
        </w:rPr>
        <w:t>：</w:t>
      </w:r>
      <w:r>
        <w:rPr>
          <w:rStyle w:val="27"/>
          <w:rFonts w:hint="default" w:ascii="Times New Roman" w:hAnsi="Times New Roman" w:cs="Times New Roman"/>
          <w:sz w:val="21"/>
          <w:szCs w:val="21"/>
        </w:rPr>
        <w:t>目前各产业链的招商由各级政府、园区等进行负责，项目分散管理，缺乏统一的跟踪监管机制。</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2" w:firstLineChars="200"/>
        <w:textAlignment w:val="auto"/>
        <w:rPr>
          <w:rStyle w:val="27"/>
          <w:rFonts w:hint="default" w:ascii="Times New Roman" w:hAnsi="Times New Roman" w:cs="Times New Roman"/>
          <w:sz w:val="21"/>
          <w:szCs w:val="21"/>
        </w:rPr>
      </w:pPr>
      <w:bookmarkStart w:id="19" w:name="_Toc148352897"/>
      <w:bookmarkStart w:id="20" w:name="_Toc25384"/>
      <w:r>
        <w:rPr>
          <w:rStyle w:val="27"/>
          <w:rFonts w:hint="default" w:ascii="Times New Roman" w:hAnsi="Times New Roman" w:cs="Times New Roman"/>
          <w:b/>
          <w:bCs/>
          <w:sz w:val="21"/>
          <w:szCs w:val="21"/>
        </w:rPr>
        <w:t>链上企业公共服务</w:t>
      </w:r>
      <w:bookmarkEnd w:id="19"/>
      <w:bookmarkEnd w:id="20"/>
      <w:r>
        <w:rPr>
          <w:rStyle w:val="27"/>
          <w:rFonts w:hint="default" w:ascii="Times New Roman" w:hAnsi="Times New Roman" w:cs="Times New Roman"/>
          <w:b/>
          <w:bCs/>
          <w:sz w:val="21"/>
          <w:szCs w:val="21"/>
        </w:rPr>
        <w:t>：</w:t>
      </w:r>
      <w:r>
        <w:rPr>
          <w:rStyle w:val="27"/>
          <w:rFonts w:hint="default" w:ascii="Times New Roman" w:hAnsi="Times New Roman" w:cs="Times New Roman"/>
          <w:sz w:val="21"/>
          <w:szCs w:val="21"/>
        </w:rPr>
        <w:t>目前重点产业链未建立统一的面向链上企业的服务入口，链上企业办事需要自行查阅相关的规章制度，在不同的入口进行办理，对于企业来说极为不便。当前缺少统一的服务出口，没有固化的业务流程。</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2" w:firstLineChars="200"/>
        <w:textAlignment w:val="auto"/>
        <w:rPr>
          <w:rStyle w:val="27"/>
          <w:rFonts w:hint="default" w:ascii="Times New Roman" w:hAnsi="Times New Roman" w:cs="Times New Roman"/>
          <w:sz w:val="21"/>
          <w:szCs w:val="21"/>
        </w:rPr>
      </w:pPr>
      <w:bookmarkStart w:id="21" w:name="_Toc148352898"/>
      <w:bookmarkStart w:id="22" w:name="_Toc22809"/>
      <w:r>
        <w:rPr>
          <w:rStyle w:val="27"/>
          <w:rFonts w:hint="default" w:ascii="Times New Roman" w:hAnsi="Times New Roman" w:cs="Times New Roman"/>
          <w:b/>
          <w:bCs/>
          <w:sz w:val="21"/>
          <w:szCs w:val="21"/>
        </w:rPr>
        <w:t>产业链外部数据的获取与管理</w:t>
      </w:r>
      <w:bookmarkEnd w:id="21"/>
      <w:bookmarkEnd w:id="22"/>
      <w:r>
        <w:rPr>
          <w:rStyle w:val="27"/>
          <w:rFonts w:hint="default" w:ascii="Times New Roman" w:hAnsi="Times New Roman" w:cs="Times New Roman"/>
          <w:b/>
          <w:bCs/>
          <w:sz w:val="21"/>
          <w:szCs w:val="21"/>
        </w:rPr>
        <w:t>：</w:t>
      </w:r>
      <w:r>
        <w:rPr>
          <w:rStyle w:val="27"/>
          <w:rFonts w:hint="default" w:ascii="Times New Roman" w:hAnsi="Times New Roman" w:cs="Times New Roman"/>
          <w:sz w:val="21"/>
          <w:szCs w:val="21"/>
        </w:rPr>
        <w:t>产业链运行监测、产业调度、链上企业评估等业务所需的数据，除各产业链专班通过现有方式渠道收集外，还需从其他部门，如统计局、科技厅等机构，甚至企业处直接获取，目前主要依靠专班工作人员手动搜索、收集、协调、共享外部数据。</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2" w:firstLineChars="200"/>
        <w:textAlignment w:val="auto"/>
        <w:rPr>
          <w:rStyle w:val="27"/>
          <w:rFonts w:hint="default" w:ascii="Times New Roman" w:hAnsi="Times New Roman" w:cs="Times New Roman"/>
          <w:sz w:val="21"/>
          <w:szCs w:val="21"/>
        </w:rPr>
      </w:pPr>
      <w:bookmarkStart w:id="23" w:name="_Toc148352899"/>
      <w:bookmarkStart w:id="24" w:name="_Toc17400"/>
      <w:r>
        <w:rPr>
          <w:rStyle w:val="27"/>
          <w:rFonts w:hint="default" w:ascii="Times New Roman" w:hAnsi="Times New Roman" w:cs="Times New Roman"/>
          <w:b/>
          <w:bCs/>
          <w:sz w:val="21"/>
          <w:szCs w:val="21"/>
        </w:rPr>
        <w:t>全省民营经济评价考核</w:t>
      </w:r>
      <w:bookmarkEnd w:id="23"/>
      <w:bookmarkEnd w:id="24"/>
      <w:r>
        <w:rPr>
          <w:rStyle w:val="27"/>
          <w:rFonts w:hint="default" w:ascii="Times New Roman" w:hAnsi="Times New Roman" w:cs="Times New Roman"/>
          <w:b/>
          <w:bCs/>
          <w:sz w:val="21"/>
          <w:szCs w:val="21"/>
        </w:rPr>
        <w:t>：</w:t>
      </w:r>
      <w:r>
        <w:rPr>
          <w:rStyle w:val="27"/>
          <w:rFonts w:hint="default" w:ascii="Times New Roman" w:hAnsi="Times New Roman" w:cs="Times New Roman"/>
          <w:sz w:val="21"/>
          <w:szCs w:val="21"/>
        </w:rPr>
        <w:t>各市区工信局通过收集省统计局、省市场监管局、省工信厅、人民银行西安分行等民营经济发展成效指标以及民营经济发展环境指标等数据或省成员单位领导小组收集各单位的指标，整理成纸质表格文件送至由省工信厅、省统计局、省科技厅、省工商联等组成的考核评价小组，考核评价小组根据民营经济评价考核加（减）分指标及计算方法进行考核评分。</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2" w:firstLineChars="200"/>
        <w:textAlignment w:val="auto"/>
        <w:rPr>
          <w:rStyle w:val="27"/>
          <w:rFonts w:hint="default" w:ascii="Times New Roman" w:hAnsi="Times New Roman" w:cs="Times New Roman"/>
          <w:sz w:val="21"/>
          <w:szCs w:val="21"/>
        </w:rPr>
      </w:pPr>
      <w:bookmarkStart w:id="25" w:name="_Toc26555"/>
      <w:bookmarkStart w:id="26" w:name="_Toc148352900"/>
      <w:r>
        <w:rPr>
          <w:rStyle w:val="27"/>
          <w:rFonts w:hint="default" w:ascii="Times New Roman" w:hAnsi="Times New Roman" w:cs="Times New Roman"/>
          <w:b/>
          <w:bCs/>
          <w:sz w:val="21"/>
          <w:szCs w:val="21"/>
        </w:rPr>
        <w:t>制造业单项冠军企业培育</w:t>
      </w:r>
      <w:bookmarkEnd w:id="25"/>
      <w:bookmarkEnd w:id="26"/>
      <w:r>
        <w:rPr>
          <w:rStyle w:val="27"/>
          <w:rFonts w:hint="default" w:ascii="Times New Roman" w:hAnsi="Times New Roman" w:cs="Times New Roman"/>
          <w:b/>
          <w:bCs/>
          <w:sz w:val="21"/>
          <w:szCs w:val="21"/>
        </w:rPr>
        <w:t>：</w:t>
      </w:r>
      <w:r>
        <w:rPr>
          <w:rStyle w:val="27"/>
          <w:rFonts w:hint="default" w:ascii="Times New Roman" w:hAnsi="Times New Roman" w:cs="Times New Roman"/>
          <w:sz w:val="21"/>
          <w:szCs w:val="21"/>
        </w:rPr>
        <w:t>省工信厅发布制造业单项冠军企业培育入库通知，企业收到通知之后，填写纸质表格，并将纸质表格文件送至县（区）工信局，县（区）工信局收到企业的纸质文件进行审核以及筛选，再将汇总的纸质文件送至市工信局，市工信局收到县（区）工信局汇总的纸质文件之后，进行审核以及筛选，审核通过进行文件汇总之后，再送至省工信厅进行审核，省工信厅审核通过之后即可下达资金支持。</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2" w:firstLineChars="200"/>
        <w:textAlignment w:val="auto"/>
        <w:rPr>
          <w:rStyle w:val="27"/>
          <w:rFonts w:hint="default" w:ascii="Times New Roman" w:hAnsi="Times New Roman" w:cs="Times New Roman"/>
          <w:sz w:val="21"/>
          <w:szCs w:val="21"/>
        </w:rPr>
      </w:pPr>
      <w:bookmarkStart w:id="27" w:name="_Toc12287"/>
      <w:bookmarkStart w:id="28" w:name="_Toc148352901"/>
      <w:r>
        <w:rPr>
          <w:rStyle w:val="27"/>
          <w:rFonts w:hint="default" w:ascii="Times New Roman" w:hAnsi="Times New Roman" w:cs="Times New Roman"/>
          <w:b/>
          <w:bCs/>
          <w:sz w:val="21"/>
          <w:szCs w:val="21"/>
        </w:rPr>
        <w:t>制造业产业链领航企业培育</w:t>
      </w:r>
      <w:bookmarkEnd w:id="27"/>
      <w:bookmarkEnd w:id="28"/>
      <w:r>
        <w:rPr>
          <w:rStyle w:val="27"/>
          <w:rFonts w:hint="default" w:ascii="Times New Roman" w:hAnsi="Times New Roman" w:cs="Times New Roman"/>
          <w:b/>
          <w:bCs/>
          <w:sz w:val="21"/>
          <w:szCs w:val="21"/>
        </w:rPr>
        <w:t>：</w:t>
      </w:r>
      <w:r>
        <w:rPr>
          <w:rStyle w:val="27"/>
          <w:rFonts w:hint="default" w:ascii="Times New Roman" w:hAnsi="Times New Roman" w:cs="Times New Roman"/>
          <w:sz w:val="21"/>
          <w:szCs w:val="21"/>
        </w:rPr>
        <w:t>省工信厅发布制造业产业链领航企业培育入库通知，企业收到通知之后，填写纸质表格，并将纸质表格文件送至县（区）工信局，县（区）工信局收到企业的纸质文件进行审核以及筛选。再将汇总的纸质文件送至市工信局，市工信局收到县（区）工信局汇总的纸质文件之后，进行审核以及筛选，审核通过进行文件汇总之后，再送至省工信厅进行审核，省工信厅审核通过之后即可下达资金支持。</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2" w:firstLineChars="200"/>
        <w:textAlignment w:val="auto"/>
        <w:rPr>
          <w:rStyle w:val="27"/>
          <w:rFonts w:hint="default" w:ascii="Times New Roman" w:hAnsi="Times New Roman" w:cs="Times New Roman"/>
          <w:sz w:val="21"/>
          <w:szCs w:val="21"/>
        </w:rPr>
      </w:pPr>
      <w:bookmarkStart w:id="29" w:name="_Toc148352902"/>
      <w:bookmarkStart w:id="30" w:name="_Toc23160"/>
      <w:r>
        <w:rPr>
          <w:rStyle w:val="27"/>
          <w:rFonts w:hint="default" w:ascii="Times New Roman" w:hAnsi="Times New Roman" w:cs="Times New Roman"/>
          <w:b/>
          <w:bCs/>
          <w:sz w:val="21"/>
          <w:szCs w:val="21"/>
        </w:rPr>
        <w:t>干部民主素质测评与政治素质</w:t>
      </w:r>
      <w:bookmarkEnd w:id="29"/>
      <w:bookmarkEnd w:id="30"/>
      <w:r>
        <w:rPr>
          <w:rStyle w:val="27"/>
          <w:rFonts w:hint="default" w:ascii="Times New Roman" w:hAnsi="Times New Roman" w:cs="Times New Roman"/>
          <w:b/>
          <w:bCs/>
          <w:sz w:val="21"/>
          <w:szCs w:val="21"/>
        </w:rPr>
        <w:t>：</w:t>
      </w:r>
      <w:r>
        <w:rPr>
          <w:rStyle w:val="27"/>
          <w:rFonts w:hint="default" w:ascii="Times New Roman" w:hAnsi="Times New Roman" w:cs="Times New Roman"/>
          <w:sz w:val="21"/>
          <w:szCs w:val="21"/>
        </w:rPr>
        <w:t>省工信厅人事处制作干部民主素质测评表以及政治素质测评表，并将这些纸质表格送至每个处室，处室人员填写完测评表之后，再将其纸质表格文件进行汇总，送至人事处，人事处管理人员将纸质文件进行整理并进行分析。</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2" w:firstLineChars="200"/>
        <w:textAlignment w:val="auto"/>
        <w:rPr>
          <w:rStyle w:val="27"/>
          <w:rFonts w:hint="default" w:ascii="Times New Roman" w:hAnsi="Times New Roman" w:cs="Times New Roman"/>
          <w:sz w:val="21"/>
          <w:szCs w:val="21"/>
        </w:rPr>
      </w:pPr>
      <w:bookmarkStart w:id="31" w:name="_Toc14193"/>
      <w:bookmarkStart w:id="32" w:name="_Toc148352903"/>
      <w:r>
        <w:rPr>
          <w:rStyle w:val="27"/>
          <w:rFonts w:hint="default" w:ascii="Times New Roman" w:hAnsi="Times New Roman" w:cs="Times New Roman"/>
          <w:b/>
          <w:bCs/>
          <w:sz w:val="21"/>
          <w:szCs w:val="21"/>
        </w:rPr>
        <w:t>招投标监管</w:t>
      </w:r>
      <w:bookmarkEnd w:id="31"/>
      <w:bookmarkEnd w:id="32"/>
      <w:r>
        <w:rPr>
          <w:rStyle w:val="27"/>
          <w:rFonts w:hint="default" w:ascii="Times New Roman" w:hAnsi="Times New Roman" w:cs="Times New Roman"/>
          <w:b/>
          <w:bCs/>
          <w:sz w:val="21"/>
          <w:szCs w:val="21"/>
        </w:rPr>
        <w:t>：</w:t>
      </w:r>
      <w:r>
        <w:rPr>
          <w:rStyle w:val="27"/>
          <w:rFonts w:hint="default" w:ascii="Times New Roman" w:hAnsi="Times New Roman" w:cs="Times New Roman"/>
          <w:sz w:val="21"/>
          <w:szCs w:val="21"/>
        </w:rPr>
        <w:t>陕西省工信厅作为对全省工业和信息化领域招标投标活动实施监督管理的行政主管部门，于2015年建设了“陕西工业和信息化行业招标投标项目监管服务系统”，目前系统无法满足系统适配要求，外呼系统老化，厂家停止更新，系统功能不能满足当前业务发展需要，业务并发流量低，系统无法高效工作。系统数据零散，无法提供有效的决策支持，影响招投标业务运行。</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2" w:firstLineChars="200"/>
        <w:textAlignment w:val="auto"/>
        <w:rPr>
          <w:rStyle w:val="27"/>
          <w:rFonts w:hint="default" w:ascii="Times New Roman" w:hAnsi="Times New Roman" w:cs="Times New Roman"/>
          <w:sz w:val="21"/>
          <w:szCs w:val="21"/>
        </w:rPr>
      </w:pPr>
      <w:r>
        <w:rPr>
          <w:rStyle w:val="27"/>
          <w:rFonts w:hint="default" w:ascii="Times New Roman" w:hAnsi="Times New Roman" w:cs="Times New Roman"/>
          <w:b/>
          <w:bCs/>
          <w:sz w:val="21"/>
          <w:szCs w:val="21"/>
        </w:rPr>
        <w:t>数据资源体系建设及治理:</w:t>
      </w:r>
      <w:r>
        <w:rPr>
          <w:rStyle w:val="27"/>
          <w:rFonts w:hint="default" w:ascii="Times New Roman" w:hAnsi="Times New Roman" w:cs="Times New Roman"/>
          <w:sz w:val="21"/>
          <w:szCs w:val="21"/>
        </w:rPr>
        <w:t>陕西省工信厅目前已建应用系统累积了大量的业务数据，由于存在数据种类多，数据量大和场景应用丰富，为了能够更好的为上层业务提供支撑，面向数据资源治理，需开展统一规划，包括标准规范、数据采集、数据治理、数据服务、数据共享、数据安全等体系的建设工作，推动数据更广泛、更规范的使用，发挥数据应有的价值和作用。</w:t>
      </w:r>
    </w:p>
    <w:p>
      <w:pPr>
        <w:pStyle w:val="3"/>
        <w:spacing w:line="360" w:lineRule="auto"/>
        <w:rPr>
          <w:rFonts w:hint="default" w:ascii="Times New Roman" w:hAnsi="Times New Roman" w:cs="Times New Roman"/>
        </w:rPr>
      </w:pPr>
      <w:bookmarkStart w:id="33" w:name="_Toc14476"/>
      <w:r>
        <w:rPr>
          <w:rFonts w:hint="default" w:ascii="Times New Roman" w:hAnsi="Times New Roman" w:cs="Times New Roman"/>
        </w:rPr>
        <w:t>三、项目采购实施计划</w:t>
      </w:r>
      <w:bookmarkEnd w:id="33"/>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（一）采购组织形式：</w:t>
      </w:r>
      <w:r>
        <w:rPr>
          <w:rStyle w:val="60"/>
          <w:rFonts w:hint="default" w:ascii="Times New Roman" w:hAnsi="Times New Roman" w:cs="Times New Roman"/>
          <w:sz w:val="21"/>
          <w:szCs w:val="21"/>
          <w:u w:val="single"/>
        </w:rPr>
        <w:t xml:space="preserve">   部门集中   </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（二）采购方式：</w:t>
      </w:r>
      <w:r>
        <w:rPr>
          <w:rStyle w:val="60"/>
          <w:rFonts w:hint="default" w:ascii="Times New Roman" w:hAnsi="Times New Roman" w:cs="Times New Roman"/>
          <w:sz w:val="21"/>
          <w:szCs w:val="21"/>
          <w:u w:val="single"/>
        </w:rPr>
        <w:t xml:space="preserve">    公开招标    </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（三）本项目是否单位自行组织采购：</w:t>
      </w:r>
      <w:r>
        <w:rPr>
          <w:rStyle w:val="60"/>
          <w:rFonts w:hint="default" w:ascii="Times New Roman" w:hAnsi="Times New Roman" w:cs="Times New Roman"/>
          <w:sz w:val="21"/>
          <w:szCs w:val="21"/>
          <w:u w:val="single"/>
        </w:rPr>
        <w:t xml:space="preserve">  是  </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（四）采购包划分：</w:t>
      </w:r>
      <w:r>
        <w:rPr>
          <w:rStyle w:val="30"/>
          <w:rFonts w:hint="default" w:ascii="Times New Roman" w:hAnsi="Times New Roman" w:cs="Times New Roman"/>
          <w:sz w:val="21"/>
          <w:szCs w:val="21"/>
          <w:u w:val="single"/>
        </w:rPr>
        <w:t>是，分包采购</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（五）执行政府采购促进中小企业发展的相关政策</w:t>
      </w:r>
      <w:r>
        <w:rPr>
          <w:rFonts w:hint="eastAsia" w:ascii="Times New Roman" w:hAnsi="Times New Roman" w:cs="Times New Roman"/>
          <w:sz w:val="21"/>
          <w:szCs w:val="21"/>
          <w:lang w:eastAsia="zh-CN"/>
        </w:rPr>
        <w:t>：</w:t>
      </w:r>
      <w:r>
        <w:rPr>
          <w:rStyle w:val="30"/>
          <w:rFonts w:hint="default" w:ascii="Times New Roman" w:hAnsi="Times New Roman" w:cs="Times New Roman"/>
          <w:sz w:val="21"/>
          <w:szCs w:val="21"/>
          <w:u w:val="single"/>
        </w:rPr>
        <w:t>部分面向中小企业采购。</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（六）是否采购环境标识产品：</w:t>
      </w:r>
      <w:r>
        <w:rPr>
          <w:rStyle w:val="60"/>
          <w:rFonts w:hint="default" w:ascii="Times New Roman" w:hAnsi="Times New Roman" w:cs="Times New Roman"/>
          <w:sz w:val="21"/>
          <w:szCs w:val="21"/>
          <w:u w:val="single"/>
        </w:rPr>
        <w:t xml:space="preserve">  否  </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（七）是否采购节能产品：</w:t>
      </w:r>
      <w:r>
        <w:rPr>
          <w:rStyle w:val="60"/>
          <w:rFonts w:hint="default" w:ascii="Times New Roman" w:hAnsi="Times New Roman" w:cs="Times New Roman"/>
          <w:sz w:val="21"/>
          <w:szCs w:val="21"/>
          <w:u w:val="single"/>
        </w:rPr>
        <w:t xml:space="preserve">   否  </w:t>
      </w:r>
      <w:r>
        <w:rPr>
          <w:rStyle w:val="60"/>
          <w:rFonts w:hint="default" w:ascii="Times New Roman" w:hAnsi="Times New Roman" w:cs="Times New Roman"/>
          <w:sz w:val="21"/>
          <w:szCs w:val="21"/>
          <w:u w:val="single"/>
          <w:lang w:val="en-US" w:eastAsia="zh-CN"/>
        </w:rPr>
        <w:t xml:space="preserve"> </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（八）项目的采购标的是否包含进口产品：</w:t>
      </w:r>
      <w:r>
        <w:rPr>
          <w:rStyle w:val="60"/>
          <w:rFonts w:hint="default" w:ascii="Times New Roman" w:hAnsi="Times New Roman" w:cs="Times New Roman"/>
          <w:sz w:val="21"/>
          <w:szCs w:val="21"/>
          <w:u w:val="single"/>
        </w:rPr>
        <w:t xml:space="preserve">   否  </w:t>
      </w:r>
      <w:r>
        <w:rPr>
          <w:rStyle w:val="60"/>
          <w:rFonts w:hint="default" w:ascii="Times New Roman" w:hAnsi="Times New Roman" w:cs="Times New Roman"/>
          <w:sz w:val="21"/>
          <w:szCs w:val="21"/>
          <w:u w:val="single"/>
          <w:lang w:val="en-US" w:eastAsia="zh-CN"/>
        </w:rPr>
        <w:t xml:space="preserve"> </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20" w:firstLineChars="20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rPr>
        <w:t>（九）采购标的是否属于政府购买服务：</w:t>
      </w:r>
      <w:r>
        <w:rPr>
          <w:rStyle w:val="60"/>
          <w:rFonts w:hint="default" w:ascii="Times New Roman" w:hAnsi="Times New Roman" w:cs="Times New Roman"/>
          <w:sz w:val="21"/>
          <w:szCs w:val="21"/>
          <w:highlight w:val="none"/>
          <w:u w:val="single"/>
        </w:rPr>
        <w:t xml:space="preserve">   是  </w:t>
      </w:r>
      <w:r>
        <w:rPr>
          <w:rStyle w:val="60"/>
          <w:rFonts w:hint="default" w:ascii="Times New Roman" w:hAnsi="Times New Roman" w:cs="Times New Roman"/>
          <w:sz w:val="21"/>
          <w:szCs w:val="21"/>
          <w:highlight w:val="none"/>
          <w:u w:val="single"/>
          <w:lang w:val="en-US" w:eastAsia="zh-CN"/>
        </w:rPr>
        <w:t xml:space="preserve"> </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（十）是否属于政务信息系统项目：</w:t>
      </w:r>
      <w:r>
        <w:rPr>
          <w:rStyle w:val="60"/>
          <w:rFonts w:hint="default" w:ascii="Times New Roman" w:hAnsi="Times New Roman" w:cs="Times New Roman"/>
          <w:sz w:val="21"/>
          <w:szCs w:val="21"/>
          <w:u w:val="single"/>
        </w:rPr>
        <w:t xml:space="preserve">   是  </w:t>
      </w:r>
      <w:r>
        <w:rPr>
          <w:rStyle w:val="60"/>
          <w:rFonts w:hint="default" w:ascii="Times New Roman" w:hAnsi="Times New Roman" w:cs="Times New Roman"/>
          <w:sz w:val="21"/>
          <w:szCs w:val="21"/>
          <w:u w:val="single"/>
          <w:lang w:val="en-US" w:eastAsia="zh-CN"/>
        </w:rPr>
        <w:t xml:space="preserve"> </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（十一）是否属于高校、科研院所的科研仪器设备采购：</w:t>
      </w:r>
      <w:r>
        <w:rPr>
          <w:rStyle w:val="60"/>
          <w:rFonts w:hint="default" w:ascii="Times New Roman" w:hAnsi="Times New Roman" w:cs="Times New Roman"/>
          <w:sz w:val="21"/>
          <w:szCs w:val="21"/>
          <w:u w:val="single"/>
        </w:rPr>
        <w:t xml:space="preserve">   否  </w:t>
      </w:r>
      <w:r>
        <w:rPr>
          <w:rStyle w:val="60"/>
          <w:rFonts w:hint="default" w:ascii="Times New Roman" w:hAnsi="Times New Roman" w:cs="Times New Roman"/>
          <w:sz w:val="21"/>
          <w:szCs w:val="21"/>
          <w:u w:val="single"/>
          <w:lang w:val="en-US" w:eastAsia="zh-CN"/>
        </w:rPr>
        <w:t xml:space="preserve"> </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（十二）是否属于一签多年项目：</w:t>
      </w:r>
      <w:r>
        <w:rPr>
          <w:rStyle w:val="60"/>
          <w:rFonts w:hint="default" w:ascii="Times New Roman" w:hAnsi="Times New Roman" w:cs="Times New Roman"/>
          <w:sz w:val="21"/>
          <w:szCs w:val="21"/>
          <w:u w:val="single"/>
        </w:rPr>
        <w:t xml:space="preserve">   否  </w:t>
      </w:r>
      <w:r>
        <w:rPr>
          <w:rStyle w:val="60"/>
          <w:rFonts w:hint="default" w:ascii="Times New Roman" w:hAnsi="Times New Roman" w:cs="Times New Roman"/>
          <w:sz w:val="21"/>
          <w:szCs w:val="21"/>
          <w:u w:val="single"/>
          <w:lang w:val="en-US" w:eastAsia="zh-CN"/>
        </w:rPr>
        <w:t xml:space="preserve"> </w:t>
      </w:r>
    </w:p>
    <w:p>
      <w:pPr>
        <w:pStyle w:val="3"/>
        <w:keepNext/>
        <w:keepLines/>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rPr>
      </w:pPr>
      <w:bookmarkStart w:id="34" w:name="_Toc31746"/>
      <w:r>
        <w:rPr>
          <w:rFonts w:hint="default" w:ascii="Times New Roman" w:hAnsi="Times New Roman" w:cs="Times New Roman"/>
        </w:rPr>
        <w:t>四、项目需求及分包情况、采购标的</w:t>
      </w:r>
      <w:bookmarkEnd w:id="34"/>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2" w:firstLineChars="200"/>
        <w:textAlignment w:val="auto"/>
        <w:rPr>
          <w:rFonts w:hint="default" w:ascii="Times New Roman" w:hAnsi="Times New Roman" w:cs="Times New Roman"/>
        </w:rPr>
      </w:pPr>
      <w:bookmarkStart w:id="35" w:name="_Hlk152576006"/>
      <w:r>
        <w:rPr>
          <w:rFonts w:hint="default" w:ascii="Times New Roman" w:hAnsi="Times New Roman" w:cs="Times New Roman"/>
        </w:rPr>
        <w:t>（一）陕西省工业和信息化厅“数字工信”建设项目一期实施方案编制服务</w:t>
      </w:r>
    </w:p>
    <w:bookmarkEnd w:id="35"/>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2" w:firstLineChars="200"/>
        <w:textAlignment w:val="auto"/>
        <w:rPr>
          <w:rStyle w:val="60"/>
          <w:rFonts w:hint="default" w:ascii="Times New Roman" w:hAnsi="Times New Roman" w:cs="Times New Roman"/>
          <w:b/>
          <w:bCs/>
          <w:sz w:val="21"/>
          <w:szCs w:val="21"/>
          <w:u w:val="none"/>
        </w:rPr>
      </w:pPr>
      <w:r>
        <w:rPr>
          <w:rFonts w:hint="default" w:ascii="Times New Roman" w:hAnsi="Times New Roman" w:cs="Times New Roman"/>
          <w:b/>
          <w:bCs/>
          <w:sz w:val="21"/>
          <w:szCs w:val="21"/>
        </w:rPr>
        <w:t>标的名称：</w:t>
      </w:r>
      <w:r>
        <w:rPr>
          <w:rStyle w:val="60"/>
          <w:rFonts w:hint="default" w:ascii="Times New Roman" w:hAnsi="Times New Roman" w:cs="Times New Roman"/>
          <w:b/>
          <w:bCs/>
          <w:sz w:val="21"/>
          <w:szCs w:val="21"/>
          <w:u w:val="none"/>
        </w:rPr>
        <w:t xml:space="preserve">《陕西省工业和信息化厅“数字工信”建设项目一期实施方案编制服务》 </w:t>
      </w:r>
    </w:p>
    <w:tbl>
      <w:tblPr>
        <w:tblStyle w:val="18"/>
        <w:tblW w:w="5369" w:type="pct"/>
        <w:tblInd w:w="-249"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170"/>
        <w:gridCol w:w="750"/>
        <w:gridCol w:w="725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4" w:hRule="atLeast"/>
        </w:trPr>
        <w:tc>
          <w:tcPr>
            <w:tcW w:w="1170" w:type="dxa"/>
            <w:tcBorders>
              <w:top w:val="single" w:color="000000" w:sz="6" w:space="0"/>
              <w:left w:val="single" w:color="000000" w:sz="6" w:space="0"/>
              <w:bottom w:val="single" w:color="000000" w:sz="6" w:space="0"/>
              <w:right w:val="single" w:color="000000" w:sz="6" w:space="0"/>
            </w:tcBorders>
            <w:shd w:val="clear" w:color="auto" w:fill="F1F1F1" w:themeFill="background1" w:themeFillShade="F2"/>
            <w:tcMar>
              <w:top w:w="0" w:type="dxa"/>
              <w:left w:w="120" w:type="dxa"/>
              <w:bottom w:w="0" w:type="dxa"/>
              <w:right w:w="120" w:type="dxa"/>
            </w:tcMar>
            <w:vAlign w:val="center"/>
          </w:tcPr>
          <w:p>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参数性质</w:t>
            </w:r>
          </w:p>
        </w:tc>
        <w:tc>
          <w:tcPr>
            <w:tcW w:w="750" w:type="dxa"/>
            <w:tcBorders>
              <w:top w:val="single" w:color="000000" w:sz="6" w:space="0"/>
              <w:left w:val="single" w:color="000000" w:sz="6" w:space="0"/>
              <w:bottom w:val="single" w:color="000000" w:sz="6" w:space="0"/>
              <w:right w:val="single" w:color="000000" w:sz="6" w:space="0"/>
            </w:tcBorders>
            <w:shd w:val="clear" w:color="auto" w:fill="F1F1F1" w:themeFill="background1" w:themeFillShade="F2"/>
            <w:tcMar>
              <w:top w:w="0" w:type="dxa"/>
              <w:left w:w="120" w:type="dxa"/>
              <w:bottom w:w="0" w:type="dxa"/>
              <w:right w:w="120" w:type="dxa"/>
            </w:tcMar>
            <w:vAlign w:val="center"/>
          </w:tcPr>
          <w:p>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序号</w:t>
            </w:r>
          </w:p>
        </w:tc>
        <w:tc>
          <w:tcPr>
            <w:tcW w:w="7257" w:type="dxa"/>
            <w:tcBorders>
              <w:top w:val="single" w:color="000000" w:sz="6" w:space="0"/>
              <w:left w:val="single" w:color="000000" w:sz="6" w:space="0"/>
              <w:bottom w:val="single" w:color="000000" w:sz="6" w:space="0"/>
              <w:right w:val="single" w:color="000000" w:sz="6" w:space="0"/>
            </w:tcBorders>
            <w:shd w:val="clear" w:color="auto" w:fill="F1F1F1" w:themeFill="background1" w:themeFillShade="F2"/>
            <w:tcMar>
              <w:top w:w="0" w:type="dxa"/>
              <w:left w:w="120" w:type="dxa"/>
              <w:bottom w:w="0" w:type="dxa"/>
              <w:right w:w="120" w:type="dxa"/>
            </w:tcMar>
            <w:vAlign w:val="center"/>
          </w:tcPr>
          <w:p>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技术参数与性能指标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70" w:type="dxa"/>
            <w:tcBorders>
              <w:top w:val="single" w:color="000000" w:sz="6" w:space="0"/>
              <w:left w:val="single" w:color="000000" w:sz="6" w:space="0"/>
              <w:right w:val="single" w:color="000000" w:sz="6" w:space="0"/>
            </w:tcBorders>
            <w:tcMar>
              <w:top w:w="0" w:type="dxa"/>
              <w:left w:w="120" w:type="dxa"/>
              <w:bottom w:w="0" w:type="dxa"/>
              <w:right w:w="120" w:type="dxa"/>
            </w:tcMar>
            <w:vAlign w:val="center"/>
          </w:tcPr>
          <w:p>
            <w:pPr>
              <w:jc w:val="center"/>
              <w:rPr>
                <w:rFonts w:hint="default" w:ascii="Times New Roman" w:hAnsi="Times New Roman" w:eastAsia="宋体" w:cs="Times New Roman"/>
                <w:color w:val="000000" w:themeColor="text1"/>
                <w:szCs w:val="21"/>
                <w:highlight w:val="yellow"/>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w:t>
            </w:r>
          </w:p>
        </w:tc>
        <w:tc>
          <w:tcPr>
            <w:tcW w:w="750" w:type="dxa"/>
            <w:tcBorders>
              <w:top w:val="single" w:color="000000" w:sz="6" w:space="0"/>
              <w:left w:val="single" w:color="000000" w:sz="6" w:space="0"/>
              <w:right w:val="single" w:color="000000" w:sz="6" w:space="0"/>
            </w:tcBorders>
            <w:tcMar>
              <w:top w:w="0" w:type="dxa"/>
              <w:left w:w="120" w:type="dxa"/>
              <w:bottom w:w="0" w:type="dxa"/>
              <w:right w:w="120" w:type="dxa"/>
            </w:tcMar>
            <w:vAlign w:val="center"/>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1</w:t>
            </w:r>
          </w:p>
        </w:tc>
        <w:tc>
          <w:tcPr>
            <w:tcW w:w="725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400" w:lineRule="exact"/>
              <w:jc w:val="left"/>
              <w:rPr>
                <w:rStyle w:val="60"/>
                <w:rFonts w:hint="default" w:ascii="Times New Roman" w:hAnsi="Times New Roman" w:eastAsia="宋体" w:cs="Times New Roman"/>
                <w:b/>
                <w:bCs/>
                <w:color w:val="000000" w:themeColor="text1"/>
                <w:szCs w:val="21"/>
                <w14:textFill>
                  <w14:solidFill>
                    <w14:schemeClr w14:val="tx1"/>
                  </w14:solidFill>
                </w14:textFill>
              </w:rPr>
            </w:pPr>
            <w:r>
              <w:rPr>
                <w:rStyle w:val="60"/>
                <w:rFonts w:hint="default" w:ascii="Times New Roman" w:hAnsi="Times New Roman" w:eastAsia="宋体" w:cs="Times New Roman"/>
                <w:b/>
                <w:bCs/>
                <w:color w:val="000000" w:themeColor="text1"/>
                <w:szCs w:val="21"/>
                <w14:textFill>
                  <w14:solidFill>
                    <w14:schemeClr w14:val="tx1"/>
                  </w14:solidFill>
                </w14:textFill>
              </w:rPr>
              <w:t>一、设计内容</w:t>
            </w:r>
          </w:p>
          <w:p>
            <w:pPr>
              <w:spacing w:line="400" w:lineRule="exact"/>
              <w:ind w:firstLine="436" w:firstLineChars="208"/>
              <w:jc w:val="left"/>
              <w:rPr>
                <w:rStyle w:val="60"/>
                <w:rFonts w:hint="default" w:ascii="Times New Roman" w:hAnsi="Times New Roman" w:eastAsia="宋体" w:cs="Times New Roman"/>
                <w:color w:val="000000" w:themeColor="text1"/>
                <w:szCs w:val="21"/>
                <w14:textFill>
                  <w14:solidFill>
                    <w14:schemeClr w14:val="tx1"/>
                  </w14:solidFill>
                </w14:textFill>
              </w:rPr>
            </w:pPr>
            <w:r>
              <w:rPr>
                <w:rStyle w:val="60"/>
                <w:rFonts w:hint="default" w:ascii="Times New Roman" w:hAnsi="Times New Roman" w:eastAsia="宋体" w:cs="Times New Roman"/>
                <w:color w:val="000000" w:themeColor="text1"/>
                <w:szCs w:val="21"/>
                <w14:textFill>
                  <w14:solidFill>
                    <w14:schemeClr w14:val="tx1"/>
                  </w14:solidFill>
                </w14:textFill>
              </w:rPr>
              <w:t>按照陕西省省级政务信息化项目实施方案编制指南要求的相关行业标准和规范，围绕本项目需求调查结果，开展业务系统、数据资源、安全体系、标准规范、系统改造迁移等内容设计，编制完成陕西省工业和信息化厅“数字工信”建设项目一期技术方案，为</w:t>
            </w:r>
            <w:r>
              <w:rPr>
                <w:rStyle w:val="60"/>
                <w:rFonts w:hint="default" w:ascii="Times New Roman" w:hAnsi="Times New Roman" w:eastAsia="宋体" w:cs="Times New Roman"/>
                <w:color w:val="000000" w:themeColor="text1"/>
                <w:szCs w:val="21"/>
                <w:lang w:eastAsia="zh-CN"/>
                <w14:textFill>
                  <w14:solidFill>
                    <w14:schemeClr w14:val="tx1"/>
                  </w14:solidFill>
                </w14:textFill>
              </w:rPr>
              <w:t>项目</w:t>
            </w:r>
            <w:r>
              <w:rPr>
                <w:rStyle w:val="60"/>
                <w:rFonts w:hint="default" w:ascii="Times New Roman" w:hAnsi="Times New Roman" w:eastAsia="宋体" w:cs="Times New Roman"/>
                <w:color w:val="000000" w:themeColor="text1"/>
                <w:szCs w:val="21"/>
                <w14:textFill>
                  <w14:solidFill>
                    <w14:schemeClr w14:val="tx1"/>
                  </w14:solidFill>
                </w14:textFill>
              </w:rPr>
              <w:t>建设提供业务功能开发依据、数据标准依据、技术路线标准依据等技术支撑。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7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cs="Times New Roman"/>
                <w:sz w:val="24"/>
                <w:szCs w:val="24"/>
                <w:shd w:val="clear" w:color="auto" w:fill="FFFFFF"/>
              </w:rPr>
              <w:t>▲</w:t>
            </w:r>
          </w:p>
        </w:tc>
        <w:tc>
          <w:tcPr>
            <w:tcW w:w="75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jc w:val="center"/>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2</w:t>
            </w:r>
          </w:p>
        </w:tc>
        <w:tc>
          <w:tcPr>
            <w:tcW w:w="725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400" w:lineRule="exact"/>
              <w:jc w:val="left"/>
              <w:rPr>
                <w:rStyle w:val="60"/>
                <w:rFonts w:hint="default" w:ascii="Times New Roman" w:hAnsi="Times New Roman" w:eastAsia="宋体" w:cs="Times New Roman"/>
                <w:b/>
                <w:bCs/>
                <w:color w:val="000000" w:themeColor="text1"/>
                <w:szCs w:val="21"/>
                <w14:textFill>
                  <w14:solidFill>
                    <w14:schemeClr w14:val="tx1"/>
                  </w14:solidFill>
                </w14:textFill>
              </w:rPr>
            </w:pPr>
            <w:r>
              <w:rPr>
                <w:rStyle w:val="60"/>
                <w:rFonts w:hint="default" w:ascii="Times New Roman" w:hAnsi="Times New Roman" w:eastAsia="宋体" w:cs="Times New Roman"/>
                <w:b/>
                <w:bCs/>
                <w:color w:val="000000" w:themeColor="text1"/>
                <w:szCs w:val="21"/>
                <w14:textFill>
                  <w14:solidFill>
                    <w14:schemeClr w14:val="tx1"/>
                  </w14:solidFill>
                </w14:textFill>
              </w:rPr>
              <w:t>二、设计要求</w:t>
            </w:r>
          </w:p>
          <w:p>
            <w:pPr>
              <w:spacing w:line="400" w:lineRule="exact"/>
              <w:jc w:val="left"/>
              <w:rPr>
                <w:rStyle w:val="60"/>
                <w:rFonts w:hint="default" w:ascii="Times New Roman" w:hAnsi="Times New Roman" w:eastAsia="宋体" w:cs="Times New Roman"/>
                <w:b/>
                <w:bCs/>
                <w:color w:val="000000" w:themeColor="text1"/>
                <w:szCs w:val="21"/>
                <w14:textFill>
                  <w14:solidFill>
                    <w14:schemeClr w14:val="tx1"/>
                  </w14:solidFill>
                </w14:textFill>
              </w:rPr>
            </w:pPr>
            <w:r>
              <w:rPr>
                <w:rStyle w:val="60"/>
                <w:rFonts w:hint="default" w:ascii="Times New Roman" w:hAnsi="Times New Roman" w:eastAsia="宋体" w:cs="Times New Roman"/>
                <w:b/>
                <w:bCs/>
                <w:color w:val="000000" w:themeColor="text1"/>
                <w:szCs w:val="21"/>
                <w14:textFill>
                  <w14:solidFill>
                    <w14:schemeClr w14:val="tx1"/>
                  </w14:solidFill>
                </w14:textFill>
              </w:rPr>
              <w:t>1.规范性要求</w:t>
            </w:r>
          </w:p>
          <w:p>
            <w:pPr>
              <w:spacing w:line="400" w:lineRule="exact"/>
              <w:ind w:firstLine="436" w:firstLineChars="208"/>
              <w:jc w:val="left"/>
              <w:rPr>
                <w:rStyle w:val="60"/>
                <w:rFonts w:hint="default" w:ascii="Times New Roman" w:hAnsi="Times New Roman" w:eastAsia="宋体" w:cs="Times New Roman"/>
                <w:color w:val="000000" w:themeColor="text1"/>
                <w:szCs w:val="21"/>
                <w14:textFill>
                  <w14:solidFill>
                    <w14:schemeClr w14:val="tx1"/>
                  </w14:solidFill>
                </w14:textFill>
              </w:rPr>
            </w:pPr>
            <w:r>
              <w:rPr>
                <w:rStyle w:val="60"/>
                <w:rFonts w:hint="default" w:ascii="Times New Roman" w:hAnsi="Times New Roman" w:eastAsia="宋体" w:cs="Times New Roman"/>
                <w:color w:val="000000" w:themeColor="text1"/>
                <w:szCs w:val="21"/>
                <w14:textFill>
                  <w14:solidFill>
                    <w14:schemeClr w14:val="tx1"/>
                  </w14:solidFill>
                </w14:textFill>
              </w:rPr>
              <w:t>方案编制</w:t>
            </w:r>
            <w:r>
              <w:rPr>
                <w:rStyle w:val="60"/>
                <w:rFonts w:hint="default" w:ascii="Times New Roman" w:hAnsi="Times New Roman" w:eastAsia="宋体" w:cs="Times New Roman"/>
                <w:color w:val="000000" w:themeColor="text1"/>
                <w:szCs w:val="21"/>
                <w:lang w:eastAsia="zh-CN"/>
                <w14:textFill>
                  <w14:solidFill>
                    <w14:schemeClr w14:val="tx1"/>
                  </w14:solidFill>
                </w14:textFill>
              </w:rPr>
              <w:t>须</w:t>
            </w:r>
            <w:r>
              <w:rPr>
                <w:rStyle w:val="60"/>
                <w:rFonts w:hint="default" w:ascii="Times New Roman" w:hAnsi="Times New Roman" w:eastAsia="宋体" w:cs="Times New Roman"/>
                <w:color w:val="000000" w:themeColor="text1"/>
                <w:szCs w:val="21"/>
                <w14:textFill>
                  <w14:solidFill>
                    <w14:schemeClr w14:val="tx1"/>
                  </w14:solidFill>
                </w14:textFill>
              </w:rPr>
              <w:t>遵循陕西省省级政务信息化项目实施方案编制指南要求的相关行业标准和规范，确保设计方案符合行业最佳实践和规范要求。</w:t>
            </w:r>
          </w:p>
          <w:p>
            <w:pPr>
              <w:spacing w:line="400" w:lineRule="exact"/>
              <w:jc w:val="left"/>
              <w:rPr>
                <w:rStyle w:val="60"/>
                <w:rFonts w:hint="default" w:ascii="Times New Roman" w:hAnsi="Times New Roman" w:eastAsia="宋体" w:cs="Times New Roman"/>
                <w:b/>
                <w:bCs/>
                <w:color w:val="000000" w:themeColor="text1"/>
                <w:szCs w:val="21"/>
                <w14:textFill>
                  <w14:solidFill>
                    <w14:schemeClr w14:val="tx1"/>
                  </w14:solidFill>
                </w14:textFill>
              </w:rPr>
            </w:pPr>
            <w:r>
              <w:rPr>
                <w:rStyle w:val="60"/>
                <w:rFonts w:hint="default" w:ascii="Times New Roman" w:hAnsi="Times New Roman" w:eastAsia="宋体" w:cs="Times New Roman"/>
                <w:b/>
                <w:bCs/>
                <w:color w:val="000000" w:themeColor="text1"/>
                <w:szCs w:val="21"/>
                <w14:textFill>
                  <w14:solidFill>
                    <w14:schemeClr w14:val="tx1"/>
                  </w14:solidFill>
                </w14:textFill>
              </w:rPr>
              <w:t>2.可行性要求</w:t>
            </w:r>
          </w:p>
          <w:p>
            <w:pPr>
              <w:spacing w:line="400" w:lineRule="exact"/>
              <w:ind w:firstLine="436" w:firstLineChars="208"/>
              <w:jc w:val="left"/>
              <w:rPr>
                <w:rStyle w:val="60"/>
                <w:rFonts w:hint="default" w:ascii="Times New Roman" w:hAnsi="Times New Roman" w:eastAsia="宋体" w:cs="Times New Roman"/>
                <w:color w:val="000000" w:themeColor="text1"/>
                <w:szCs w:val="21"/>
                <w14:textFill>
                  <w14:solidFill>
                    <w14:schemeClr w14:val="tx1"/>
                  </w14:solidFill>
                </w14:textFill>
              </w:rPr>
            </w:pPr>
            <w:r>
              <w:rPr>
                <w:rStyle w:val="60"/>
                <w:rFonts w:hint="default" w:ascii="Times New Roman" w:hAnsi="Times New Roman" w:eastAsia="宋体" w:cs="Times New Roman"/>
                <w:color w:val="000000" w:themeColor="text1"/>
                <w:szCs w:val="21"/>
                <w14:textFill>
                  <w14:solidFill>
                    <w14:schemeClr w14:val="tx1"/>
                  </w14:solidFill>
                </w14:textFill>
              </w:rPr>
              <w:t>方案设计要进行全面的可行性分析，包括政策可行性、技术可行性、经济可行性，确保方案在政策、技术、经济上都是可行的。</w:t>
            </w:r>
          </w:p>
          <w:p>
            <w:pPr>
              <w:spacing w:line="400" w:lineRule="exact"/>
              <w:jc w:val="left"/>
              <w:rPr>
                <w:rStyle w:val="60"/>
                <w:rFonts w:hint="default" w:ascii="Times New Roman" w:hAnsi="Times New Roman" w:eastAsia="宋体" w:cs="Times New Roman"/>
                <w:b/>
                <w:bCs/>
                <w:color w:val="000000" w:themeColor="text1"/>
                <w:szCs w:val="21"/>
                <w14:textFill>
                  <w14:solidFill>
                    <w14:schemeClr w14:val="tx1"/>
                  </w14:solidFill>
                </w14:textFill>
              </w:rPr>
            </w:pPr>
            <w:r>
              <w:rPr>
                <w:rStyle w:val="60"/>
                <w:rFonts w:hint="default" w:ascii="Times New Roman" w:hAnsi="Times New Roman" w:eastAsia="宋体" w:cs="Times New Roman"/>
                <w:b/>
                <w:bCs/>
                <w:color w:val="000000" w:themeColor="text1"/>
                <w:szCs w:val="21"/>
                <w14:textFill>
                  <w14:solidFill>
                    <w14:schemeClr w14:val="tx1"/>
                  </w14:solidFill>
                </w14:textFill>
              </w:rPr>
              <w:t>3.合理性要求</w:t>
            </w:r>
          </w:p>
          <w:p>
            <w:pPr>
              <w:spacing w:line="400" w:lineRule="exact"/>
              <w:ind w:firstLine="436" w:firstLineChars="208"/>
              <w:jc w:val="left"/>
              <w:rPr>
                <w:rStyle w:val="60"/>
                <w:rFonts w:hint="default" w:ascii="Times New Roman" w:hAnsi="Times New Roman" w:eastAsia="宋体" w:cs="Times New Roman"/>
                <w:color w:val="000000" w:themeColor="text1"/>
                <w:szCs w:val="21"/>
                <w14:textFill>
                  <w14:solidFill>
                    <w14:schemeClr w14:val="tx1"/>
                  </w14:solidFill>
                </w14:textFill>
              </w:rPr>
            </w:pPr>
            <w:r>
              <w:rPr>
                <w:rStyle w:val="60"/>
                <w:rFonts w:hint="default" w:ascii="Times New Roman" w:hAnsi="Times New Roman" w:eastAsia="宋体" w:cs="Times New Roman"/>
                <w:color w:val="000000" w:themeColor="text1"/>
                <w:szCs w:val="21"/>
                <w14:textFill>
                  <w14:solidFill>
                    <w14:schemeClr w14:val="tx1"/>
                  </w14:solidFill>
                </w14:textFill>
              </w:rPr>
              <w:t>方案设计从业务现状、发展需求、系统功能、技术应用等方面要切合实际，设计合理，确保设计方案能从实际出发，切实可行，满足用户实际应用要求。</w:t>
            </w:r>
          </w:p>
          <w:p>
            <w:pPr>
              <w:spacing w:line="400" w:lineRule="exact"/>
              <w:jc w:val="left"/>
              <w:rPr>
                <w:rStyle w:val="60"/>
                <w:rFonts w:hint="default" w:ascii="Times New Roman" w:hAnsi="Times New Roman" w:eastAsia="宋体" w:cs="Times New Roman"/>
                <w:b/>
                <w:bCs/>
                <w:color w:val="000000" w:themeColor="text1"/>
                <w:szCs w:val="21"/>
                <w14:textFill>
                  <w14:solidFill>
                    <w14:schemeClr w14:val="tx1"/>
                  </w14:solidFill>
                </w14:textFill>
              </w:rPr>
            </w:pPr>
            <w:r>
              <w:rPr>
                <w:rStyle w:val="60"/>
                <w:rFonts w:hint="default" w:ascii="Times New Roman" w:hAnsi="Times New Roman" w:eastAsia="宋体" w:cs="Times New Roman"/>
                <w:b/>
                <w:bCs/>
                <w:color w:val="000000" w:themeColor="text1"/>
                <w:szCs w:val="21"/>
                <w14:textFill>
                  <w14:solidFill>
                    <w14:schemeClr w14:val="tx1"/>
                  </w14:solidFill>
                </w14:textFill>
              </w:rPr>
              <w:t>4.时效性要求</w:t>
            </w:r>
          </w:p>
          <w:p>
            <w:pPr>
              <w:spacing w:line="400" w:lineRule="exact"/>
              <w:ind w:firstLine="436" w:firstLineChars="208"/>
              <w:jc w:val="left"/>
              <w:rPr>
                <w:rStyle w:val="60"/>
                <w:rFonts w:hint="default" w:ascii="Times New Roman" w:hAnsi="Times New Roman" w:eastAsia="宋体" w:cs="Times New Roman"/>
                <w:color w:val="000000" w:themeColor="text1"/>
                <w:szCs w:val="21"/>
                <w14:textFill>
                  <w14:solidFill>
                    <w14:schemeClr w14:val="tx1"/>
                  </w14:solidFill>
                </w14:textFill>
              </w:rPr>
            </w:pPr>
            <w:r>
              <w:rPr>
                <w:rStyle w:val="60"/>
                <w:rFonts w:hint="default" w:ascii="Times New Roman" w:hAnsi="Times New Roman" w:eastAsia="宋体" w:cs="Times New Roman"/>
                <w:color w:val="000000" w:themeColor="text1"/>
                <w:szCs w:val="21"/>
                <w14:textFill>
                  <w14:solidFill>
                    <w14:schemeClr w14:val="tx1"/>
                  </w14:solidFill>
                </w14:textFill>
              </w:rPr>
              <w:t>方案设计对项目的实施计划、人力资源安排、风险管理等方面要达到切实可行，能够有效地展现实施方案的时效性。</w:t>
            </w:r>
          </w:p>
        </w:tc>
      </w:tr>
    </w:tbl>
    <w:p>
      <w:pPr>
        <w:pStyle w:val="23"/>
        <w:rPr>
          <w:rFonts w:hint="default" w:ascii="Times New Roman" w:hAnsi="Times New Roman" w:cs="Times New Roman"/>
        </w:rPr>
      </w:pPr>
      <w:bookmarkStart w:id="36" w:name="_Toc152069782"/>
    </w:p>
    <w:p>
      <w:pPr>
        <w:spacing w:line="360" w:lineRule="auto"/>
        <w:rPr>
          <w:rFonts w:hint="default" w:ascii="Times New Roman" w:hAnsi="Times New Roman" w:cs="Times New Roman"/>
        </w:rPr>
      </w:pPr>
      <w:r>
        <w:rPr>
          <w:rFonts w:hint="default" w:ascii="Times New Roman" w:hAnsi="Times New Roman" w:cs="Times New Roman"/>
        </w:rPr>
        <w:br w:type="page"/>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（二）</w:t>
      </w:r>
      <w:bookmarkEnd w:id="36"/>
      <w:r>
        <w:rPr>
          <w:rFonts w:hint="default" w:ascii="Times New Roman" w:hAnsi="Times New Roman" w:cs="Times New Roman"/>
        </w:rPr>
        <w:t>陕西省工业和信息化厅“数字工信”建设项目一期系统建设</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2" w:firstLineChars="200"/>
        <w:jc w:val="left"/>
        <w:textAlignment w:val="auto"/>
        <w:rPr>
          <w:rFonts w:hint="default" w:ascii="Times New Roman" w:hAnsi="Times New Roman" w:eastAsia="宋体" w:cs="Times New Roman"/>
          <w:b/>
          <w:bCs/>
          <w:kern w:val="0"/>
          <w:szCs w:val="21"/>
        </w:rPr>
      </w:pPr>
      <w:r>
        <w:rPr>
          <w:rFonts w:hint="default" w:ascii="Times New Roman" w:hAnsi="Times New Roman" w:eastAsia="宋体" w:cs="Times New Roman"/>
          <w:b/>
          <w:bCs/>
          <w:kern w:val="0"/>
          <w:szCs w:val="21"/>
        </w:rPr>
        <w:t>标的名称：陕西省工业和信息化厅“数字工信”建设项目一期系统建设</w:t>
      </w:r>
    </w:p>
    <w:tbl>
      <w:tblPr>
        <w:tblStyle w:val="18"/>
        <w:tblW w:w="5216"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143"/>
        <w:gridCol w:w="683"/>
        <w:gridCol w:w="708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41"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参数性质</w:t>
            </w:r>
          </w:p>
        </w:tc>
        <w:tc>
          <w:tcPr>
            <w:tcW w:w="383"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序号</w:t>
            </w:r>
          </w:p>
        </w:tc>
        <w:tc>
          <w:tcPr>
            <w:tcW w:w="3974"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技术参数与性能指标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41"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w:t>
            </w:r>
          </w:p>
        </w:tc>
        <w:tc>
          <w:tcPr>
            <w:tcW w:w="383"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1</w:t>
            </w:r>
          </w:p>
        </w:tc>
        <w:tc>
          <w:tcPr>
            <w:tcW w:w="3974"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1.平台建设要求</w:t>
            </w:r>
          </w:p>
          <w:p>
            <w:pPr>
              <w:spacing w:line="360" w:lineRule="auto"/>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（1）业务应用系统建设</w:t>
            </w:r>
          </w:p>
          <w:p>
            <w:pPr>
              <w:spacing w:line="360" w:lineRule="auto"/>
              <w:jc w:val="left"/>
              <w:rPr>
                <w:rFonts w:hint="default" w:ascii="Times New Roman" w:hAnsi="Times New Roman" w:eastAsia="宋体" w:cs="Times New Roman"/>
                <w:szCs w:val="21"/>
              </w:rPr>
            </w:pPr>
            <w:r>
              <w:rPr>
                <w:rFonts w:hint="eastAsia" w:ascii="Times New Roman" w:hAnsi="Times New Roman" w:eastAsia="宋体" w:cs="Times New Roman"/>
                <w:b/>
                <w:bCs/>
                <w:szCs w:val="21"/>
                <w:lang w:val="en-US" w:eastAsia="zh-CN"/>
              </w:rPr>
              <w:t>1）</w:t>
            </w:r>
            <w:r>
              <w:rPr>
                <w:rFonts w:hint="default" w:ascii="Times New Roman" w:hAnsi="Times New Roman" w:eastAsia="宋体" w:cs="Times New Roman"/>
                <w:b/>
                <w:bCs/>
                <w:szCs w:val="21"/>
              </w:rPr>
              <w:t>建设产业链信息服务系统</w:t>
            </w:r>
            <w:r>
              <w:rPr>
                <w:rFonts w:hint="default" w:ascii="Times New Roman" w:hAnsi="Times New Roman" w:eastAsia="宋体" w:cs="Times New Roman"/>
                <w:szCs w:val="21"/>
              </w:rPr>
              <w:t>，功能包括产业全景、产业推进看板、链上企业综合评价、产业链运行监测、产业链招商、产业链人才服务、政策动态、补链强链、招商项目监管、链上企业公共服务及产业链基础服务，通过PC端、</w:t>
            </w:r>
            <w:r>
              <w:rPr>
                <w:rFonts w:hint="eastAsia" w:ascii="Times New Roman" w:hAnsi="Times New Roman" w:eastAsia="宋体" w:cs="Times New Roman"/>
                <w:szCs w:val="21"/>
                <w:lang w:eastAsia="zh-CN"/>
              </w:rPr>
              <w:t>移动</w:t>
            </w:r>
            <w:r>
              <w:rPr>
                <w:rFonts w:hint="default" w:ascii="Times New Roman" w:hAnsi="Times New Roman" w:eastAsia="宋体" w:cs="Times New Roman"/>
                <w:szCs w:val="21"/>
              </w:rPr>
              <w:t>端（不含管理端）为政府、企业及整个产业链创造重要价值，为我省产业链的发展提供新的动力。</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①产业全景：</w:t>
            </w:r>
            <w:r>
              <w:rPr>
                <w:rFonts w:hint="default" w:ascii="Times New Roman" w:hAnsi="Times New Roman" w:eastAsia="宋体" w:cs="Times New Roman"/>
                <w:szCs w:val="21"/>
              </w:rPr>
              <w:t>通过对现有各产业链数据的采集分析，从多维度全面的剖析各产业链的发展现状，为政府领导层对产业布局的优化提供数据参考，提供产业总览、产业图谱、产业链地图、链上企业、产业分析、龙头企业等功能。</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②产业推进看板：</w:t>
            </w:r>
            <w:r>
              <w:rPr>
                <w:rFonts w:hint="default" w:ascii="Times New Roman" w:hAnsi="Times New Roman" w:eastAsia="宋体" w:cs="Times New Roman"/>
                <w:szCs w:val="21"/>
              </w:rPr>
              <w:t>实现对各产业链的重大项目、任务进行精细化的分解管理，达到将任务落实到具体的部门，责任划分到人，确保项目的执行进度和执行成果可达预期目标，提供作战看板、重大项目动态、预警看板、本机构项目、项目过程管理等功能。</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③链上企业综合评价：</w:t>
            </w:r>
            <w:r>
              <w:rPr>
                <w:rFonts w:hint="default" w:ascii="Times New Roman" w:hAnsi="Times New Roman" w:eastAsia="宋体" w:cs="Times New Roman"/>
                <w:szCs w:val="21"/>
              </w:rPr>
              <w:t>实现对链上企业的综合评价服务，提供对企业综合评价各类指标、评价规则、权重设置、指标得分等信息的统一管理，以及查询企业评分信息、链上企业综合评分报告导出等功能。</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④产业链运行监测：</w:t>
            </w:r>
            <w:r>
              <w:rPr>
                <w:rFonts w:hint="default" w:ascii="Times New Roman" w:hAnsi="Times New Roman" w:eastAsia="宋体" w:cs="Times New Roman"/>
                <w:szCs w:val="21"/>
              </w:rPr>
              <w:t>实现从产业发展、企业发展、生产经营及技术创新等多方面进行产业运行链上企业的监测分析，赋能政府侧、服务链上企业，提供链上企业监测和产业运行监测功能。</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⑤产业链招商：</w:t>
            </w:r>
            <w:r>
              <w:rPr>
                <w:rFonts w:hint="default" w:ascii="Times New Roman" w:hAnsi="Times New Roman" w:eastAsia="宋体" w:cs="Times New Roman"/>
                <w:szCs w:val="21"/>
              </w:rPr>
              <w:t>提供招商智库、招商动态、招商政策、招商地图、招商咨询及投资促进等产业链招商服务，有效推进产业链攀升和价值链的提升，实现产业链整体转型升级。</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⑥产业链人才服务：</w:t>
            </w:r>
            <w:r>
              <w:rPr>
                <w:rFonts w:hint="default" w:ascii="Times New Roman" w:hAnsi="Times New Roman" w:eastAsia="宋体" w:cs="Times New Roman"/>
                <w:szCs w:val="21"/>
              </w:rPr>
              <w:t>提供从教育背景、工作简历、专业技能、科研成果等多维度对产业链人才的综合查询及分析服务，为产业链企业提供全面、高效、优质的人才服务。</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⑦政策动态：</w:t>
            </w:r>
            <w:r>
              <w:rPr>
                <w:rFonts w:hint="default" w:ascii="Times New Roman" w:hAnsi="Times New Roman" w:eastAsia="宋体" w:cs="Times New Roman"/>
                <w:szCs w:val="21"/>
              </w:rPr>
              <w:t>提供各产业链政策动态和政策动态等信息集中统一展现方式，为政府部门快速掌握最新的政策动态提供抓手，为其施政提供支撑。</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⑧补链强链：</w:t>
            </w:r>
            <w:r>
              <w:rPr>
                <w:rFonts w:hint="default" w:ascii="Times New Roman" w:hAnsi="Times New Roman" w:eastAsia="宋体" w:cs="Times New Roman"/>
                <w:szCs w:val="21"/>
              </w:rPr>
              <w:t>提供补链强链和产业发展联盟功能，通过补链强链对整个产业链规划、产业工作简报、揭榜挂帅等数据的综合梳理展现，为管理者招商引资或者技术引进，执行“补链”方针提供决策支撑；通过产业发展联盟服务，实现创新资源的有效分工与合理衔接，实现产业链上下游企业的协同创新，包含成员招募与管理、合作项目发布、资源共享与互助、项目管理与协作、投票与决策管理、合作成果展示管理及行业研究报告管理等功能。</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⑨招商项目监管：</w:t>
            </w:r>
            <w:r>
              <w:rPr>
                <w:rFonts w:hint="default" w:ascii="Times New Roman" w:hAnsi="Times New Roman" w:eastAsia="宋体" w:cs="Times New Roman"/>
                <w:szCs w:val="21"/>
              </w:rPr>
              <w:t>提供对各产业链上的在建项目、意向项目及拟建项目的进行监督服务，确保项目的合法性、合规性和可行性，保护投资者的利益，促进经济发展。</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⑩链上企业公共服务：</w:t>
            </w:r>
            <w:r>
              <w:rPr>
                <w:rFonts w:hint="default" w:ascii="Times New Roman" w:hAnsi="Times New Roman" w:eastAsia="宋体" w:cs="Times New Roman"/>
                <w:szCs w:val="21"/>
              </w:rPr>
              <w:t>提供各产业链的热点信息、产业资讯、产业政策、产业供求、活动发布、产业学堂等公共服务，使链上企业可以方便地获取各种公共资源，提高服务质量和效率，推动产业经济高质量发展，赋能政府侧、服务链上企业。</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⑪产业链基础服务：</w:t>
            </w:r>
            <w:r>
              <w:rPr>
                <w:rFonts w:hint="default" w:ascii="Times New Roman" w:hAnsi="Times New Roman" w:eastAsia="宋体" w:cs="Times New Roman"/>
                <w:szCs w:val="21"/>
              </w:rPr>
              <w:t>提供对系统用户、组织、角色及权限等基础信息的统一管理，支持对产业链数据接入和产业链数据共享。</w:t>
            </w:r>
          </w:p>
          <w:p>
            <w:pPr>
              <w:spacing w:line="360" w:lineRule="auto"/>
              <w:jc w:val="left"/>
              <w:rPr>
                <w:rFonts w:hint="default" w:ascii="Times New Roman" w:hAnsi="Times New Roman" w:eastAsia="宋体" w:cs="Times New Roman"/>
                <w:szCs w:val="21"/>
              </w:rPr>
            </w:pPr>
            <w:r>
              <w:rPr>
                <w:rFonts w:hint="eastAsia" w:ascii="Times New Roman" w:hAnsi="Times New Roman" w:eastAsia="宋体" w:cs="Times New Roman"/>
                <w:b/>
                <w:bCs/>
                <w:szCs w:val="21"/>
                <w:lang w:val="en-US" w:eastAsia="zh-CN"/>
              </w:rPr>
              <w:t>2）</w:t>
            </w:r>
            <w:r>
              <w:rPr>
                <w:rFonts w:hint="default" w:ascii="Times New Roman" w:hAnsi="Times New Roman" w:eastAsia="宋体" w:cs="Times New Roman"/>
                <w:b/>
                <w:bCs/>
                <w:szCs w:val="21"/>
              </w:rPr>
              <w:t>建设全省民营经济发展考核评价系统</w:t>
            </w:r>
            <w:r>
              <w:rPr>
                <w:rFonts w:hint="default" w:ascii="Times New Roman" w:hAnsi="Times New Roman" w:eastAsia="宋体" w:cs="Times New Roman"/>
                <w:szCs w:val="21"/>
              </w:rPr>
              <w:t>，功能包括县（市）区考核评价指标填报管理、部门考核评价指标填报管理、加减分指标填报管理、填报进度管理、统计汇总、可视化分析、填报配置管理等功能，为各级政府和相关部门改进服务民营经济发展工作提供方向指引和考核依据。</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①县（市）区考核评价指标填报管理：</w:t>
            </w:r>
            <w:r>
              <w:rPr>
                <w:rFonts w:hint="default" w:ascii="Times New Roman" w:hAnsi="Times New Roman" w:eastAsia="宋体" w:cs="Times New Roman"/>
                <w:szCs w:val="21"/>
              </w:rPr>
              <w:t>提供县（市）区考核评价指标填报数据的收集管理工作，区县报送到市，市审核汇总上报至省，并支持可通过状态（待提交、待审核、已审核）、年份、所属地市、区县等条件查询符合条件的查询结果。</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②部门考核评价指标填报管理：</w:t>
            </w:r>
            <w:r>
              <w:rPr>
                <w:rFonts w:hint="default" w:ascii="Times New Roman" w:hAnsi="Times New Roman" w:eastAsia="宋体" w:cs="Times New Roman"/>
                <w:szCs w:val="21"/>
              </w:rPr>
              <w:t>提供省级部门考核评价指标填报数据的收集管理工作。报送流程为各厅局委办报送、工信厅审核（打分）、报送省委组织部审核，并支持部门指标模板下载功能以及设置填报期限功能。</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③加减分指标填报管理：</w:t>
            </w:r>
            <w:r>
              <w:rPr>
                <w:rFonts w:hint="default" w:ascii="Times New Roman" w:hAnsi="Times New Roman" w:eastAsia="宋体" w:cs="Times New Roman"/>
                <w:szCs w:val="21"/>
              </w:rPr>
              <w:t>提供加减分指标填报数据的收集管理工作，并支持加减分指标模板下载功能，并收集相应的指标数据导入至系统，也可通过填写单条指标数据录入到系统内。</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④填报进度管理：</w:t>
            </w:r>
            <w:r>
              <w:rPr>
                <w:rFonts w:hint="default" w:ascii="Times New Roman" w:hAnsi="Times New Roman" w:eastAsia="宋体" w:cs="Times New Roman"/>
                <w:szCs w:val="21"/>
              </w:rPr>
              <w:t>提供对填报的流程设置各环节时限，并支持可按指标分类（县区、部门、加减分）高亮显示未完成填报工作的县（市）区或部门，可通过短信等形式提醒或催办以及可通过饼图显示报送完成率和通过时间轴考察报送效率。</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⑤统计汇总：</w:t>
            </w:r>
            <w:r>
              <w:rPr>
                <w:rFonts w:hint="default" w:ascii="Times New Roman" w:hAnsi="Times New Roman" w:eastAsia="宋体" w:cs="Times New Roman"/>
                <w:szCs w:val="21"/>
              </w:rPr>
              <w:t>提供对县（市）区指标、部门指标、加减分指标填报完成率、加减分指标评价分数排名（默认top10）的统计。</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⑥可视化分析：</w:t>
            </w:r>
            <w:r>
              <w:rPr>
                <w:rFonts w:hint="default" w:ascii="Times New Roman" w:hAnsi="Times New Roman" w:eastAsia="宋体" w:cs="Times New Roman"/>
                <w:szCs w:val="21"/>
              </w:rPr>
              <w:t>提供通过柱状图、折线图对各填报单位的历史评分变化趋势、历史填报完成率变化趋势进行一个展示。</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⑦填报配置管理：</w:t>
            </w:r>
            <w:r>
              <w:rPr>
                <w:rFonts w:hint="default" w:ascii="Times New Roman" w:hAnsi="Times New Roman" w:eastAsia="宋体" w:cs="Times New Roman"/>
                <w:szCs w:val="21"/>
              </w:rPr>
              <w:t>提供填报范围管理功能，可在此功能中勾选参与考核评价填报的单位或部门，并支持指标类别、填报状态、加减分等枚举值的增删改查功能以及流程配置管理功能。</w:t>
            </w:r>
          </w:p>
          <w:p>
            <w:pPr>
              <w:spacing w:line="360" w:lineRule="auto"/>
              <w:jc w:val="left"/>
              <w:rPr>
                <w:rFonts w:hint="default" w:ascii="Times New Roman" w:hAnsi="Times New Roman" w:eastAsia="宋体" w:cs="Times New Roman"/>
                <w:szCs w:val="21"/>
              </w:rPr>
            </w:pPr>
            <w:r>
              <w:rPr>
                <w:rFonts w:hint="eastAsia" w:ascii="Times New Roman" w:hAnsi="Times New Roman" w:eastAsia="宋体" w:cs="Times New Roman"/>
                <w:b/>
                <w:bCs/>
                <w:szCs w:val="21"/>
                <w:lang w:val="en-US" w:eastAsia="zh-CN"/>
              </w:rPr>
              <w:t>3）</w:t>
            </w:r>
            <w:r>
              <w:rPr>
                <w:rFonts w:hint="default" w:ascii="Times New Roman" w:hAnsi="Times New Roman" w:eastAsia="宋体" w:cs="Times New Roman"/>
                <w:b/>
                <w:bCs/>
                <w:szCs w:val="21"/>
              </w:rPr>
              <w:t>建设制造业单项冠军培育企业入库申报系统（产业调控类）</w:t>
            </w:r>
            <w:r>
              <w:rPr>
                <w:rFonts w:hint="default" w:ascii="Times New Roman" w:hAnsi="Times New Roman" w:eastAsia="宋体" w:cs="Times New Roman"/>
                <w:szCs w:val="21"/>
              </w:rPr>
              <w:t>，功能包括项目管理、附件管理、企业管理、自动审核、自动催报、产品维护等功能，使具备标准条件的企业可以通过填写制造业单项冠军企业入库申请表提交至区县、市级、省级进行审核完成企业数据入库。</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①项目管理：</w:t>
            </w:r>
            <w:r>
              <w:rPr>
                <w:rFonts w:hint="default" w:ascii="Times New Roman" w:hAnsi="Times New Roman" w:eastAsia="宋体" w:cs="Times New Roman"/>
                <w:szCs w:val="21"/>
              </w:rPr>
              <w:t>提供符合培育企业入库标准的制造业单项冠军企业填写培育企业入库申请表并提交的功能，企业填写完申请表之后提交至区县、市级、省级进行逐级审核，直至审核状态为审核完成。</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②附件管理：</w:t>
            </w:r>
            <w:r>
              <w:rPr>
                <w:rFonts w:hint="default" w:ascii="Times New Roman" w:hAnsi="Times New Roman" w:eastAsia="宋体" w:cs="Times New Roman"/>
                <w:szCs w:val="21"/>
              </w:rPr>
              <w:t>提供企业用户在填写申请表时上传证明材料的功能。企业用户可通过选择本地的文件对证明材料进行上传，工信部门审核用户可对上传的文件进行查看或者下载，并且上传的文件格式支持所有格式。</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③企业管理：</w:t>
            </w:r>
            <w:r>
              <w:rPr>
                <w:rFonts w:hint="default" w:ascii="Times New Roman" w:hAnsi="Times New Roman" w:eastAsia="宋体" w:cs="Times New Roman"/>
                <w:szCs w:val="21"/>
              </w:rPr>
              <w:t>提供省级工信审核部门用户对企业信息的维护以及催报的功能。可通过上报状态来了解企业的上报情况，未上报则可以通过一键催报对企业发送短信进行催报，并支持查询催报记录的功能。</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④自动审核：</w:t>
            </w:r>
            <w:r>
              <w:rPr>
                <w:rFonts w:hint="default" w:ascii="Times New Roman" w:hAnsi="Times New Roman" w:eastAsia="宋体" w:cs="Times New Roman"/>
                <w:szCs w:val="21"/>
              </w:rPr>
              <w:t>提供系统按照省级管理员设置的审核时间自动进行审核的功能。具备自动审核记录，由于手动审核和自动审核存在差异，可以与手动审核记录区分开，能够清晰的辨认出审核的具体情况。</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⑤自动催报：</w:t>
            </w:r>
            <w:r>
              <w:rPr>
                <w:rFonts w:hint="default" w:ascii="Times New Roman" w:hAnsi="Times New Roman" w:eastAsia="宋体" w:cs="Times New Roman"/>
                <w:szCs w:val="21"/>
              </w:rPr>
              <w:t>提供系统设置固定催报时间进行自动发送短信到用户手机完成催报的功能。具备自动催报的记录，记录包括企业名称、催报时间、催报情况等。</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⑥产品维护：</w:t>
            </w:r>
            <w:r>
              <w:rPr>
                <w:rFonts w:hint="default" w:ascii="Times New Roman" w:hAnsi="Times New Roman" w:eastAsia="宋体" w:cs="Times New Roman"/>
                <w:szCs w:val="21"/>
              </w:rPr>
              <w:t>提供省级审核管理部门对产品进行日常维护的功能。可查看到相关产品信息，并对产品信息进行修改以及删除等日常维护操作。具备查询和导出功能，通过导出即可将产品信息数据以Excel文件导出至本地。</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⑦区域汇总统计：</w:t>
            </w:r>
            <w:r>
              <w:rPr>
                <w:rFonts w:hint="default" w:ascii="Times New Roman" w:hAnsi="Times New Roman" w:eastAsia="宋体" w:cs="Times New Roman"/>
                <w:szCs w:val="21"/>
              </w:rPr>
              <w:t>提供工信部门审核用户可通过此功能界面查看到本区域的数据汇总信息数据的功能。具备查询和导出功能，可通过导出将数据信息导出至本地。</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⑧汇总统计：</w:t>
            </w:r>
            <w:r>
              <w:rPr>
                <w:rFonts w:hint="default" w:ascii="Times New Roman" w:hAnsi="Times New Roman" w:eastAsia="宋体" w:cs="Times New Roman"/>
                <w:szCs w:val="21"/>
              </w:rPr>
              <w:t>提供工信部门审核用户可通过此功能界面查看到本区域的数据汇总信息数据的功能。具备查询和导出功能，可通过导出将数据信息导出至本地。</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⑨可视化分析：</w:t>
            </w:r>
            <w:r>
              <w:rPr>
                <w:rFonts w:hint="default" w:ascii="Times New Roman" w:hAnsi="Times New Roman" w:eastAsia="宋体" w:cs="Times New Roman"/>
                <w:szCs w:val="21"/>
              </w:rPr>
              <w:t>提供可视化界面，对产品的销售收入、产品的销售数量、全球市场占有率、国内市场占有率、省内市场占有率等数据进行直观展示。</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⑩时间管理：</w:t>
            </w:r>
            <w:r>
              <w:rPr>
                <w:rFonts w:hint="default" w:ascii="Times New Roman" w:hAnsi="Times New Roman" w:eastAsia="宋体" w:cs="Times New Roman"/>
                <w:szCs w:val="21"/>
              </w:rPr>
              <w:t>提供省级管理员用户可通过设置自动审核延迟时间、申报的时间来规定特定的时间进行自动审核和项目申报的功能。在省级管理员用户完成时间设定后，系统即会在设定的时间进行自动审核以及申报项目。</w:t>
            </w:r>
          </w:p>
          <w:p>
            <w:pPr>
              <w:spacing w:line="360" w:lineRule="auto"/>
              <w:jc w:val="left"/>
              <w:rPr>
                <w:rFonts w:hint="default" w:ascii="Times New Roman" w:hAnsi="Times New Roman" w:eastAsia="宋体" w:cs="Times New Roman"/>
                <w:szCs w:val="21"/>
              </w:rPr>
            </w:pPr>
            <w:r>
              <w:rPr>
                <w:rFonts w:hint="eastAsia" w:ascii="Times New Roman" w:hAnsi="Times New Roman" w:eastAsia="宋体" w:cs="Times New Roman"/>
                <w:b/>
                <w:bCs/>
                <w:szCs w:val="21"/>
                <w:lang w:val="en-US" w:eastAsia="zh-CN"/>
              </w:rPr>
              <w:t>4）</w:t>
            </w:r>
            <w:r>
              <w:rPr>
                <w:rFonts w:hint="default" w:ascii="Times New Roman" w:hAnsi="Times New Roman" w:eastAsia="宋体" w:cs="Times New Roman"/>
                <w:b/>
                <w:bCs/>
                <w:szCs w:val="21"/>
              </w:rPr>
              <w:t>建设制造业产业链领航培育企业入库申报功系统（产业调控类）</w:t>
            </w:r>
            <w:r>
              <w:rPr>
                <w:rFonts w:hint="default" w:ascii="Times New Roman" w:hAnsi="Times New Roman" w:eastAsia="宋体" w:cs="Times New Roman"/>
                <w:szCs w:val="21"/>
              </w:rPr>
              <w:t>，功能包括：项目管理、附件管理、企业管理、自动审核、自动催报等功能，使具备标准条件的企业可以通过填写制造业产业链领航培育企业入库申请表提交至区县、市级、省级进行审核完成企业数据入库。</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①项目管理：</w:t>
            </w:r>
            <w:r>
              <w:rPr>
                <w:rFonts w:hint="default" w:ascii="Times New Roman" w:hAnsi="Times New Roman" w:eastAsia="宋体" w:cs="Times New Roman"/>
                <w:szCs w:val="21"/>
              </w:rPr>
              <w:t>提供符合培育企业入库标准的制造业产业链领航企业填写培育企业入库申请表并提交的工作，企业填写完申请表之后提交至区县、市级、省级进行逐级审核，直至审核状态为审核完成。</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②附件管理：</w:t>
            </w:r>
            <w:r>
              <w:rPr>
                <w:rFonts w:hint="default" w:ascii="Times New Roman" w:hAnsi="Times New Roman" w:eastAsia="宋体" w:cs="Times New Roman"/>
                <w:szCs w:val="21"/>
              </w:rPr>
              <w:t>提供企业用户在填写申请表时上传证明材料的功能。企业用户可通过选择本地的文件对证明材料进行上传，工信部门审核用户可对上传的文件进行查看或者下载，并且上传的文件格式支持所有格式。</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③企业管理：</w:t>
            </w:r>
            <w:r>
              <w:rPr>
                <w:rFonts w:hint="default" w:ascii="Times New Roman" w:hAnsi="Times New Roman" w:eastAsia="宋体" w:cs="Times New Roman"/>
                <w:szCs w:val="21"/>
              </w:rPr>
              <w:t>提供省级工信审核部门用户对企业信息的维护以及催报的功能。可通过上报状态来了解企业的上报情况，未上报则可以通过一键催报对企业发送短信进行催报，并支持查询催报记录的功能。</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④自动审核：</w:t>
            </w:r>
            <w:r>
              <w:rPr>
                <w:rFonts w:hint="default" w:ascii="Times New Roman" w:hAnsi="Times New Roman" w:eastAsia="宋体" w:cs="Times New Roman"/>
                <w:szCs w:val="21"/>
              </w:rPr>
              <w:t>提供系统按照省级管理员设置的审核时间自动进行审核的功能。具备自动审核记录，由于手动审核和自动审核存在差异，可以与手动审核记录区分开，能够清晰的辨认出审核的具体情况。</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⑤自动催报：</w:t>
            </w:r>
            <w:r>
              <w:rPr>
                <w:rFonts w:hint="default" w:ascii="Times New Roman" w:hAnsi="Times New Roman" w:eastAsia="宋体" w:cs="Times New Roman"/>
                <w:szCs w:val="21"/>
              </w:rPr>
              <w:t>提供系统设置固定催报时间进行自动发送短信到用户手机完成催报的功能。具备自动催报的记录，记录包括企业名称、催报时间、催报情况等。</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⑥时间管理：</w:t>
            </w:r>
            <w:r>
              <w:rPr>
                <w:rFonts w:hint="default" w:ascii="Times New Roman" w:hAnsi="Times New Roman" w:eastAsia="宋体" w:cs="Times New Roman"/>
                <w:szCs w:val="21"/>
              </w:rPr>
              <w:t>提供省级管理员用户可通过设置自动审核延迟时间、申报的时间来规定特定的时间进行自动审核和项目申报的功能。在省级管理员用户完成时间设定后，系统即会在设定的时间进行自动审核以及申报项目。</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⑦汇总统计：</w:t>
            </w:r>
            <w:r>
              <w:rPr>
                <w:rFonts w:hint="default" w:ascii="Times New Roman" w:hAnsi="Times New Roman" w:eastAsia="宋体" w:cs="Times New Roman"/>
                <w:szCs w:val="21"/>
              </w:rPr>
              <w:t>提供工信部门审核用户可通过此功能界面查看到本区域的数据汇总信息数据的功能。具备和导出功能，可通过导出将数据信息导出至本地。</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⑧可视化分析：</w:t>
            </w:r>
            <w:r>
              <w:rPr>
                <w:rFonts w:hint="default" w:ascii="Times New Roman" w:hAnsi="Times New Roman" w:eastAsia="宋体" w:cs="Times New Roman"/>
                <w:szCs w:val="21"/>
              </w:rPr>
              <w:t>提供可视化界面，对市场占有率、全员劳动生产率、经济增加值率、净资产收益率等数据进行直观展示。</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⑨企业上报统计：</w:t>
            </w:r>
            <w:r>
              <w:rPr>
                <w:rFonts w:hint="default" w:ascii="Times New Roman" w:hAnsi="Times New Roman" w:eastAsia="宋体" w:cs="Times New Roman"/>
                <w:szCs w:val="21"/>
              </w:rPr>
              <w:t>提供省级审核部门能够根据上报年度、上报月份查询符合条件的各地市制造业产业链领航培育企业申报数据的功能。表内有各地市企业总数、未上报企业数、已填报企业数、填报率。具备自动形成各地市上报率柱状图。</w:t>
            </w:r>
          </w:p>
          <w:p>
            <w:pPr>
              <w:spacing w:line="360" w:lineRule="auto"/>
              <w:jc w:val="left"/>
              <w:rPr>
                <w:rFonts w:hint="default" w:ascii="Times New Roman" w:hAnsi="Times New Roman" w:eastAsia="宋体" w:cs="Times New Roman"/>
                <w:szCs w:val="21"/>
              </w:rPr>
            </w:pPr>
            <w:r>
              <w:rPr>
                <w:rFonts w:hint="eastAsia" w:ascii="Times New Roman" w:hAnsi="Times New Roman" w:eastAsia="宋体" w:cs="Times New Roman"/>
                <w:b/>
                <w:bCs/>
                <w:szCs w:val="21"/>
                <w:lang w:val="en-US" w:eastAsia="zh-CN"/>
              </w:rPr>
              <w:t>5）</w:t>
            </w:r>
            <w:r>
              <w:rPr>
                <w:rFonts w:hint="default" w:ascii="Times New Roman" w:hAnsi="Times New Roman" w:eastAsia="宋体" w:cs="Times New Roman"/>
                <w:b/>
                <w:bCs/>
                <w:szCs w:val="21"/>
              </w:rPr>
              <w:t>建设干部考察民主测评和政治素质系统</w:t>
            </w:r>
            <w:r>
              <w:rPr>
                <w:rFonts w:hint="default" w:ascii="Times New Roman" w:hAnsi="Times New Roman" w:eastAsia="宋体" w:cs="Times New Roman"/>
                <w:szCs w:val="21"/>
              </w:rPr>
              <w:t>，功能包括正面清单管理、负面清单管理、民主测评表管理、汇总统计、可视化分析。</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①正面清单管理：</w:t>
            </w:r>
            <w:r>
              <w:rPr>
                <w:rFonts w:hint="default" w:ascii="Times New Roman" w:hAnsi="Times New Roman" w:eastAsia="宋体" w:cs="Times New Roman"/>
                <w:szCs w:val="21"/>
              </w:rPr>
              <w:t>功能满足各处室人员对正面清单表单的填写功能，并具备通过被测评人员姓名、年份等条件对提交的清单进行查询以及编辑、删除功能。</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②负面清单管理：</w:t>
            </w:r>
            <w:r>
              <w:rPr>
                <w:rFonts w:hint="default" w:ascii="Times New Roman" w:hAnsi="Times New Roman" w:eastAsia="宋体" w:cs="Times New Roman"/>
                <w:szCs w:val="21"/>
              </w:rPr>
              <w:t>功能满足各处室人员对负面清单表单的填写功能，并具备通过被测评人员姓名、年份等条件对提交的清单进行查询以及编辑、删除功能。</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③民主测评表管理：</w:t>
            </w:r>
            <w:r>
              <w:rPr>
                <w:rFonts w:hint="default" w:ascii="Times New Roman" w:hAnsi="Times New Roman" w:eastAsia="宋体" w:cs="Times New Roman"/>
                <w:szCs w:val="21"/>
              </w:rPr>
              <w:t>功能满足各处室人员对民主测评表的填写功能，并具备通过被测评人员姓名、年份等条件对提交的清单进行查询以及编辑、删除功能。</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④汇总统计：</w:t>
            </w:r>
            <w:r>
              <w:rPr>
                <w:rFonts w:hint="default" w:ascii="Times New Roman" w:hAnsi="Times New Roman" w:eastAsia="宋体" w:cs="Times New Roman"/>
                <w:szCs w:val="21"/>
              </w:rPr>
              <w:t>提供按照测评表为条件对每位被测评人的政治素质、德、能、勤、绩、廉等信息进行汇总统计，并支持通过测评表、被测评人员姓名、年份等条件对符合条件的汇总数据进行查询以及导出功能。</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⑤可视化分析：</w:t>
            </w:r>
            <w:r>
              <w:rPr>
                <w:rFonts w:hint="default" w:ascii="Times New Roman" w:hAnsi="Times New Roman" w:eastAsia="宋体" w:cs="Times New Roman"/>
                <w:szCs w:val="21"/>
              </w:rPr>
              <w:t>提供以测评表、时间为维度通过柱状图以及饼状图的展示形式，对政治素质、德、能、勤、绩、廉等数据进行直观展并支持通过所属测评表、年份等条件查询符合条件的查询结果。</w:t>
            </w:r>
          </w:p>
          <w:p>
            <w:pPr>
              <w:spacing w:line="360" w:lineRule="auto"/>
              <w:jc w:val="left"/>
              <w:rPr>
                <w:rFonts w:hint="default" w:ascii="Times New Roman" w:hAnsi="Times New Roman" w:eastAsia="宋体" w:cs="Times New Roman"/>
                <w:szCs w:val="21"/>
              </w:rPr>
            </w:pPr>
            <w:r>
              <w:rPr>
                <w:rFonts w:hint="eastAsia" w:ascii="Times New Roman" w:hAnsi="Times New Roman" w:eastAsia="宋体" w:cs="Times New Roman"/>
                <w:b/>
                <w:szCs w:val="21"/>
                <w:lang w:val="en-US" w:eastAsia="zh-CN"/>
              </w:rPr>
              <w:t>6）</w:t>
            </w:r>
            <w:r>
              <w:rPr>
                <w:rFonts w:hint="default" w:ascii="Times New Roman" w:hAnsi="Times New Roman" w:eastAsia="宋体" w:cs="Times New Roman"/>
                <w:b/>
                <w:szCs w:val="21"/>
              </w:rPr>
              <w:t>升级陕西省工业和信息化领域招标投标监管服务系统</w:t>
            </w:r>
            <w:r>
              <w:rPr>
                <w:rFonts w:hint="default" w:ascii="Times New Roman" w:hAnsi="Times New Roman" w:eastAsia="宋体" w:cs="Times New Roman"/>
                <w:szCs w:val="21"/>
              </w:rPr>
              <w:t>，升级功能包括公共服务、监管机构管理、招标人管理、代理机构管理、专家管理、投标人管理、大数据可视化、移动端、外呼系统、CA身份认证、平台公共接口标准化，新增功能包括文件管理、专家考评、互联网监管、项目异常预警。</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①公共服务升级：</w:t>
            </w:r>
            <w:r>
              <w:rPr>
                <w:rFonts w:hint="default" w:ascii="Times New Roman" w:hAnsi="Times New Roman" w:eastAsia="宋体" w:cs="Times New Roman"/>
                <w:szCs w:val="21"/>
              </w:rPr>
              <w:t>升级工作动态、招标公告、预审公告、中标候选人公示、中标结果公示、变更公告、电子招投标、政策法规、公示栏等公告信息展示模块，各类用户注册与登录、金融服务、投诉处理等功能。新增第三方金融服务平台，新增第三方电子招投标系统接入。</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②监管机构管理升级：</w:t>
            </w:r>
            <w:r>
              <w:rPr>
                <w:rFonts w:hint="default" w:ascii="Times New Roman" w:hAnsi="Times New Roman" w:eastAsia="宋体" w:cs="Times New Roman"/>
                <w:szCs w:val="21"/>
              </w:rPr>
              <w:t>升级系统管理、招标管理、专家库管理、专家抽取管理、招标代理管理、发布信息管理、投诉管理、双随机抽取管理、数据统计、CA绑定管理等功能。对抽取到进行监管的项目的相关信息核准和通知，并编制报告，公示社会。</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③招标人管理升级：</w:t>
            </w:r>
            <w:r>
              <w:rPr>
                <w:rFonts w:hint="default" w:ascii="Times New Roman" w:hAnsi="Times New Roman" w:eastAsia="宋体" w:cs="Times New Roman"/>
                <w:szCs w:val="21"/>
              </w:rPr>
              <w:t>升级登记表报备、登记表管理、项目管理、招标管理等功能。</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④代理机构管理升级：</w:t>
            </w:r>
            <w:r>
              <w:rPr>
                <w:rFonts w:hint="default" w:ascii="Times New Roman" w:hAnsi="Times New Roman" w:eastAsia="宋体" w:cs="Times New Roman"/>
                <w:szCs w:val="21"/>
              </w:rPr>
              <w:t>升级招标代理备案管理、招标管理、内部账号管理等功能。</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⑤专家管理升级：</w:t>
            </w:r>
            <w:r>
              <w:rPr>
                <w:rFonts w:hint="default" w:ascii="Times New Roman" w:hAnsi="Times New Roman" w:eastAsia="宋体" w:cs="Times New Roman"/>
                <w:szCs w:val="21"/>
              </w:rPr>
              <w:t>升级专家库信息管理、专家隔离、专家处罚、外出设置、评标项目管理、评标反馈。</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⑥投标人管理升级：</w:t>
            </w:r>
            <w:r>
              <w:rPr>
                <w:rFonts w:hint="default" w:ascii="Times New Roman" w:hAnsi="Times New Roman" w:eastAsia="宋体" w:cs="Times New Roman"/>
                <w:szCs w:val="21"/>
              </w:rPr>
              <w:t>升级投标人金融服务功能，支持投标人在线开具担保保函并查看金融服务记录。</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⑦大数据可视化：</w:t>
            </w:r>
            <w:r>
              <w:rPr>
                <w:rFonts w:hint="default" w:ascii="Times New Roman" w:hAnsi="Times New Roman" w:eastAsia="宋体" w:cs="Times New Roman"/>
                <w:szCs w:val="21"/>
              </w:rPr>
              <w:t>通过大数据挖掘技术对系统数据进行筛选、统计、分析，实时掌握业务情况。</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⑧移动端升级：</w:t>
            </w:r>
            <w:r>
              <w:rPr>
                <w:rFonts w:hint="default" w:ascii="Times New Roman" w:hAnsi="Times New Roman" w:eastAsia="宋体" w:cs="Times New Roman"/>
                <w:szCs w:val="21"/>
              </w:rPr>
              <w:t>升级招标公告，动态信息、政策法规、用户登录、监管机构应用、招标人应用、代理机构应用、专家应用、投标人应用、信息推送等功能。信息推送支持电话主动推送、短信推送、微信推送等方式。</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⑨外呼系统升级：</w:t>
            </w:r>
            <w:r>
              <w:rPr>
                <w:rFonts w:hint="default" w:ascii="Times New Roman" w:hAnsi="Times New Roman" w:eastAsia="宋体" w:cs="Times New Roman"/>
                <w:szCs w:val="21"/>
              </w:rPr>
              <w:t>基于联网模式对抽取出的专家自动发送短信、微信、电话确认等操作，实时接收通知。解决目前外呼系统，多呼、少呼、错呼、语音和时间评标信息不一致等问题。</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⑩CA身份认证升级：</w:t>
            </w:r>
            <w:r>
              <w:rPr>
                <w:rFonts w:hint="default" w:ascii="Times New Roman" w:hAnsi="Times New Roman" w:eastAsia="宋体" w:cs="Times New Roman"/>
                <w:szCs w:val="21"/>
              </w:rPr>
              <w:t>升级CA数字证书认证服务，满足系统适配要求，在业务重要节点进行验证、签章。需满足多浏览器应用，历史数据CA保留，实现数字证书跨平台、跨部门、跨市县互认。</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⑪平台公共接口标准化升级：</w:t>
            </w:r>
            <w:r>
              <w:rPr>
                <w:rFonts w:hint="default" w:ascii="Times New Roman" w:hAnsi="Times New Roman" w:eastAsia="宋体" w:cs="Times New Roman"/>
                <w:szCs w:val="21"/>
              </w:rPr>
              <w:t>升级系统现有公共标准化接口；新增金融接口、金融信息回执接口、金融查验接口等；满足第三方交易系统接入，实现公告公示推送、项目备案、项目开标专家获取、用印审批、金融服务等功能。</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⑫文件管理：</w:t>
            </w:r>
            <w:r>
              <w:rPr>
                <w:rFonts w:hint="default" w:ascii="Times New Roman" w:hAnsi="Times New Roman" w:eastAsia="宋体" w:cs="Times New Roman"/>
                <w:szCs w:val="21"/>
              </w:rPr>
              <w:t>加强对招标投标活动事前、事中、事后全流程的监管，根据系统中存在的项目，对项目汇编文件进行上传及保存，系统对文件缺失的项目进行提醒，提供在线文件预览、下载。</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⑬专家考评：</w:t>
            </w:r>
            <w:r>
              <w:rPr>
                <w:rFonts w:hint="default" w:ascii="Times New Roman" w:hAnsi="Times New Roman" w:eastAsia="宋体" w:cs="Times New Roman"/>
                <w:szCs w:val="21"/>
              </w:rPr>
              <w:t>提供专家在线学习、技能自测，在线考试、题库管理、专家证书管理、考试结果统计，以及专家和代理机构互评等功能。</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⑭互联网监管：</w:t>
            </w:r>
            <w:r>
              <w:rPr>
                <w:rFonts w:hint="default" w:ascii="Times New Roman" w:hAnsi="Times New Roman" w:eastAsia="宋体" w:cs="Times New Roman"/>
                <w:szCs w:val="21"/>
              </w:rPr>
              <w:t>对接第三方交易平台，监控在线开标的项目。</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⑮项目异常预警：</w:t>
            </w:r>
            <w:r>
              <w:rPr>
                <w:rFonts w:hint="default" w:ascii="Times New Roman" w:hAnsi="Times New Roman" w:eastAsia="宋体" w:cs="Times New Roman"/>
                <w:szCs w:val="21"/>
              </w:rPr>
              <w:t>系统对备案表要素异常，项目公告发布异常，项目开标异常，结果公示异常，通过短信、电话、微信等方式对代理机构、监管机构进行提醒和反馈。</w:t>
            </w:r>
          </w:p>
          <w:p>
            <w:pPr>
              <w:spacing w:line="360" w:lineRule="auto"/>
              <w:rPr>
                <w:rFonts w:hint="default" w:ascii="Times New Roman" w:hAnsi="Times New Roman" w:eastAsia="宋体" w:cs="Times New Roman"/>
                <w:b/>
                <w:bCs/>
                <w:szCs w:val="21"/>
              </w:rPr>
            </w:pPr>
            <w:r>
              <w:rPr>
                <w:rFonts w:hint="default" w:ascii="Times New Roman" w:hAnsi="Times New Roman" w:eastAsia="宋体" w:cs="Times New Roman"/>
                <w:b/>
                <w:bCs/>
                <w:szCs w:val="21"/>
              </w:rPr>
              <w:t>（2）数据资源规划建设：</w:t>
            </w:r>
          </w:p>
          <w:p>
            <w:pPr>
              <w:spacing w:line="360" w:lineRule="auto"/>
              <w:jc w:val="left"/>
              <w:rPr>
                <w:rFonts w:hint="default" w:ascii="Times New Roman" w:hAnsi="Times New Roman" w:eastAsia="宋体" w:cs="Times New Roman"/>
                <w:szCs w:val="21"/>
              </w:rPr>
            </w:pPr>
            <w:r>
              <w:rPr>
                <w:rFonts w:hint="eastAsia" w:ascii="Times New Roman" w:hAnsi="Times New Roman" w:eastAsia="宋体" w:cs="Times New Roman"/>
                <w:b/>
                <w:szCs w:val="21"/>
                <w:lang w:val="en-US" w:eastAsia="zh-CN"/>
              </w:rPr>
              <w:t>1）</w:t>
            </w:r>
            <w:r>
              <w:rPr>
                <w:rFonts w:hint="default" w:ascii="Times New Roman" w:hAnsi="Times New Roman" w:eastAsia="宋体" w:cs="Times New Roman"/>
                <w:b/>
                <w:szCs w:val="21"/>
              </w:rPr>
              <w:t>升级并整合统一数据采集系统</w:t>
            </w:r>
            <w:r>
              <w:rPr>
                <w:rFonts w:hint="default" w:ascii="Times New Roman" w:hAnsi="Times New Roman" w:eastAsia="宋体" w:cs="Times New Roman"/>
                <w:szCs w:val="21"/>
              </w:rPr>
              <w:t>、核心基础数据管理系统、工业大数据平台为“数字工信”数据治理平台，平台包含大数据基础模块、数据治理系统、数据资源服务系统、数据汇聚系统、数据接口服务系统及数据安全系统</w:t>
            </w:r>
            <w:r>
              <w:rPr>
                <w:rFonts w:hint="default" w:ascii="Times New Roman" w:hAnsi="Times New Roman" w:eastAsia="宋体" w:cs="Times New Roman"/>
                <w:szCs w:val="21"/>
                <w:lang w:eastAsia="zh-CN"/>
              </w:rPr>
              <w:t>等</w:t>
            </w:r>
            <w:r>
              <w:rPr>
                <w:rFonts w:hint="default" w:ascii="Times New Roman" w:hAnsi="Times New Roman" w:eastAsia="宋体" w:cs="Times New Roman"/>
                <w:szCs w:val="21"/>
              </w:rPr>
              <w:t>。</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①大数据基础系统：</w:t>
            </w:r>
            <w:r>
              <w:rPr>
                <w:rFonts w:hint="default" w:ascii="Times New Roman" w:hAnsi="Times New Roman" w:eastAsia="宋体" w:cs="Times New Roman"/>
                <w:szCs w:val="21"/>
              </w:rPr>
              <w:t>由于“数字工信”存在数据种类多，数据量大和场景应用丰富的特点。为了能够更好的为上层业务提供支撑，需要对数据进行实时和离线分析。同时为了更快速响应业务需求，需要具备全文检索和交互式分析的能力。系统需可管理1000及以上节点，可管理节点满足无理论上限要求。随节点增加线性增长，大数据管理平台需支持管理存储PB级数据；</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②数据汇聚系统</w:t>
            </w:r>
            <w:r>
              <w:rPr>
                <w:rFonts w:hint="eastAsia" w:ascii="Times New Roman" w:hAnsi="Times New Roman" w:eastAsia="宋体" w:cs="Times New Roman"/>
                <w:b/>
                <w:bCs/>
                <w:szCs w:val="21"/>
                <w:lang w:eastAsia="zh-CN"/>
              </w:rPr>
              <w:t>：</w:t>
            </w:r>
            <w:r>
              <w:rPr>
                <w:rFonts w:hint="default" w:ascii="Times New Roman" w:hAnsi="Times New Roman" w:eastAsia="宋体" w:cs="Times New Roman"/>
                <w:szCs w:val="21"/>
              </w:rPr>
              <w:t>为了能够更好的获取数据资源，为上层业务提供服务，针对当前数据种类较少，数据总量不高的情况。本期项目需要升级已建设的统一数据采集系统，除了保持原有针对企业上报的数据采集模式，还需增加采集汇聚工信厅内部的业务数据，也需要能够对互联网、本地离线文件其他业务系统数据进行汇聚，从而达到实现多源数据融合，消除数据孤岛的真实需求，故需升级数据汇聚系统模块。</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③数据治理系统</w:t>
            </w:r>
            <w:r>
              <w:rPr>
                <w:rFonts w:hint="eastAsia" w:ascii="Times New Roman" w:hAnsi="Times New Roman" w:eastAsia="宋体" w:cs="Times New Roman"/>
                <w:b/>
                <w:bCs/>
                <w:szCs w:val="21"/>
                <w:lang w:eastAsia="zh-CN"/>
              </w:rPr>
              <w:t>：</w:t>
            </w:r>
            <w:r>
              <w:rPr>
                <w:rFonts w:hint="default" w:ascii="Times New Roman" w:hAnsi="Times New Roman" w:eastAsia="宋体" w:cs="Times New Roman"/>
                <w:szCs w:val="21"/>
              </w:rPr>
              <w:t>面对本期项目新接入数据，需要重新进行数据治理工作，制定数据标准，提升数据质量，由此带来对治理后数据进行规范资产化管理、理清数据资产家底的现实需求。应具备在线规划数据架构能力，通过可视化方式在线维护数据分层、数据分区。将传统命令行操作数据库方式，改为WEB端可视化交互，实现数据规划设计与实施落地同步进行，设计即落地。</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④数据资源服务系统</w:t>
            </w:r>
            <w:r>
              <w:rPr>
                <w:rFonts w:hint="eastAsia" w:ascii="Times New Roman" w:hAnsi="Times New Roman" w:eastAsia="宋体" w:cs="Times New Roman"/>
                <w:b/>
                <w:bCs/>
                <w:szCs w:val="21"/>
                <w:lang w:eastAsia="zh-CN"/>
              </w:rPr>
              <w:t>：</w:t>
            </w:r>
            <w:r>
              <w:rPr>
                <w:rFonts w:hint="default" w:ascii="Times New Roman" w:hAnsi="Times New Roman" w:eastAsia="宋体" w:cs="Times New Roman"/>
                <w:szCs w:val="21"/>
              </w:rPr>
              <w:t>本期项目需进一步规范数据资源体系，建立健全调度管理服务机制，搭建统一的数据服务出口，列明信息资源服务目录，实现可在线申请、订阅数据资源的目标，打通工信部数据通道，横向与省级政务数据共享交换平台对接，达到“纵向到底，横向到边”的数据管理目标。</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⑤数据接口服务系统</w:t>
            </w:r>
            <w:r>
              <w:rPr>
                <w:rFonts w:hint="eastAsia" w:ascii="Times New Roman" w:hAnsi="Times New Roman" w:eastAsia="宋体" w:cs="Times New Roman"/>
                <w:b/>
                <w:bCs/>
                <w:szCs w:val="21"/>
                <w:lang w:eastAsia="zh-CN"/>
              </w:rPr>
              <w:t>：</w:t>
            </w:r>
            <w:r>
              <w:rPr>
                <w:rFonts w:hint="default" w:ascii="Times New Roman" w:hAnsi="Times New Roman" w:eastAsia="宋体" w:cs="Times New Roman"/>
                <w:szCs w:val="21"/>
              </w:rPr>
              <w:t>依托本期项目对接的各类厅内、外数据所形成的数据资源库表，进行统一的接口开发与API封装，改善前期库表交换的情况，提高数据传递效能，需升级工业大数据平台，实现数据接口服务系统模块对所有接口进行规范化封装、测试、管理等功能。</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⑥数据安全系统</w:t>
            </w:r>
            <w:r>
              <w:rPr>
                <w:rFonts w:hint="eastAsia" w:ascii="Times New Roman" w:hAnsi="Times New Roman" w:eastAsia="宋体" w:cs="Times New Roman"/>
                <w:b/>
                <w:bCs/>
                <w:szCs w:val="21"/>
                <w:lang w:eastAsia="zh-CN"/>
              </w:rPr>
              <w:t>：</w:t>
            </w:r>
            <w:r>
              <w:rPr>
                <w:rFonts w:hint="default" w:ascii="Times New Roman" w:hAnsi="Times New Roman" w:eastAsia="宋体" w:cs="Times New Roman"/>
                <w:szCs w:val="21"/>
              </w:rPr>
              <w:t>为健全对本期项目数据资产成果的安全管理与防护，新建数据安全管理模块解决数据访问权限、数据分级分类、数据传输加密、数据脱敏等问题。支持敏感识别任务的查询检索、创建、编辑、运行、克隆、冻结、删除等操作，实现任务管理一体化、便捷化。无需编码，可视化配置敏感识别任务。</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⑦数据治理服务</w:t>
            </w:r>
            <w:r>
              <w:rPr>
                <w:rFonts w:hint="eastAsia" w:ascii="Times New Roman" w:hAnsi="Times New Roman" w:eastAsia="宋体" w:cs="Times New Roman"/>
                <w:b/>
                <w:bCs/>
                <w:szCs w:val="21"/>
                <w:lang w:eastAsia="zh-CN"/>
              </w:rPr>
              <w:t>：</w:t>
            </w:r>
            <w:r>
              <w:rPr>
                <w:rFonts w:hint="default" w:ascii="Times New Roman" w:hAnsi="Times New Roman" w:eastAsia="宋体" w:cs="Times New Roman"/>
                <w:szCs w:val="21"/>
              </w:rPr>
              <w:t>围绕“数字工信”进行数据资源体系梳理和规划，通过数据标准制定、数据资源调研及梳理盘点、数据归集汇聚、数据标准治理、数据接口服务、数据共享交换服务和数据安全服务共7个数据治理步骤开展进一步的数据治理工作。通过数据调研服务并输出《工信厅信息资源目录》和《工信厅调研总结报告》。</w:t>
            </w:r>
          </w:p>
          <w:p>
            <w:pPr>
              <w:spacing w:line="360" w:lineRule="auto"/>
              <w:jc w:val="left"/>
              <w:rPr>
                <w:rFonts w:hint="default" w:ascii="Times New Roman" w:hAnsi="Times New Roman" w:eastAsia="宋体" w:cs="Times New Roman"/>
                <w:szCs w:val="21"/>
              </w:rPr>
            </w:pPr>
            <w:r>
              <w:rPr>
                <w:rFonts w:hint="eastAsia" w:ascii="Times New Roman" w:hAnsi="Times New Roman" w:eastAsia="宋体" w:cs="Times New Roman"/>
                <w:b/>
                <w:szCs w:val="21"/>
                <w:lang w:val="en-US" w:eastAsia="zh-CN"/>
              </w:rPr>
              <w:t>2）</w:t>
            </w:r>
            <w:r>
              <w:rPr>
                <w:rFonts w:hint="default" w:ascii="Times New Roman" w:hAnsi="Times New Roman" w:eastAsia="宋体" w:cs="Times New Roman"/>
                <w:b/>
                <w:szCs w:val="21"/>
              </w:rPr>
              <w:t>数据资源库升级建设</w:t>
            </w:r>
            <w:r>
              <w:rPr>
                <w:rFonts w:hint="default" w:ascii="Times New Roman" w:hAnsi="Times New Roman" w:eastAsia="宋体" w:cs="Times New Roman"/>
                <w:szCs w:val="21"/>
              </w:rPr>
              <w:t>，</w:t>
            </w:r>
            <w:r>
              <w:rPr>
                <w:rFonts w:hint="default" w:ascii="Times New Roman" w:hAnsi="Times New Roman" w:eastAsia="宋体" w:cs="Times New Roman"/>
                <w:b/>
                <w:bCs/>
                <w:szCs w:val="21"/>
              </w:rPr>
              <w:t>升级</w:t>
            </w:r>
            <w:r>
              <w:rPr>
                <w:rFonts w:hint="default" w:ascii="Times New Roman" w:hAnsi="Times New Roman" w:eastAsia="宋体" w:cs="Times New Roman"/>
                <w:szCs w:val="21"/>
              </w:rPr>
              <w:t>4个基础库包括企业信息基础信息库、内部机构信息库、内部人员信息库、行政区划库，2个主题库包括产业调控库、公共服务库。</w:t>
            </w:r>
            <w:r>
              <w:rPr>
                <w:rFonts w:hint="default" w:ascii="Times New Roman" w:hAnsi="Times New Roman" w:eastAsia="宋体" w:cs="Times New Roman"/>
                <w:b/>
                <w:bCs/>
                <w:szCs w:val="21"/>
              </w:rPr>
              <w:t>新建</w:t>
            </w:r>
            <w:r>
              <w:rPr>
                <w:rFonts w:hint="default" w:ascii="Times New Roman" w:hAnsi="Times New Roman" w:eastAsia="宋体" w:cs="Times New Roman"/>
                <w:szCs w:val="21"/>
              </w:rPr>
              <w:t>1个基础库——政策法规库，8个主题库包括产业知识库、链上企业信息库、产业链政策咨询库、补链强链指标库、产业链人才库、招商项目库、产业图谱库和产业链运行指标库，5个专题库包括链上企业综合能力库、产业链人才综合能力库、招商智库、重大事项库、产业供求库。</w:t>
            </w:r>
          </w:p>
          <w:p>
            <w:pPr>
              <w:spacing w:line="360" w:lineRule="auto"/>
              <w:jc w:val="left"/>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b/>
                <w:bCs/>
                <w:color w:val="000000" w:themeColor="text1"/>
                <w:szCs w:val="21"/>
                <w14:textFill>
                  <w14:solidFill>
                    <w14:schemeClr w14:val="tx1"/>
                  </w14:solidFill>
                </w14:textFill>
              </w:rPr>
              <w:t>（3）硬件设备</w:t>
            </w:r>
            <w:r>
              <w:rPr>
                <w:rFonts w:hint="default" w:ascii="Times New Roman" w:hAnsi="Times New Roman" w:eastAsia="宋体" w:cs="Times New Roman"/>
                <w:color w:val="000000" w:themeColor="text1"/>
                <w:szCs w:val="21"/>
                <w14:textFill>
                  <w14:solidFill>
                    <w14:schemeClr w14:val="tx1"/>
                  </w14:solidFill>
                </w14:textFill>
              </w:rPr>
              <w:t>：采购语音外呼系统（一套），可满足不同需求的音色，支持高准确度的文本智能分析和预处理高质量的文本合成效果，支持标准开发接口、参数设置，支持多种字符集和语音格式。</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（4）网络安全建设：</w:t>
            </w:r>
            <w:r>
              <w:rPr>
                <w:rFonts w:hint="default" w:ascii="Times New Roman" w:hAnsi="Times New Roman" w:eastAsia="宋体" w:cs="Times New Roman"/>
                <w:szCs w:val="21"/>
              </w:rPr>
              <w:t>满足等保三级、密码应用三级和第三方软件测评的要求，并符合自主可控设计，对已建业务系统进行密码改造。</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（5）系统改造及数据迁移：</w:t>
            </w:r>
            <w:r>
              <w:rPr>
                <w:rFonts w:hint="default" w:ascii="Times New Roman" w:hAnsi="Times New Roman" w:eastAsia="宋体" w:cs="Times New Roman"/>
                <w:szCs w:val="21"/>
              </w:rPr>
              <w:t>对已建业务系统进行改造及数据迁移，其中对陕西省工业和信息化领域招标投标监管服务系统实现数据迁移。</w:t>
            </w:r>
          </w:p>
          <w:p>
            <w:pPr>
              <w:spacing w:line="360" w:lineRule="auto"/>
              <w:jc w:val="left"/>
              <w:rPr>
                <w:rFonts w:hint="default" w:ascii="Times New Roman" w:hAnsi="Times New Roman" w:cs="Times New Roman"/>
              </w:rPr>
            </w:pPr>
            <w:r>
              <w:rPr>
                <w:rFonts w:hint="default" w:ascii="Times New Roman" w:hAnsi="Times New Roman" w:eastAsia="宋体" w:cs="Times New Roman"/>
                <w:b/>
                <w:bCs/>
                <w:szCs w:val="21"/>
              </w:rPr>
              <w:t>（6）标准规范建设：</w:t>
            </w:r>
            <w:r>
              <w:rPr>
                <w:rFonts w:hint="default" w:ascii="Times New Roman" w:hAnsi="Times New Roman" w:eastAsia="宋体" w:cs="Times New Roman"/>
                <w:bCs/>
                <w:szCs w:val="21"/>
              </w:rPr>
              <w:t>完成5个标准规范的建设，包括《“数字工信”开发接口规范》、《“数字工信”元数据标准》、《“数字工信”数据分类与代码标准》、《“数字工信”数据资源目录标准》、《“数字工信”数据交换共享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41"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hint="default" w:ascii="Times New Roman" w:hAnsi="Times New Roman" w:eastAsia="宋体" w:cs="Times New Roman"/>
                <w:b/>
                <w:bCs/>
                <w:szCs w:val="21"/>
              </w:rPr>
            </w:pPr>
            <w:r>
              <w:rPr>
                <w:rFonts w:hint="default" w:ascii="Times New Roman" w:hAnsi="Times New Roman" w:cs="Times New Roman"/>
                <w:sz w:val="24"/>
                <w:szCs w:val="24"/>
                <w:shd w:val="clear" w:color="auto" w:fill="FFFFFF"/>
              </w:rPr>
              <w:t>▲</w:t>
            </w:r>
          </w:p>
        </w:tc>
        <w:tc>
          <w:tcPr>
            <w:tcW w:w="383"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2</w:t>
            </w:r>
          </w:p>
        </w:tc>
        <w:tc>
          <w:tcPr>
            <w:tcW w:w="3974"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pStyle w:val="62"/>
              <w:numPr>
                <w:ilvl w:val="0"/>
                <w:numId w:val="1"/>
              </w:numPr>
              <w:spacing w:line="360" w:lineRule="auto"/>
              <w:ind w:firstLineChars="0"/>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技术需求</w:t>
            </w:r>
          </w:p>
          <w:p>
            <w:pPr>
              <w:widowControl w:val="0"/>
              <w:spacing w:line="360" w:lineRule="auto"/>
              <w:rPr>
                <w:rFonts w:hint="default" w:ascii="Times New Roman" w:hAnsi="Times New Roman" w:eastAsia="宋体" w:cs="Times New Roman"/>
                <w:b/>
                <w:szCs w:val="21"/>
              </w:rPr>
            </w:pPr>
            <w:r>
              <w:rPr>
                <w:rFonts w:hint="default" w:ascii="Times New Roman" w:hAnsi="Times New Roman" w:eastAsia="宋体" w:cs="Times New Roman"/>
                <w:b/>
                <w:szCs w:val="21"/>
              </w:rPr>
              <w:t>业务应用系统性能需求</w:t>
            </w:r>
          </w:p>
          <w:p>
            <w:pPr>
              <w:widowControl w:val="0"/>
              <w:spacing w:line="360" w:lineRule="auto"/>
              <w:rPr>
                <w:rFonts w:hint="default" w:ascii="Times New Roman" w:hAnsi="Times New Roman" w:eastAsia="宋体" w:cs="Times New Roman"/>
                <w:b/>
                <w:szCs w:val="21"/>
              </w:rPr>
            </w:pPr>
            <w:r>
              <w:rPr>
                <w:rFonts w:hint="eastAsia" w:ascii="Times New Roman" w:hAnsi="Times New Roman" w:eastAsia="宋体" w:cs="Times New Roman"/>
                <w:b/>
                <w:szCs w:val="21"/>
                <w:lang w:eastAsia="zh-CN"/>
              </w:rPr>
              <w:t>（</w:t>
            </w:r>
            <w:r>
              <w:rPr>
                <w:rFonts w:hint="eastAsia" w:ascii="Times New Roman" w:hAnsi="Times New Roman" w:eastAsia="宋体" w:cs="Times New Roman"/>
                <w:b/>
                <w:szCs w:val="21"/>
                <w:lang w:val="en-US" w:eastAsia="zh-CN"/>
              </w:rPr>
              <w:t>1</w:t>
            </w:r>
            <w:r>
              <w:rPr>
                <w:rFonts w:hint="eastAsia" w:ascii="Times New Roman" w:hAnsi="Times New Roman" w:eastAsia="宋体" w:cs="Times New Roman"/>
                <w:b/>
                <w:szCs w:val="21"/>
                <w:lang w:eastAsia="zh-CN"/>
              </w:rPr>
              <w:t>）</w:t>
            </w:r>
            <w:r>
              <w:rPr>
                <w:rFonts w:hint="default" w:ascii="Times New Roman" w:hAnsi="Times New Roman" w:eastAsia="宋体" w:cs="Times New Roman"/>
                <w:b/>
                <w:szCs w:val="21"/>
              </w:rPr>
              <w:t>已建业务系统</w:t>
            </w:r>
          </w:p>
          <w:p>
            <w:pPr>
              <w:widowControl w:val="0"/>
              <w:spacing w:line="360" w:lineRule="auto"/>
              <w:rPr>
                <w:rFonts w:hint="default" w:ascii="Times New Roman" w:hAnsi="Times New Roman" w:eastAsia="宋体" w:cs="Times New Roman"/>
                <w:szCs w:val="21"/>
              </w:rPr>
            </w:pPr>
            <w:r>
              <w:rPr>
                <w:rFonts w:hint="default" w:ascii="Times New Roman" w:hAnsi="Times New Roman" w:eastAsia="宋体" w:cs="Times New Roman"/>
                <w:szCs w:val="21"/>
              </w:rPr>
              <w:t>迁移后性能指标不低于原系统性能指标。</w:t>
            </w:r>
          </w:p>
          <w:p>
            <w:pPr>
              <w:widowControl w:val="0"/>
              <w:spacing w:line="360" w:lineRule="auto"/>
              <w:rPr>
                <w:rFonts w:hint="default" w:ascii="Times New Roman" w:hAnsi="Times New Roman" w:eastAsia="宋体" w:cs="Times New Roman"/>
                <w:b/>
                <w:szCs w:val="21"/>
              </w:rPr>
            </w:pPr>
            <w:r>
              <w:rPr>
                <w:rFonts w:hint="eastAsia" w:ascii="Times New Roman" w:hAnsi="Times New Roman" w:eastAsia="宋体" w:cs="Times New Roman"/>
                <w:b/>
                <w:szCs w:val="21"/>
                <w:lang w:eastAsia="zh-CN"/>
              </w:rPr>
              <w:t>（</w:t>
            </w:r>
            <w:r>
              <w:rPr>
                <w:rFonts w:hint="eastAsia" w:ascii="Times New Roman" w:hAnsi="Times New Roman" w:eastAsia="宋体" w:cs="Times New Roman"/>
                <w:b/>
                <w:szCs w:val="21"/>
                <w:lang w:val="en-US" w:eastAsia="zh-CN"/>
              </w:rPr>
              <w:t>2</w:t>
            </w:r>
            <w:r>
              <w:rPr>
                <w:rFonts w:hint="eastAsia" w:ascii="Times New Roman" w:hAnsi="Times New Roman" w:eastAsia="宋体" w:cs="Times New Roman"/>
                <w:b/>
                <w:szCs w:val="21"/>
                <w:lang w:eastAsia="zh-CN"/>
              </w:rPr>
              <w:t>）</w:t>
            </w:r>
            <w:r>
              <w:rPr>
                <w:rFonts w:hint="default" w:ascii="Times New Roman" w:hAnsi="Times New Roman" w:eastAsia="宋体" w:cs="Times New Roman"/>
                <w:b/>
                <w:szCs w:val="21"/>
              </w:rPr>
              <w:t>产业链信息服务系统</w:t>
            </w:r>
          </w:p>
          <w:p>
            <w:pPr>
              <w:widowControl w:val="0"/>
              <w:spacing w:line="360" w:lineRule="auto"/>
              <w:rPr>
                <w:rFonts w:hint="default" w:ascii="Times New Roman" w:hAnsi="Times New Roman" w:eastAsia="宋体" w:cs="Times New Roman"/>
                <w:szCs w:val="21"/>
              </w:rPr>
            </w:pPr>
            <w:r>
              <w:rPr>
                <w:rFonts w:hint="default" w:ascii="Times New Roman" w:hAnsi="Times New Roman" w:eastAsia="宋体" w:cs="Times New Roman"/>
                <w:szCs w:val="21"/>
              </w:rPr>
              <w:t>1）时效性指标：系统查询类响应时间不超过1秒；系统交易类响应时间不超过2秒；系统批处理500条数据的响应时间不超过2秒。</w:t>
            </w:r>
          </w:p>
          <w:p>
            <w:pPr>
              <w:widowControl w:val="0"/>
              <w:spacing w:line="360" w:lineRule="auto"/>
              <w:rPr>
                <w:rFonts w:hint="default" w:ascii="Times New Roman" w:hAnsi="Times New Roman" w:eastAsia="宋体" w:cs="Times New Roman"/>
                <w:szCs w:val="21"/>
              </w:rPr>
            </w:pPr>
            <w:r>
              <w:rPr>
                <w:rFonts w:hint="default" w:ascii="Times New Roman" w:hAnsi="Times New Roman" w:eastAsia="宋体" w:cs="Times New Roman"/>
                <w:szCs w:val="21"/>
              </w:rPr>
              <w:t>2）并发性需求：系统最大应支持620个并发用户在线。</w:t>
            </w:r>
          </w:p>
          <w:p>
            <w:pPr>
              <w:widowControl w:val="0"/>
              <w:spacing w:line="360" w:lineRule="auto"/>
              <w:rPr>
                <w:rFonts w:hint="default" w:ascii="Times New Roman" w:hAnsi="Times New Roman" w:eastAsia="宋体" w:cs="Times New Roman"/>
                <w:szCs w:val="21"/>
              </w:rPr>
            </w:pPr>
            <w:r>
              <w:rPr>
                <w:rFonts w:hint="default" w:ascii="Times New Roman" w:hAnsi="Times New Roman" w:eastAsia="宋体" w:cs="Times New Roman"/>
                <w:szCs w:val="21"/>
              </w:rPr>
              <w:t>3）可用性指标：系统应能够连续7×24小时不间断工作，每年累计无故障时间不小于99.9%，单次平均故障修复时间小于4小时。</w:t>
            </w:r>
          </w:p>
          <w:p>
            <w:pPr>
              <w:widowControl w:val="0"/>
              <w:spacing w:line="360" w:lineRule="auto"/>
              <w:rPr>
                <w:rFonts w:hint="default" w:ascii="Times New Roman" w:hAnsi="Times New Roman" w:eastAsia="宋体" w:cs="Times New Roman"/>
                <w:b/>
                <w:szCs w:val="21"/>
              </w:rPr>
            </w:pPr>
            <w:r>
              <w:rPr>
                <w:rFonts w:hint="eastAsia" w:ascii="Times New Roman" w:hAnsi="Times New Roman" w:eastAsia="宋体" w:cs="Times New Roman"/>
                <w:b/>
                <w:szCs w:val="21"/>
                <w:lang w:eastAsia="zh-CN"/>
              </w:rPr>
              <w:t>（</w:t>
            </w:r>
            <w:r>
              <w:rPr>
                <w:rFonts w:hint="eastAsia" w:ascii="Times New Roman" w:hAnsi="Times New Roman" w:eastAsia="宋体" w:cs="Times New Roman"/>
                <w:b/>
                <w:szCs w:val="21"/>
                <w:lang w:val="en-US" w:eastAsia="zh-CN"/>
              </w:rPr>
              <w:t>3</w:t>
            </w:r>
            <w:r>
              <w:rPr>
                <w:rFonts w:hint="eastAsia" w:ascii="Times New Roman" w:hAnsi="Times New Roman" w:eastAsia="宋体" w:cs="Times New Roman"/>
                <w:b/>
                <w:szCs w:val="21"/>
                <w:lang w:eastAsia="zh-CN"/>
              </w:rPr>
              <w:t>）</w:t>
            </w:r>
            <w:r>
              <w:rPr>
                <w:rFonts w:hint="default" w:ascii="Times New Roman" w:hAnsi="Times New Roman" w:eastAsia="宋体" w:cs="Times New Roman"/>
                <w:b/>
                <w:szCs w:val="21"/>
              </w:rPr>
              <w:t>全省民营经济发展考核评价系统</w:t>
            </w:r>
          </w:p>
          <w:p>
            <w:pPr>
              <w:widowControl w:val="0"/>
              <w:spacing w:line="360" w:lineRule="auto"/>
              <w:rPr>
                <w:rFonts w:hint="default" w:ascii="Times New Roman" w:hAnsi="Times New Roman" w:eastAsia="宋体" w:cs="Times New Roman"/>
                <w:szCs w:val="21"/>
              </w:rPr>
            </w:pPr>
            <w:r>
              <w:rPr>
                <w:rFonts w:hint="default" w:ascii="Times New Roman" w:hAnsi="Times New Roman" w:eastAsia="宋体" w:cs="Times New Roman"/>
                <w:szCs w:val="21"/>
              </w:rPr>
              <w:t>1）时效性指标：系统查询类响应时间不超过1秒；系统交易类响应时间不超过2秒；系统批处理500条数据的响应时间不超过2秒。</w:t>
            </w:r>
          </w:p>
          <w:p>
            <w:pPr>
              <w:widowControl w:val="0"/>
              <w:spacing w:line="360" w:lineRule="auto"/>
              <w:rPr>
                <w:rFonts w:hint="default" w:ascii="Times New Roman" w:hAnsi="Times New Roman" w:eastAsia="宋体" w:cs="Times New Roman"/>
                <w:szCs w:val="21"/>
              </w:rPr>
            </w:pPr>
            <w:r>
              <w:rPr>
                <w:rFonts w:hint="default" w:ascii="Times New Roman" w:hAnsi="Times New Roman" w:eastAsia="宋体" w:cs="Times New Roman"/>
                <w:szCs w:val="21"/>
              </w:rPr>
              <w:t>2）并发性需求：系统最大应支持20个并发用户在线。</w:t>
            </w:r>
          </w:p>
          <w:p>
            <w:pPr>
              <w:widowControl w:val="0"/>
              <w:spacing w:line="360" w:lineRule="auto"/>
              <w:rPr>
                <w:rFonts w:hint="default" w:ascii="Times New Roman" w:hAnsi="Times New Roman" w:eastAsia="宋体" w:cs="Times New Roman"/>
                <w:szCs w:val="21"/>
              </w:rPr>
            </w:pPr>
            <w:r>
              <w:rPr>
                <w:rFonts w:hint="default" w:ascii="Times New Roman" w:hAnsi="Times New Roman" w:eastAsia="宋体" w:cs="Times New Roman"/>
                <w:szCs w:val="21"/>
              </w:rPr>
              <w:t>3）可用性指标：系统应能够连续7×24小时不间断工作，每年累计无故障时间不小于99.9%，单次平均故障修复时间小于4小时。</w:t>
            </w:r>
          </w:p>
          <w:p>
            <w:pPr>
              <w:widowControl w:val="0"/>
              <w:spacing w:line="360" w:lineRule="auto"/>
              <w:rPr>
                <w:rFonts w:hint="default" w:ascii="Times New Roman" w:hAnsi="Times New Roman" w:eastAsia="宋体" w:cs="Times New Roman"/>
                <w:b/>
                <w:szCs w:val="21"/>
              </w:rPr>
            </w:pPr>
            <w:r>
              <w:rPr>
                <w:rFonts w:hint="eastAsia" w:ascii="Times New Roman" w:hAnsi="Times New Roman" w:eastAsia="宋体" w:cs="Times New Roman"/>
                <w:b/>
                <w:szCs w:val="21"/>
                <w:lang w:eastAsia="zh-CN"/>
              </w:rPr>
              <w:t>（</w:t>
            </w:r>
            <w:r>
              <w:rPr>
                <w:rFonts w:hint="eastAsia" w:ascii="Times New Roman" w:hAnsi="Times New Roman" w:eastAsia="宋体" w:cs="Times New Roman"/>
                <w:b/>
                <w:szCs w:val="21"/>
                <w:lang w:val="en-US" w:eastAsia="zh-CN"/>
              </w:rPr>
              <w:t>4</w:t>
            </w:r>
            <w:r>
              <w:rPr>
                <w:rFonts w:hint="eastAsia" w:ascii="Times New Roman" w:hAnsi="Times New Roman" w:eastAsia="宋体" w:cs="Times New Roman"/>
                <w:b/>
                <w:szCs w:val="21"/>
                <w:lang w:eastAsia="zh-CN"/>
              </w:rPr>
              <w:t>）</w:t>
            </w:r>
            <w:r>
              <w:rPr>
                <w:rFonts w:hint="default" w:ascii="Times New Roman" w:hAnsi="Times New Roman" w:eastAsia="宋体" w:cs="Times New Roman"/>
                <w:b/>
                <w:szCs w:val="21"/>
              </w:rPr>
              <w:t>制造业单项冠军培育企业入库申报系统</w:t>
            </w:r>
          </w:p>
          <w:p>
            <w:pPr>
              <w:widowControl w:val="0"/>
              <w:spacing w:line="360" w:lineRule="auto"/>
              <w:rPr>
                <w:rFonts w:hint="default" w:ascii="Times New Roman" w:hAnsi="Times New Roman" w:eastAsia="宋体" w:cs="Times New Roman"/>
                <w:szCs w:val="21"/>
              </w:rPr>
            </w:pPr>
            <w:r>
              <w:rPr>
                <w:rFonts w:hint="default" w:ascii="Times New Roman" w:hAnsi="Times New Roman" w:eastAsia="宋体" w:cs="Times New Roman"/>
                <w:szCs w:val="21"/>
              </w:rPr>
              <w:t>1）时效性指标：系统查询类响应时间不超过2秒；系统交易类响应时间不超过2秒；系统批处理500条数据的响应时间不超过2秒。</w:t>
            </w:r>
          </w:p>
          <w:p>
            <w:pPr>
              <w:widowControl w:val="0"/>
              <w:spacing w:line="360" w:lineRule="auto"/>
              <w:rPr>
                <w:rFonts w:hint="default" w:ascii="Times New Roman" w:hAnsi="Times New Roman" w:eastAsia="宋体" w:cs="Times New Roman"/>
                <w:szCs w:val="21"/>
              </w:rPr>
            </w:pPr>
            <w:r>
              <w:rPr>
                <w:rFonts w:hint="default" w:ascii="Times New Roman" w:hAnsi="Times New Roman" w:eastAsia="宋体" w:cs="Times New Roman"/>
                <w:szCs w:val="21"/>
              </w:rPr>
              <w:t>2）并发性需求：系统最大应支持20个并发用户在线。</w:t>
            </w:r>
          </w:p>
          <w:p>
            <w:pPr>
              <w:widowControl w:val="0"/>
              <w:spacing w:line="360" w:lineRule="auto"/>
              <w:rPr>
                <w:rFonts w:hint="default" w:ascii="Times New Roman" w:hAnsi="Times New Roman" w:eastAsia="宋体" w:cs="Times New Roman"/>
                <w:szCs w:val="21"/>
              </w:rPr>
            </w:pPr>
            <w:r>
              <w:rPr>
                <w:rFonts w:hint="default" w:ascii="Times New Roman" w:hAnsi="Times New Roman" w:eastAsia="宋体" w:cs="Times New Roman"/>
                <w:szCs w:val="21"/>
              </w:rPr>
              <w:t>3）可用性指标：系统应能够连续7×24小时不间断工作，每年累计无故障时间不小于99.9%，单次平均故障修复时间小于4小时。</w:t>
            </w:r>
          </w:p>
          <w:p>
            <w:pPr>
              <w:widowControl w:val="0"/>
              <w:spacing w:line="360" w:lineRule="auto"/>
              <w:rPr>
                <w:rFonts w:hint="default" w:ascii="Times New Roman" w:hAnsi="Times New Roman" w:eastAsia="宋体" w:cs="Times New Roman"/>
                <w:b/>
                <w:szCs w:val="21"/>
              </w:rPr>
            </w:pPr>
            <w:r>
              <w:rPr>
                <w:rFonts w:hint="eastAsia" w:ascii="Times New Roman" w:hAnsi="Times New Roman" w:eastAsia="宋体" w:cs="Times New Roman"/>
                <w:b/>
                <w:szCs w:val="21"/>
                <w:lang w:eastAsia="zh-CN"/>
              </w:rPr>
              <w:t>（</w:t>
            </w:r>
            <w:r>
              <w:rPr>
                <w:rFonts w:hint="eastAsia" w:ascii="Times New Roman" w:hAnsi="Times New Roman" w:eastAsia="宋体" w:cs="Times New Roman"/>
                <w:b/>
                <w:szCs w:val="21"/>
                <w:lang w:val="en-US" w:eastAsia="zh-CN"/>
              </w:rPr>
              <w:t>5</w:t>
            </w:r>
            <w:r>
              <w:rPr>
                <w:rFonts w:hint="eastAsia" w:ascii="Times New Roman" w:hAnsi="Times New Roman" w:eastAsia="宋体" w:cs="Times New Roman"/>
                <w:b/>
                <w:szCs w:val="21"/>
                <w:lang w:eastAsia="zh-CN"/>
              </w:rPr>
              <w:t>）</w:t>
            </w:r>
            <w:r>
              <w:rPr>
                <w:rFonts w:hint="default" w:ascii="Times New Roman" w:hAnsi="Times New Roman" w:eastAsia="宋体" w:cs="Times New Roman"/>
                <w:b/>
                <w:szCs w:val="21"/>
              </w:rPr>
              <w:t>制造业产业链领航企业培育入库系统</w:t>
            </w:r>
          </w:p>
          <w:p>
            <w:pPr>
              <w:widowControl w:val="0"/>
              <w:spacing w:line="360" w:lineRule="auto"/>
              <w:rPr>
                <w:rFonts w:hint="default" w:ascii="Times New Roman" w:hAnsi="Times New Roman" w:eastAsia="宋体" w:cs="Times New Roman"/>
                <w:szCs w:val="21"/>
              </w:rPr>
            </w:pPr>
            <w:r>
              <w:rPr>
                <w:rFonts w:hint="default" w:ascii="Times New Roman" w:hAnsi="Times New Roman" w:eastAsia="宋体" w:cs="Times New Roman"/>
                <w:szCs w:val="21"/>
              </w:rPr>
              <w:t>1）时效性指标：系统查询类响应时间不超过2秒；系统交易类响应时间不超过2秒；系统批处理500条数据的响应时间不超过2秒。</w:t>
            </w:r>
          </w:p>
          <w:p>
            <w:pPr>
              <w:widowControl w:val="0"/>
              <w:spacing w:line="360" w:lineRule="auto"/>
              <w:rPr>
                <w:rFonts w:hint="default" w:ascii="Times New Roman" w:hAnsi="Times New Roman" w:eastAsia="宋体" w:cs="Times New Roman"/>
                <w:szCs w:val="21"/>
              </w:rPr>
            </w:pPr>
            <w:r>
              <w:rPr>
                <w:rFonts w:hint="default" w:ascii="Times New Roman" w:hAnsi="Times New Roman" w:eastAsia="宋体" w:cs="Times New Roman"/>
                <w:szCs w:val="21"/>
              </w:rPr>
              <w:t>2）并发性需求：系统最大应支持20个并发用户在线。</w:t>
            </w:r>
          </w:p>
          <w:p>
            <w:pPr>
              <w:widowControl w:val="0"/>
              <w:spacing w:line="360" w:lineRule="auto"/>
              <w:rPr>
                <w:rFonts w:hint="default" w:ascii="Times New Roman" w:hAnsi="Times New Roman" w:eastAsia="宋体" w:cs="Times New Roman"/>
                <w:szCs w:val="21"/>
              </w:rPr>
            </w:pPr>
            <w:r>
              <w:rPr>
                <w:rFonts w:hint="default" w:ascii="Times New Roman" w:hAnsi="Times New Roman" w:eastAsia="宋体" w:cs="Times New Roman"/>
                <w:szCs w:val="21"/>
              </w:rPr>
              <w:t>3）可用性指标：系统应能够连续7×24小时不间断工作，每年累计无故障时间不小于99.9%，单次平均故障修复时间小于4小时。</w:t>
            </w:r>
          </w:p>
          <w:p>
            <w:pPr>
              <w:widowControl w:val="0"/>
              <w:spacing w:line="360" w:lineRule="auto"/>
              <w:rPr>
                <w:rFonts w:hint="default" w:ascii="Times New Roman" w:hAnsi="Times New Roman" w:eastAsia="宋体" w:cs="Times New Roman"/>
                <w:b/>
                <w:szCs w:val="21"/>
              </w:rPr>
            </w:pPr>
            <w:r>
              <w:rPr>
                <w:rFonts w:hint="eastAsia" w:ascii="Times New Roman" w:hAnsi="Times New Roman" w:eastAsia="宋体" w:cs="Times New Roman"/>
                <w:b/>
                <w:szCs w:val="21"/>
                <w:lang w:eastAsia="zh-CN"/>
              </w:rPr>
              <w:t>（</w:t>
            </w:r>
            <w:r>
              <w:rPr>
                <w:rFonts w:hint="eastAsia" w:ascii="Times New Roman" w:hAnsi="Times New Roman" w:eastAsia="宋体" w:cs="Times New Roman"/>
                <w:b/>
                <w:szCs w:val="21"/>
                <w:lang w:val="en-US" w:eastAsia="zh-CN"/>
              </w:rPr>
              <w:t>6</w:t>
            </w:r>
            <w:r>
              <w:rPr>
                <w:rFonts w:hint="eastAsia" w:ascii="Times New Roman" w:hAnsi="Times New Roman" w:eastAsia="宋体" w:cs="Times New Roman"/>
                <w:b/>
                <w:szCs w:val="21"/>
                <w:lang w:eastAsia="zh-CN"/>
              </w:rPr>
              <w:t>）</w:t>
            </w:r>
            <w:r>
              <w:rPr>
                <w:rFonts w:hint="default" w:ascii="Times New Roman" w:hAnsi="Times New Roman" w:eastAsia="宋体" w:cs="Times New Roman"/>
                <w:b/>
                <w:szCs w:val="21"/>
              </w:rPr>
              <w:t>干部考察民主测评和政治素质系统</w:t>
            </w:r>
          </w:p>
          <w:p>
            <w:pPr>
              <w:widowControl w:val="0"/>
              <w:spacing w:line="360" w:lineRule="auto"/>
              <w:rPr>
                <w:rFonts w:hint="default" w:ascii="Times New Roman" w:hAnsi="Times New Roman" w:eastAsia="宋体" w:cs="Times New Roman"/>
                <w:szCs w:val="21"/>
              </w:rPr>
            </w:pPr>
            <w:r>
              <w:rPr>
                <w:rFonts w:hint="default" w:ascii="Times New Roman" w:hAnsi="Times New Roman" w:eastAsia="宋体" w:cs="Times New Roman"/>
                <w:szCs w:val="21"/>
              </w:rPr>
              <w:t>1）时效性指标：系统查询类响应时间不超过2秒；系统交易类响应时间不超过2秒；系统批处理500条数据的响应时间不超过2秒。</w:t>
            </w:r>
          </w:p>
          <w:p>
            <w:pPr>
              <w:widowControl w:val="0"/>
              <w:spacing w:line="360" w:lineRule="auto"/>
              <w:rPr>
                <w:rFonts w:hint="default" w:ascii="Times New Roman" w:hAnsi="Times New Roman" w:eastAsia="宋体" w:cs="Times New Roman"/>
                <w:szCs w:val="21"/>
              </w:rPr>
            </w:pPr>
            <w:r>
              <w:rPr>
                <w:rFonts w:hint="default" w:ascii="Times New Roman" w:hAnsi="Times New Roman" w:eastAsia="宋体" w:cs="Times New Roman"/>
                <w:szCs w:val="21"/>
              </w:rPr>
              <w:t>2）并发性需求：系统最大应支持20个并发用户在线。</w:t>
            </w:r>
          </w:p>
          <w:p>
            <w:pPr>
              <w:widowControl w:val="0"/>
              <w:spacing w:line="360" w:lineRule="auto"/>
              <w:rPr>
                <w:rFonts w:hint="default" w:ascii="Times New Roman" w:hAnsi="Times New Roman" w:eastAsia="宋体" w:cs="Times New Roman"/>
                <w:szCs w:val="21"/>
              </w:rPr>
            </w:pPr>
            <w:r>
              <w:rPr>
                <w:rFonts w:hint="default" w:ascii="Times New Roman" w:hAnsi="Times New Roman" w:eastAsia="宋体" w:cs="Times New Roman"/>
                <w:szCs w:val="21"/>
              </w:rPr>
              <w:t>3）可用性指标：系统应能够连续7×24小时不间断工作，每年累计无故障时间不小于99.9%，单次平均故障修复时间小于4小时。</w:t>
            </w:r>
          </w:p>
          <w:p>
            <w:pPr>
              <w:widowControl w:val="0"/>
              <w:spacing w:line="360" w:lineRule="auto"/>
              <w:rPr>
                <w:rFonts w:hint="default" w:ascii="Times New Roman" w:hAnsi="Times New Roman" w:eastAsia="宋体" w:cs="Times New Roman"/>
                <w:b/>
                <w:szCs w:val="21"/>
              </w:rPr>
            </w:pPr>
            <w:r>
              <w:rPr>
                <w:rFonts w:hint="eastAsia" w:ascii="Times New Roman" w:hAnsi="Times New Roman" w:eastAsia="宋体" w:cs="Times New Roman"/>
                <w:b/>
                <w:szCs w:val="21"/>
                <w:lang w:eastAsia="zh-CN"/>
              </w:rPr>
              <w:t>（</w:t>
            </w:r>
            <w:r>
              <w:rPr>
                <w:rFonts w:hint="eastAsia" w:ascii="Times New Roman" w:hAnsi="Times New Roman" w:eastAsia="宋体" w:cs="Times New Roman"/>
                <w:b/>
                <w:szCs w:val="21"/>
                <w:lang w:val="en-US" w:eastAsia="zh-CN"/>
              </w:rPr>
              <w:t>7</w:t>
            </w:r>
            <w:r>
              <w:rPr>
                <w:rFonts w:hint="eastAsia" w:ascii="Times New Roman" w:hAnsi="Times New Roman" w:eastAsia="宋体" w:cs="Times New Roman"/>
                <w:b/>
                <w:szCs w:val="21"/>
                <w:lang w:eastAsia="zh-CN"/>
              </w:rPr>
              <w:t>）</w:t>
            </w:r>
            <w:r>
              <w:rPr>
                <w:rFonts w:hint="default" w:ascii="Times New Roman" w:hAnsi="Times New Roman" w:eastAsia="宋体" w:cs="Times New Roman"/>
                <w:b/>
                <w:szCs w:val="21"/>
              </w:rPr>
              <w:t>陕西省工业和信息化领域招标投标监管服务系统</w:t>
            </w:r>
          </w:p>
          <w:p>
            <w:pPr>
              <w:widowControl w:val="0"/>
              <w:spacing w:line="360" w:lineRule="auto"/>
              <w:rPr>
                <w:rFonts w:hint="default" w:ascii="Times New Roman" w:hAnsi="Times New Roman" w:eastAsia="宋体" w:cs="Times New Roman"/>
                <w:szCs w:val="21"/>
              </w:rPr>
            </w:pPr>
            <w:r>
              <w:rPr>
                <w:rFonts w:hint="default" w:ascii="Times New Roman" w:hAnsi="Times New Roman" w:eastAsia="宋体" w:cs="Times New Roman"/>
                <w:szCs w:val="21"/>
              </w:rPr>
              <w:t>1）时效性指标：系统查询类响应时间不超过2秒；系统交易类响应时间不超过2秒；系统批处理500条数据的响应时间不超过2秒。</w:t>
            </w:r>
          </w:p>
          <w:p>
            <w:pPr>
              <w:widowControl w:val="0"/>
              <w:spacing w:line="360" w:lineRule="auto"/>
              <w:rPr>
                <w:rFonts w:hint="default" w:ascii="Times New Roman" w:hAnsi="Times New Roman" w:eastAsia="宋体" w:cs="Times New Roman"/>
                <w:szCs w:val="21"/>
              </w:rPr>
            </w:pPr>
            <w:r>
              <w:rPr>
                <w:rFonts w:hint="default" w:ascii="Times New Roman" w:hAnsi="Times New Roman" w:eastAsia="宋体" w:cs="Times New Roman"/>
                <w:szCs w:val="21"/>
              </w:rPr>
              <w:t>2）并发性需求：系统能够支持15000个用户注册运行，满足950个用户同时在线并发操作的能力。</w:t>
            </w:r>
          </w:p>
          <w:p>
            <w:pPr>
              <w:widowControl w:val="0"/>
              <w:spacing w:line="360" w:lineRule="auto"/>
              <w:rPr>
                <w:rFonts w:hint="default" w:ascii="Times New Roman" w:hAnsi="Times New Roman" w:eastAsia="宋体" w:cs="Times New Roman"/>
                <w:szCs w:val="21"/>
              </w:rPr>
            </w:pPr>
            <w:r>
              <w:rPr>
                <w:rFonts w:hint="default" w:ascii="Times New Roman" w:hAnsi="Times New Roman" w:eastAsia="宋体" w:cs="Times New Roman"/>
                <w:szCs w:val="21"/>
              </w:rPr>
              <w:t>3）可用性指标：系统应能够连续7×24小时不间断工作，每年累计无故障时间不小于99.9%，单次平均故障修复时间小于4小时。</w:t>
            </w:r>
          </w:p>
          <w:p>
            <w:pPr>
              <w:widowControl w:val="0"/>
              <w:spacing w:line="360" w:lineRule="auto"/>
              <w:rPr>
                <w:rFonts w:hint="default" w:ascii="Times New Roman" w:hAnsi="Times New Roman" w:eastAsia="宋体" w:cs="Times New Roman"/>
                <w:b/>
                <w:szCs w:val="21"/>
              </w:rPr>
            </w:pPr>
            <w:r>
              <w:rPr>
                <w:rFonts w:hint="eastAsia" w:ascii="Times New Roman" w:hAnsi="Times New Roman" w:eastAsia="宋体" w:cs="Times New Roman"/>
                <w:b/>
                <w:szCs w:val="21"/>
                <w:lang w:eastAsia="zh-CN"/>
              </w:rPr>
              <w:t>（</w:t>
            </w:r>
            <w:r>
              <w:rPr>
                <w:rFonts w:hint="eastAsia" w:ascii="Times New Roman" w:hAnsi="Times New Roman" w:eastAsia="宋体" w:cs="Times New Roman"/>
                <w:b/>
                <w:szCs w:val="21"/>
                <w:lang w:val="en-US" w:eastAsia="zh-CN"/>
              </w:rPr>
              <w:t>8</w:t>
            </w:r>
            <w:r>
              <w:rPr>
                <w:rFonts w:hint="eastAsia" w:ascii="Times New Roman" w:hAnsi="Times New Roman" w:eastAsia="宋体" w:cs="Times New Roman"/>
                <w:b/>
                <w:szCs w:val="21"/>
                <w:lang w:eastAsia="zh-CN"/>
              </w:rPr>
              <w:t>）</w:t>
            </w:r>
            <w:r>
              <w:rPr>
                <w:rFonts w:hint="default" w:ascii="Times New Roman" w:hAnsi="Times New Roman" w:eastAsia="宋体" w:cs="Times New Roman"/>
                <w:b/>
                <w:szCs w:val="21"/>
              </w:rPr>
              <w:t>数据治理平台</w:t>
            </w:r>
          </w:p>
          <w:p>
            <w:pPr>
              <w:widowControl w:val="0"/>
              <w:spacing w:line="360" w:lineRule="auto"/>
              <w:rPr>
                <w:rFonts w:hint="default" w:ascii="Times New Roman" w:hAnsi="Times New Roman" w:eastAsia="宋体" w:cs="Times New Roman"/>
                <w:szCs w:val="21"/>
              </w:rPr>
            </w:pPr>
            <w:r>
              <w:rPr>
                <w:rFonts w:hint="default" w:ascii="Times New Roman" w:hAnsi="Times New Roman" w:eastAsia="宋体" w:cs="Times New Roman"/>
                <w:szCs w:val="21"/>
              </w:rPr>
              <w:t>1）时效性指标：离线计算在亿级单表查询秒级左右响应时间，亿级表关联操作不超过10秒；离线计算支持超过1000的任务并发，任务丢失率小于等于千分之一。</w:t>
            </w:r>
          </w:p>
          <w:p>
            <w:pPr>
              <w:widowControl w:val="0"/>
              <w:spacing w:line="360" w:lineRule="auto"/>
              <w:rPr>
                <w:rFonts w:hint="default" w:ascii="Times New Roman" w:hAnsi="Times New Roman" w:eastAsia="宋体" w:cs="Times New Roman"/>
                <w:szCs w:val="21"/>
              </w:rPr>
            </w:pPr>
            <w:r>
              <w:rPr>
                <w:rFonts w:hint="default" w:ascii="Times New Roman" w:hAnsi="Times New Roman" w:eastAsia="宋体" w:cs="Times New Roman"/>
                <w:szCs w:val="21"/>
              </w:rPr>
              <w:t>2）并发性需求：本系统使用接口调用支持不小于等于100次任务并发调度运行。</w:t>
            </w:r>
          </w:p>
          <w:p>
            <w:pPr>
              <w:widowControl w:val="0"/>
              <w:spacing w:line="360" w:lineRule="auto"/>
              <w:rPr>
                <w:rFonts w:hint="default" w:ascii="Times New Roman" w:hAnsi="Times New Roman" w:eastAsia="宋体" w:cs="Times New Roman"/>
                <w:szCs w:val="21"/>
              </w:rPr>
            </w:pPr>
            <w:r>
              <w:rPr>
                <w:rFonts w:hint="default" w:ascii="Times New Roman" w:hAnsi="Times New Roman" w:eastAsia="宋体" w:cs="Times New Roman"/>
                <w:szCs w:val="21"/>
              </w:rPr>
              <w:t>3）可用性指标：系统应能够连续7×24小时不间断工作，每年累计无故障时间不小于99.9%，单次平均故障修复时间小于4小时。</w:t>
            </w:r>
          </w:p>
          <w:p>
            <w:pPr>
              <w:spacing w:line="360" w:lineRule="auto"/>
              <w:jc w:val="left"/>
              <w:rPr>
                <w:rFonts w:hint="default" w:ascii="Times New Roman" w:hAnsi="Times New Roman" w:eastAsia="宋体" w:cs="Times New Roman"/>
                <w:b/>
                <w:bCs/>
                <w:szCs w:val="21"/>
              </w:rPr>
            </w:pPr>
            <w:r>
              <w:rPr>
                <w:rFonts w:hint="eastAsia" w:ascii="Times New Roman" w:hAnsi="Times New Roman" w:eastAsia="宋体" w:cs="Times New Roman"/>
                <w:b/>
                <w:szCs w:val="21"/>
                <w:lang w:val="en-US" w:eastAsia="zh-CN"/>
              </w:rPr>
              <w:t>（9）</w:t>
            </w:r>
            <w:r>
              <w:rPr>
                <w:rFonts w:hint="default" w:ascii="Times New Roman" w:hAnsi="Times New Roman" w:eastAsia="宋体" w:cs="Times New Roman"/>
                <w:b/>
                <w:szCs w:val="21"/>
              </w:rPr>
              <w:t>数据备份要求</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要求满足两地三中心备份方式，提供详细的备份设计方案。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41"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hint="default" w:ascii="Times New Roman" w:hAnsi="Times New Roman" w:eastAsia="宋体" w:cs="Times New Roman"/>
                <w:b/>
                <w:bCs/>
                <w:szCs w:val="21"/>
              </w:rPr>
            </w:pPr>
            <w:r>
              <w:rPr>
                <w:rFonts w:hint="default" w:ascii="Times New Roman" w:hAnsi="Times New Roman" w:cs="Times New Roman"/>
                <w:sz w:val="24"/>
                <w:szCs w:val="24"/>
                <w:shd w:val="clear" w:color="auto" w:fill="FFFFFF"/>
              </w:rPr>
              <w:t>▲</w:t>
            </w:r>
          </w:p>
        </w:tc>
        <w:tc>
          <w:tcPr>
            <w:tcW w:w="383"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3</w:t>
            </w:r>
          </w:p>
        </w:tc>
        <w:tc>
          <w:tcPr>
            <w:tcW w:w="3974"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3、项目实施需求</w:t>
            </w:r>
          </w:p>
          <w:p>
            <w:pPr>
              <w:spacing w:line="360" w:lineRule="auto"/>
              <w:jc w:val="left"/>
              <w:rPr>
                <w:rFonts w:hint="default" w:ascii="Times New Roman" w:hAnsi="Times New Roman" w:eastAsia="宋体" w:cs="Times New Roman"/>
                <w:szCs w:val="21"/>
                <w:highlight w:val="none"/>
              </w:rPr>
            </w:pPr>
            <w:r>
              <w:rPr>
                <w:rFonts w:hint="default" w:ascii="Times New Roman" w:hAnsi="Times New Roman" w:eastAsia="宋体" w:cs="Times New Roman"/>
                <w:b/>
                <w:bCs/>
                <w:szCs w:val="21"/>
                <w:highlight w:val="none"/>
              </w:rPr>
              <w:t>（1）项目工期要求：</w:t>
            </w:r>
            <w:r>
              <w:rPr>
                <w:rFonts w:hint="default" w:ascii="Times New Roman" w:hAnsi="Times New Roman" w:eastAsia="宋体" w:cs="Times New Roman"/>
                <w:szCs w:val="21"/>
                <w:highlight w:val="none"/>
              </w:rPr>
              <w:t>要求在合同正式签订生效之日起</w:t>
            </w:r>
            <w:r>
              <w:rPr>
                <w:rFonts w:hint="eastAsia" w:ascii="Times New Roman" w:hAnsi="Times New Roman" w:eastAsia="宋体" w:cs="Times New Roman"/>
                <w:szCs w:val="21"/>
                <w:highlight w:val="none"/>
                <w:lang w:val="en-US" w:eastAsia="zh-CN"/>
              </w:rPr>
              <w:t>2</w:t>
            </w:r>
            <w:r>
              <w:rPr>
                <w:rFonts w:hint="default" w:ascii="Times New Roman" w:hAnsi="Times New Roman" w:eastAsia="宋体" w:cs="Times New Roman"/>
                <w:szCs w:val="21"/>
                <w:highlight w:val="none"/>
              </w:rPr>
              <w:t>个月（</w:t>
            </w:r>
            <w:r>
              <w:rPr>
                <w:rFonts w:hint="eastAsia" w:ascii="Times New Roman" w:hAnsi="Times New Roman" w:eastAsia="宋体" w:cs="Times New Roman"/>
                <w:szCs w:val="21"/>
                <w:highlight w:val="none"/>
                <w:lang w:val="en-US" w:eastAsia="zh-CN"/>
              </w:rPr>
              <w:t>6</w:t>
            </w:r>
            <w:r>
              <w:rPr>
                <w:rFonts w:hint="default" w:ascii="Times New Roman" w:hAnsi="Times New Roman" w:eastAsia="宋体" w:cs="Times New Roman"/>
                <w:szCs w:val="21"/>
                <w:highlight w:val="none"/>
              </w:rPr>
              <w:t>0日历天）内完成系统建设并初验，初验通过试运行3个月（90日历天）</w:t>
            </w:r>
            <w:r>
              <w:rPr>
                <w:rFonts w:hint="default" w:ascii="Times New Roman" w:hAnsi="Times New Roman" w:eastAsia="宋体" w:cs="Times New Roman"/>
                <w:szCs w:val="21"/>
                <w:highlight w:val="none"/>
                <w:lang w:eastAsia="zh-CN"/>
              </w:rPr>
              <w:t>正常后</w:t>
            </w:r>
            <w:r>
              <w:rPr>
                <w:rFonts w:hint="default" w:ascii="Times New Roman" w:hAnsi="Times New Roman" w:eastAsia="宋体" w:cs="Times New Roman"/>
                <w:szCs w:val="21"/>
                <w:highlight w:val="none"/>
              </w:rPr>
              <w:t>，再进行系统终验。</w:t>
            </w:r>
          </w:p>
          <w:p>
            <w:pPr>
              <w:spacing w:line="360" w:lineRule="auto"/>
              <w:jc w:val="left"/>
              <w:rPr>
                <w:rFonts w:hint="default" w:ascii="Times New Roman" w:hAnsi="Times New Roman" w:eastAsia="宋体" w:cs="Times New Roman"/>
                <w:szCs w:val="21"/>
                <w:highlight w:val="none"/>
              </w:rPr>
            </w:pPr>
            <w:r>
              <w:rPr>
                <w:rFonts w:hint="default" w:ascii="Times New Roman" w:hAnsi="Times New Roman" w:eastAsia="宋体" w:cs="Times New Roman"/>
                <w:b/>
                <w:bCs/>
                <w:szCs w:val="21"/>
                <w:highlight w:val="none"/>
              </w:rPr>
              <w:t>（2）项目团队要求：</w:t>
            </w:r>
            <w:r>
              <w:rPr>
                <w:rFonts w:hint="default" w:ascii="Times New Roman" w:hAnsi="Times New Roman" w:eastAsia="宋体" w:cs="Times New Roman"/>
                <w:szCs w:val="21"/>
                <w:highlight w:val="none"/>
              </w:rPr>
              <w:t>项目团队不少于30人。项目终验前</w:t>
            </w:r>
            <w:r>
              <w:rPr>
                <w:rFonts w:hint="eastAsia" w:ascii="Times New Roman" w:hAnsi="Times New Roman" w:eastAsia="宋体" w:cs="Times New Roman"/>
                <w:szCs w:val="21"/>
                <w:highlight w:val="none"/>
                <w:lang w:eastAsia="zh-CN"/>
              </w:rPr>
              <w:t>须</w:t>
            </w:r>
            <w:r>
              <w:rPr>
                <w:rFonts w:hint="default" w:ascii="Times New Roman" w:hAnsi="Times New Roman" w:eastAsia="宋体" w:cs="Times New Roman"/>
                <w:szCs w:val="21"/>
                <w:highlight w:val="none"/>
              </w:rPr>
              <w:t>提供不少于10个驻场人员。</w:t>
            </w:r>
          </w:p>
          <w:p>
            <w:pPr>
              <w:spacing w:line="360" w:lineRule="auto"/>
              <w:jc w:val="left"/>
              <w:rPr>
                <w:rFonts w:hint="default" w:ascii="Times New Roman" w:hAnsi="Times New Roman" w:eastAsia="宋体" w:cs="Times New Roman"/>
                <w:szCs w:val="21"/>
                <w:highlight w:val="none"/>
              </w:rPr>
            </w:pPr>
            <w:r>
              <w:rPr>
                <w:rFonts w:hint="default" w:ascii="Times New Roman" w:hAnsi="Times New Roman" w:eastAsia="宋体" w:cs="Times New Roman"/>
                <w:b/>
                <w:bCs/>
                <w:szCs w:val="21"/>
                <w:highlight w:val="none"/>
              </w:rPr>
              <w:t>（3）项目验收要求：</w:t>
            </w:r>
            <w:r>
              <w:rPr>
                <w:rFonts w:hint="default" w:ascii="Times New Roman" w:hAnsi="Times New Roman" w:eastAsia="宋体" w:cs="Times New Roman"/>
                <w:szCs w:val="21"/>
                <w:highlight w:val="none"/>
              </w:rPr>
              <w:t>按照《陕西省政务大数据局关于印发省级政务信息化项目竣工验收管理办法（试行）的通知》（陕政数局〔2023〕6号）</w:t>
            </w:r>
            <w:r>
              <w:rPr>
                <w:rFonts w:hint="default" w:ascii="Times New Roman" w:hAnsi="Times New Roman" w:eastAsia="宋体" w:cs="Times New Roman"/>
                <w:szCs w:val="21"/>
                <w:highlight w:val="none"/>
                <w:lang w:eastAsia="zh-CN"/>
              </w:rPr>
              <w:t>等</w:t>
            </w:r>
            <w:r>
              <w:rPr>
                <w:rFonts w:hint="default" w:ascii="Times New Roman" w:hAnsi="Times New Roman" w:eastAsia="宋体" w:cs="Times New Roman"/>
                <w:szCs w:val="21"/>
                <w:highlight w:val="none"/>
              </w:rPr>
              <w:t>有关规定</w:t>
            </w:r>
            <w:r>
              <w:rPr>
                <w:rFonts w:hint="default" w:ascii="Times New Roman" w:hAnsi="Times New Roman" w:eastAsia="宋体" w:cs="Times New Roman"/>
                <w:szCs w:val="21"/>
                <w:highlight w:val="none"/>
                <w:lang w:eastAsia="zh-CN"/>
              </w:rPr>
              <w:t>执行</w:t>
            </w:r>
            <w:r>
              <w:rPr>
                <w:rFonts w:hint="default" w:ascii="Times New Roman" w:hAnsi="Times New Roman" w:eastAsia="宋体" w:cs="Times New Roman"/>
                <w:szCs w:val="21"/>
                <w:highlight w:val="none"/>
              </w:rPr>
              <w:t xml:space="preserve">。 </w:t>
            </w:r>
          </w:p>
          <w:p>
            <w:pPr>
              <w:spacing w:line="360" w:lineRule="auto"/>
              <w:jc w:val="left"/>
              <w:rPr>
                <w:rFonts w:hint="default" w:ascii="Times New Roman" w:hAnsi="Times New Roman" w:eastAsia="宋体" w:cs="Times New Roman"/>
                <w:b/>
                <w:bCs/>
                <w:szCs w:val="21"/>
                <w:highlight w:val="none"/>
              </w:rPr>
            </w:pPr>
            <w:r>
              <w:rPr>
                <w:rFonts w:hint="default" w:ascii="Times New Roman" w:hAnsi="Times New Roman" w:eastAsia="宋体" w:cs="Times New Roman"/>
                <w:b/>
                <w:bCs/>
                <w:szCs w:val="21"/>
                <w:highlight w:val="none"/>
              </w:rPr>
              <w:t>（4）售后服务要求</w:t>
            </w:r>
          </w:p>
          <w:p>
            <w:pPr>
              <w:widowControl w:val="0"/>
              <w:spacing w:line="360" w:lineRule="auto"/>
              <w:rPr>
                <w:rFonts w:hint="default" w:ascii="Times New Roman" w:hAnsi="Times New Roman" w:eastAsia="宋体" w:cs="Times New Roman"/>
                <w:szCs w:val="21"/>
                <w:highlight w:val="none"/>
              </w:rPr>
            </w:pPr>
            <w:r>
              <w:rPr>
                <w:rFonts w:hint="default" w:ascii="Times New Roman" w:hAnsi="Times New Roman" w:eastAsia="宋体" w:cs="Times New Roman"/>
                <w:b/>
                <w:bCs/>
                <w:szCs w:val="21"/>
                <w:highlight w:val="none"/>
              </w:rPr>
              <w:t>①服务响应：</w:t>
            </w:r>
            <w:r>
              <w:rPr>
                <w:rFonts w:hint="default" w:ascii="Times New Roman" w:hAnsi="Times New Roman" w:eastAsia="宋体" w:cs="Times New Roman"/>
                <w:szCs w:val="21"/>
                <w:highlight w:val="none"/>
              </w:rPr>
              <w:t>提供7×24小时服务，响应时间不超过1小时，一般故障24小时内恢复，重大故障1小时响应、4小时给出解决方案；针对特殊无法修复故障，</w:t>
            </w:r>
            <w:r>
              <w:rPr>
                <w:rFonts w:hint="default" w:ascii="Times New Roman" w:hAnsi="Times New Roman" w:eastAsia="宋体" w:cs="Times New Roman"/>
                <w:szCs w:val="21"/>
                <w:highlight w:val="none"/>
                <w:lang w:eastAsia="zh-CN"/>
              </w:rPr>
              <w:t>须</w:t>
            </w:r>
            <w:r>
              <w:rPr>
                <w:rFonts w:hint="default" w:ascii="Times New Roman" w:hAnsi="Times New Roman" w:eastAsia="宋体" w:cs="Times New Roman"/>
                <w:szCs w:val="21"/>
                <w:highlight w:val="none"/>
              </w:rPr>
              <w:t>全力配合解决并确保系统和数据安全。</w:t>
            </w:r>
          </w:p>
          <w:p>
            <w:pPr>
              <w:widowControl w:val="0"/>
              <w:spacing w:line="360" w:lineRule="auto"/>
              <w:rPr>
                <w:rFonts w:hint="default" w:ascii="Times New Roman" w:hAnsi="Times New Roman" w:eastAsia="宋体" w:cs="Times New Roman"/>
                <w:szCs w:val="21"/>
                <w:highlight w:val="none"/>
              </w:rPr>
            </w:pPr>
            <w:r>
              <w:rPr>
                <w:rFonts w:hint="default" w:ascii="Times New Roman" w:hAnsi="Times New Roman" w:eastAsia="宋体" w:cs="Times New Roman"/>
                <w:b/>
                <w:bCs/>
                <w:szCs w:val="21"/>
                <w:highlight w:val="none"/>
              </w:rPr>
              <w:t>②运维服务：</w:t>
            </w:r>
            <w:r>
              <w:rPr>
                <w:rFonts w:hint="default" w:ascii="Times New Roman" w:hAnsi="Times New Roman" w:eastAsia="宋体" w:cs="Times New Roman"/>
                <w:szCs w:val="21"/>
                <w:highlight w:val="none"/>
              </w:rPr>
              <w:t>自项目终验通过之日起提供1年的免费运维服务，包括软件小版本升级服务，系统、数据库和运行环境优化服务，系统配置和数据容灾备份服务，系统运行状态和安全监测服务，故障排除和应急保障服务。免费运维期间供应商须应提供不少于5人的驻场服务。</w:t>
            </w:r>
          </w:p>
          <w:p>
            <w:pPr>
              <w:widowControl w:val="0"/>
              <w:spacing w:line="360" w:lineRule="auto"/>
              <w:rPr>
                <w:rFonts w:hint="default" w:ascii="Times New Roman" w:hAnsi="Times New Roman" w:eastAsia="宋体" w:cs="Times New Roman"/>
                <w:color w:val="0000FF"/>
                <w:szCs w:val="21"/>
                <w:highlight w:val="none"/>
                <w:lang w:eastAsia="zh-CN"/>
              </w:rPr>
            </w:pPr>
            <w:r>
              <w:rPr>
                <w:rFonts w:hint="default" w:ascii="Times New Roman" w:hAnsi="Times New Roman" w:eastAsia="宋体" w:cs="Times New Roman"/>
                <w:b/>
                <w:bCs/>
                <w:szCs w:val="21"/>
                <w:highlight w:val="none"/>
              </w:rPr>
              <w:t>③质保服务：</w:t>
            </w:r>
            <w:r>
              <w:rPr>
                <w:rFonts w:hint="default" w:ascii="Times New Roman" w:hAnsi="Times New Roman" w:eastAsia="宋体" w:cs="Times New Roman"/>
                <w:szCs w:val="21"/>
                <w:highlight w:val="none"/>
                <w:lang w:eastAsia="zh-CN"/>
              </w:rPr>
              <w:t>自项目终验通过之日起提供3年的免费质保服务，包括软件设计错误和缺陷的修复与升级完善，用户界面及功能的优化升级，个别</w:t>
            </w:r>
            <w:r>
              <w:rPr>
                <w:rFonts w:hint="eastAsia" w:ascii="Times New Roman" w:hAnsi="Times New Roman" w:eastAsia="宋体" w:cs="Times New Roman"/>
                <w:szCs w:val="21"/>
                <w:highlight w:val="none"/>
                <w:lang w:eastAsia="zh-CN"/>
              </w:rPr>
              <w:t>的</w:t>
            </w:r>
            <w:r>
              <w:rPr>
                <w:rFonts w:hint="default" w:ascii="Times New Roman" w:hAnsi="Times New Roman" w:eastAsia="宋体" w:cs="Times New Roman"/>
                <w:szCs w:val="21"/>
                <w:highlight w:val="none"/>
                <w:lang w:eastAsia="zh-CN"/>
              </w:rPr>
              <w:t>遗漏和新增需求的补充和实现，由此产生费用由</w:t>
            </w:r>
            <w:r>
              <w:rPr>
                <w:rFonts w:hint="default" w:ascii="Times New Roman" w:hAnsi="Times New Roman" w:eastAsia="宋体" w:cs="Times New Roman"/>
                <w:szCs w:val="21"/>
                <w:highlight w:val="none"/>
              </w:rPr>
              <w:t>供应商</w:t>
            </w:r>
            <w:r>
              <w:rPr>
                <w:rFonts w:hint="default" w:ascii="Times New Roman" w:hAnsi="Times New Roman" w:eastAsia="宋体" w:cs="Times New Roman"/>
                <w:szCs w:val="21"/>
                <w:highlight w:val="none"/>
                <w:lang w:eastAsia="zh-CN"/>
              </w:rPr>
              <w:t>承担。</w:t>
            </w:r>
          </w:p>
          <w:p>
            <w:pPr>
              <w:spacing w:line="360" w:lineRule="auto"/>
              <w:jc w:val="left"/>
              <w:rPr>
                <w:rFonts w:hint="default" w:ascii="Times New Roman" w:hAnsi="Times New Roman" w:eastAsia="宋体" w:cs="Times New Roman"/>
                <w:b/>
                <w:bCs/>
                <w:szCs w:val="21"/>
              </w:rPr>
            </w:pP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（5）项目培训要求：</w:t>
            </w:r>
            <w:r>
              <w:rPr>
                <w:rFonts w:hint="default" w:ascii="Times New Roman" w:hAnsi="Times New Roman" w:eastAsia="宋体" w:cs="Times New Roman"/>
                <w:szCs w:val="21"/>
              </w:rPr>
              <w:t>要求对相关使用人员、系统管理员、技术人员进行有针对性的培训，并编制相关的培训教材。</w:t>
            </w:r>
          </w:p>
        </w:tc>
      </w:tr>
    </w:tbl>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（三）陕西省工业和信息化厅“数字工信”建设项目一期软件测评服务</w:t>
      </w:r>
    </w:p>
    <w:p>
      <w:pPr>
        <w:shd w:val="clear" w:color="auto" w:fill="FFFFFF"/>
        <w:spacing w:line="360" w:lineRule="auto"/>
        <w:ind w:firstLine="480"/>
        <w:jc w:val="left"/>
        <w:rPr>
          <w:rFonts w:hint="default" w:ascii="Times New Roman" w:hAnsi="Times New Roman" w:eastAsia="宋体" w:cs="Times New Roman"/>
          <w:b/>
          <w:bCs/>
          <w:kern w:val="0"/>
          <w:szCs w:val="21"/>
        </w:rPr>
      </w:pPr>
      <w:r>
        <w:rPr>
          <w:rFonts w:hint="default" w:ascii="Times New Roman" w:hAnsi="Times New Roman" w:eastAsia="宋体" w:cs="Times New Roman"/>
          <w:b/>
          <w:bCs/>
          <w:kern w:val="0"/>
          <w:szCs w:val="21"/>
        </w:rPr>
        <w:t>标的名称：陕西省工业和信息化厅“数字工信”建设项目一期软件测评服务</w:t>
      </w:r>
    </w:p>
    <w:tbl>
      <w:tblPr>
        <w:tblStyle w:val="18"/>
        <w:tblW w:w="5293"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195"/>
        <w:gridCol w:w="757"/>
        <w:gridCol w:w="709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95" w:type="dxa"/>
            <w:tcBorders>
              <w:top w:val="single" w:color="000000" w:sz="6" w:space="0"/>
              <w:left w:val="single" w:color="000000" w:sz="6" w:space="0"/>
              <w:bottom w:val="single" w:color="000000" w:sz="6" w:space="0"/>
              <w:right w:val="single" w:color="000000" w:sz="6" w:space="0"/>
            </w:tcBorders>
            <w:shd w:val="clear" w:color="auto" w:fill="F1F1F1" w:themeFill="background1" w:themeFillShade="F2"/>
            <w:tcMar>
              <w:top w:w="0" w:type="dxa"/>
              <w:left w:w="120" w:type="dxa"/>
              <w:bottom w:w="0" w:type="dxa"/>
              <w:right w:w="120" w:type="dxa"/>
            </w:tcMar>
            <w:vAlign w:val="center"/>
          </w:tcPr>
          <w:p>
            <w:pPr>
              <w:spacing w:line="360" w:lineRule="auto"/>
              <w:jc w:val="center"/>
              <w:rPr>
                <w:rFonts w:hint="default" w:ascii="Times New Roman" w:hAnsi="Times New Roman" w:eastAsia="宋体" w:cs="Times New Roman"/>
                <w:b/>
                <w:bCs/>
                <w:szCs w:val="21"/>
              </w:rPr>
            </w:pPr>
            <w:bookmarkStart w:id="37" w:name="_Hlk152582225"/>
            <w:r>
              <w:rPr>
                <w:rFonts w:hint="default" w:ascii="Times New Roman" w:hAnsi="Times New Roman" w:eastAsia="宋体" w:cs="Times New Roman"/>
                <w:b/>
                <w:bCs/>
                <w:szCs w:val="21"/>
              </w:rPr>
              <w:t>参数性质</w:t>
            </w:r>
          </w:p>
        </w:tc>
        <w:tc>
          <w:tcPr>
            <w:tcW w:w="757" w:type="dxa"/>
            <w:tcBorders>
              <w:top w:val="single" w:color="000000" w:sz="6" w:space="0"/>
              <w:left w:val="single" w:color="000000" w:sz="6" w:space="0"/>
              <w:bottom w:val="single" w:color="000000" w:sz="6" w:space="0"/>
              <w:right w:val="single" w:color="000000" w:sz="6" w:space="0"/>
            </w:tcBorders>
            <w:shd w:val="clear" w:color="auto" w:fill="F1F1F1" w:themeFill="background1" w:themeFillShade="F2"/>
            <w:tcMar>
              <w:top w:w="0" w:type="dxa"/>
              <w:left w:w="120" w:type="dxa"/>
              <w:bottom w:w="0" w:type="dxa"/>
              <w:right w:w="120" w:type="dxa"/>
            </w:tcMar>
            <w:vAlign w:val="center"/>
          </w:tcPr>
          <w:p>
            <w:pPr>
              <w:spacing w:line="360" w:lineRule="auto"/>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序号</w:t>
            </w:r>
          </w:p>
        </w:tc>
        <w:tc>
          <w:tcPr>
            <w:tcW w:w="7095" w:type="dxa"/>
            <w:tcBorders>
              <w:top w:val="single" w:color="000000" w:sz="6" w:space="0"/>
              <w:left w:val="single" w:color="000000" w:sz="6" w:space="0"/>
              <w:bottom w:val="single" w:color="000000" w:sz="6" w:space="0"/>
              <w:right w:val="single" w:color="000000" w:sz="6" w:space="0"/>
            </w:tcBorders>
            <w:shd w:val="clear" w:color="auto" w:fill="F1F1F1" w:themeFill="background1" w:themeFillShade="F2"/>
            <w:tcMar>
              <w:top w:w="0" w:type="dxa"/>
              <w:left w:w="120" w:type="dxa"/>
              <w:bottom w:w="0" w:type="dxa"/>
              <w:right w:w="120" w:type="dxa"/>
            </w:tcMar>
            <w:vAlign w:val="center"/>
          </w:tcPr>
          <w:p>
            <w:pPr>
              <w:spacing w:line="360" w:lineRule="auto"/>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技术参数与性能指标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9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kern w:val="0"/>
                <w:szCs w:val="21"/>
                <w:shd w:val="clear" w:color="auto" w:fill="FFFFFF"/>
              </w:rPr>
              <w:t>★</w:t>
            </w:r>
          </w:p>
        </w:tc>
        <w:tc>
          <w:tcPr>
            <w:tcW w:w="75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709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numPr>
                <w:ilvl w:val="0"/>
                <w:numId w:val="2"/>
              </w:numPr>
              <w:spacing w:line="360" w:lineRule="auto"/>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技术要求</w:t>
            </w:r>
          </w:p>
          <w:p>
            <w:pPr>
              <w:numPr>
                <w:ilvl w:val="0"/>
                <w:numId w:val="0"/>
              </w:numPr>
              <w:spacing w:line="360" w:lineRule="auto"/>
              <w:ind w:firstLine="420" w:firstLineChars="200"/>
              <w:jc w:val="left"/>
              <w:rPr>
                <w:rFonts w:hint="default" w:ascii="Times New Roman" w:hAnsi="Times New Roman" w:eastAsia="宋体" w:cs="Times New Roman"/>
                <w:szCs w:val="21"/>
              </w:rPr>
            </w:pPr>
            <w:r>
              <w:rPr>
                <w:rFonts w:hint="default" w:ascii="Times New Roman" w:hAnsi="Times New Roman" w:eastAsia="宋体" w:cs="Times New Roman"/>
                <w:szCs w:val="21"/>
              </w:rPr>
              <w:t>对陕西省工业和信息化厅“数字工信”建设项目一期第三方软件测评，测试内容包括系统功能测试、性能效率测试、兼容性、易用性、可靠性等。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95" w:type="dxa"/>
            <w:tcBorders>
              <w:top w:val="single" w:color="000000" w:sz="6" w:space="0"/>
              <w:left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hint="default" w:ascii="Times New Roman" w:hAnsi="Times New Roman" w:cs="Times New Roman"/>
                <w:sz w:val="24"/>
                <w:szCs w:val="24"/>
                <w:shd w:val="clear" w:color="auto" w:fill="FFFFFF"/>
              </w:rPr>
            </w:pPr>
            <w:r>
              <w:rPr>
                <w:rFonts w:hint="default" w:ascii="Times New Roman" w:hAnsi="Times New Roman" w:eastAsia="宋体" w:cs="Times New Roman"/>
                <w:kern w:val="0"/>
                <w:szCs w:val="21"/>
                <w:shd w:val="clear" w:color="auto" w:fill="FFFFFF"/>
              </w:rPr>
              <w:t>▲</w:t>
            </w:r>
          </w:p>
        </w:tc>
        <w:tc>
          <w:tcPr>
            <w:tcW w:w="757" w:type="dxa"/>
            <w:tcBorders>
              <w:top w:val="single" w:color="000000" w:sz="6" w:space="0"/>
              <w:left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w:t>
            </w:r>
          </w:p>
        </w:tc>
        <w:tc>
          <w:tcPr>
            <w:tcW w:w="709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numPr>
                <w:ilvl w:val="0"/>
                <w:numId w:val="2"/>
              </w:numPr>
              <w:spacing w:line="360" w:lineRule="auto"/>
              <w:ind w:left="0" w:leftChars="0" w:firstLine="0" w:firstLineChars="0"/>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售后要求</w:t>
            </w:r>
          </w:p>
          <w:p>
            <w:pPr>
              <w:numPr>
                <w:ilvl w:val="0"/>
                <w:numId w:val="0"/>
              </w:numPr>
              <w:spacing w:line="360" w:lineRule="auto"/>
              <w:ind w:leftChars="0" w:firstLine="420" w:firstLineChars="200"/>
              <w:jc w:val="left"/>
              <w:rPr>
                <w:rFonts w:hint="default" w:ascii="Times New Roman" w:hAnsi="Times New Roman" w:eastAsia="宋体" w:cs="Times New Roman"/>
                <w:szCs w:val="21"/>
              </w:rPr>
            </w:pPr>
            <w:r>
              <w:rPr>
                <w:rFonts w:hint="default" w:ascii="Times New Roman" w:hAnsi="Times New Roman" w:eastAsia="宋体" w:cs="Times New Roman"/>
                <w:szCs w:val="21"/>
              </w:rPr>
              <w:t>项目验收后提供为期一年的售后服务工作，提供包括技术支持、故障排查、软件使用指导、业务咨询等第三方软件测评服务。</w:t>
            </w:r>
          </w:p>
        </w:tc>
      </w:tr>
      <w:bookmarkEnd w:id="37"/>
    </w:tbl>
    <w:p>
      <w:pPr>
        <w:shd w:val="clear" w:color="auto" w:fill="FFFFFF"/>
        <w:spacing w:line="360" w:lineRule="auto"/>
        <w:ind w:firstLine="480"/>
        <w:jc w:val="left"/>
        <w:rPr>
          <w:rFonts w:hint="default" w:ascii="Times New Roman" w:hAnsi="Times New Roman" w:eastAsia="宋体" w:cs="Times New Roman"/>
          <w:color w:val="0A82E5"/>
          <w:kern w:val="0"/>
          <w:szCs w:val="21"/>
        </w:rPr>
      </w:pPr>
    </w:p>
    <w:p>
      <w:pPr>
        <w:pStyle w:val="4"/>
        <w:spacing w:line="360" w:lineRule="auto"/>
        <w:rPr>
          <w:rFonts w:hint="default" w:ascii="Times New Roman" w:hAnsi="Times New Roman" w:cs="Times New Roman"/>
        </w:rPr>
      </w:pPr>
      <w:r>
        <w:rPr>
          <w:rFonts w:hint="default" w:ascii="Times New Roman" w:hAnsi="Times New Roman" w:cs="Times New Roman"/>
        </w:rPr>
        <w:t>（四）陕西省工业和信息化厅“数字工信”建设项目一期网络安全等级保护测评服务</w:t>
      </w:r>
    </w:p>
    <w:p>
      <w:pPr>
        <w:shd w:val="clear" w:color="auto" w:fill="FFFFFF"/>
        <w:spacing w:line="360" w:lineRule="auto"/>
        <w:ind w:firstLine="480"/>
        <w:jc w:val="left"/>
        <w:rPr>
          <w:rFonts w:hint="default" w:ascii="Times New Roman" w:hAnsi="Times New Roman" w:eastAsia="宋体" w:cs="Times New Roman"/>
          <w:b/>
          <w:bCs/>
          <w:kern w:val="0"/>
          <w:szCs w:val="21"/>
        </w:rPr>
      </w:pPr>
      <w:r>
        <w:rPr>
          <w:rFonts w:hint="default" w:ascii="Times New Roman" w:hAnsi="Times New Roman" w:eastAsia="宋体" w:cs="Times New Roman"/>
          <w:b/>
          <w:bCs/>
          <w:kern w:val="0"/>
          <w:szCs w:val="21"/>
        </w:rPr>
        <w:t>标的名称：陕西省工业和信息化厅“数字工信”建设项目一期网络安全等级保护测评服务</w:t>
      </w:r>
    </w:p>
    <w:tbl>
      <w:tblPr>
        <w:tblStyle w:val="18"/>
        <w:tblW w:w="5284"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71"/>
        <w:gridCol w:w="742"/>
        <w:gridCol w:w="71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36"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参数性质</w:t>
            </w:r>
          </w:p>
        </w:tc>
        <w:tc>
          <w:tcPr>
            <w:tcW w:w="72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序号</w:t>
            </w:r>
          </w:p>
        </w:tc>
        <w:tc>
          <w:tcPr>
            <w:tcW w:w="690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rPr>
                <w:rFonts w:hint="default" w:ascii="Times New Roman" w:hAnsi="Times New Roman" w:eastAsia="宋体" w:cs="Times New Roman"/>
                <w:b/>
                <w:bCs/>
                <w:szCs w:val="21"/>
              </w:rPr>
            </w:pPr>
            <w:r>
              <w:rPr>
                <w:rFonts w:hint="default" w:ascii="Times New Roman" w:hAnsi="Times New Roman" w:eastAsia="宋体" w:cs="Times New Roman"/>
                <w:b/>
                <w:bCs/>
                <w:szCs w:val="21"/>
              </w:rPr>
              <w:t>技术参数与性能指标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78" w:hRule="atLeast"/>
        </w:trPr>
        <w:tc>
          <w:tcPr>
            <w:tcW w:w="1136"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72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690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rPr>
                <w:rFonts w:hint="eastAsia" w:ascii="Times New Roman" w:hAnsi="Times New Roman" w:eastAsia="宋体" w:cs="Times New Roman"/>
                <w:szCs w:val="21"/>
                <w:lang w:eastAsia="zh-CN"/>
              </w:rPr>
            </w:pPr>
            <w:r>
              <w:rPr>
                <w:rFonts w:hint="default" w:ascii="Times New Roman" w:hAnsi="Times New Roman" w:eastAsia="宋体" w:cs="Times New Roman"/>
                <w:szCs w:val="21"/>
              </w:rPr>
              <w:t>1.供应商具有《CCRC信息安全服务资质认证证书-风险评估》</w:t>
            </w:r>
            <w:r>
              <w:rPr>
                <w:rFonts w:hint="eastAsia" w:ascii="Times New Roman" w:hAnsi="Times New Roman" w:eastAsia="宋体" w:cs="Times New Roman"/>
                <w:szCs w:val="21"/>
                <w:lang w:eastAsia="zh-CN"/>
              </w:rPr>
              <w:t>。</w:t>
            </w:r>
          </w:p>
          <w:p>
            <w:pPr>
              <w:spacing w:line="360" w:lineRule="auto"/>
              <w:rPr>
                <w:rFonts w:hint="default" w:ascii="Times New Roman" w:hAnsi="Times New Roman" w:eastAsia="宋体" w:cs="Times New Roman"/>
                <w:szCs w:val="21"/>
              </w:rPr>
            </w:pPr>
            <w:r>
              <w:rPr>
                <w:rFonts w:hint="default" w:ascii="Times New Roman" w:hAnsi="Times New Roman" w:eastAsia="宋体" w:cs="Times New Roman"/>
                <w:szCs w:val="21"/>
              </w:rPr>
              <w:t>2.项目组成员不少于6人，</w:t>
            </w:r>
            <w:r>
              <w:rPr>
                <w:rFonts w:hint="eastAsia" w:ascii="Times New Roman" w:hAnsi="Times New Roman" w:eastAsia="宋体" w:cs="Times New Roman"/>
                <w:szCs w:val="21"/>
                <w:lang w:eastAsia="zh-CN"/>
              </w:rPr>
              <w:t>须</w:t>
            </w:r>
            <w:r>
              <w:rPr>
                <w:rFonts w:hint="default" w:ascii="Times New Roman" w:hAnsi="Times New Roman" w:eastAsia="宋体" w:cs="Times New Roman"/>
                <w:szCs w:val="21"/>
              </w:rPr>
              <w:t>包含至少2名高级测评师</w:t>
            </w:r>
            <w:r>
              <w:rPr>
                <w:rFonts w:hint="eastAsia" w:ascii="Times New Roman" w:hAnsi="Times New Roman" w:eastAsia="宋体" w:cs="Times New Roman"/>
                <w:szCs w:val="21"/>
                <w:lang w:eastAsia="zh-CN"/>
              </w:rPr>
              <w:t>、</w:t>
            </w:r>
            <w:r>
              <w:rPr>
                <w:rFonts w:hint="default" w:ascii="Times New Roman" w:hAnsi="Times New Roman" w:eastAsia="宋体" w:cs="Times New Roman"/>
                <w:szCs w:val="21"/>
              </w:rPr>
              <w:t xml:space="preserve">2名中级测评师。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75" w:hRule="atLeast"/>
        </w:trPr>
        <w:tc>
          <w:tcPr>
            <w:tcW w:w="1136"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kern w:val="0"/>
                <w:szCs w:val="21"/>
                <w:shd w:val="clear" w:color="auto" w:fill="FFFFFF"/>
              </w:rPr>
              <w:t>▲</w:t>
            </w:r>
          </w:p>
        </w:tc>
        <w:tc>
          <w:tcPr>
            <w:tcW w:w="72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690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rPr>
                <w:rFonts w:hint="default" w:ascii="Times New Roman" w:hAnsi="Times New Roman" w:eastAsia="宋体" w:cs="Times New Roman"/>
                <w:b/>
                <w:bCs/>
                <w:szCs w:val="21"/>
                <w:highlight w:val="yellow"/>
              </w:rPr>
            </w:pPr>
            <w:r>
              <w:rPr>
                <w:rFonts w:hint="default" w:ascii="Times New Roman" w:hAnsi="Times New Roman" w:eastAsia="宋体" w:cs="Times New Roman"/>
                <w:b/>
                <w:bCs/>
                <w:szCs w:val="21"/>
              </w:rPr>
              <w:t>1.网络安全等级保护测评服务要求</w:t>
            </w:r>
          </w:p>
          <w:p>
            <w:pPr>
              <w:spacing w:line="360" w:lineRule="auto"/>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1</w:t>
            </w:r>
            <w:r>
              <w:rPr>
                <w:rFonts w:hint="default" w:ascii="Times New Roman" w:hAnsi="Times New Roman" w:eastAsia="宋体" w:cs="Times New Roman"/>
                <w:szCs w:val="21"/>
              </w:rPr>
              <w:t>)按照公安、网安、</w:t>
            </w:r>
            <w:r>
              <w:rPr>
                <w:rFonts w:hint="eastAsia" w:ascii="Times New Roman" w:hAnsi="Times New Roman" w:eastAsia="宋体" w:cs="Times New Roman"/>
                <w:szCs w:val="21"/>
                <w:lang w:eastAsia="zh-CN"/>
              </w:rPr>
              <w:t>政务</w:t>
            </w:r>
            <w:r>
              <w:rPr>
                <w:rFonts w:hint="default" w:ascii="Times New Roman" w:hAnsi="Times New Roman" w:eastAsia="宋体" w:cs="Times New Roman"/>
                <w:szCs w:val="21"/>
              </w:rPr>
              <w:t>大数据局等主管部门要求，协助完成网络安全相关规范和制度文本。</w:t>
            </w:r>
          </w:p>
          <w:p>
            <w:pPr>
              <w:spacing w:line="360" w:lineRule="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lang w:val="en-US" w:eastAsia="zh-CN"/>
              </w:rPr>
              <w:t>2</w:t>
            </w:r>
            <w:r>
              <w:rPr>
                <w:rFonts w:hint="default" w:ascii="Times New Roman" w:hAnsi="Times New Roman" w:eastAsia="宋体" w:cs="Times New Roman"/>
                <w:szCs w:val="21"/>
                <w:highlight w:val="none"/>
              </w:rPr>
              <w:t>)</w:t>
            </w:r>
            <w:r>
              <w:rPr>
                <w:rFonts w:hint="default" w:ascii="Times New Roman" w:hAnsi="Times New Roman" w:eastAsia="宋体" w:cs="Times New Roman"/>
                <w:szCs w:val="21"/>
                <w:highlight w:val="none"/>
                <w:lang w:eastAsia="zh-CN"/>
              </w:rPr>
              <w:t>提供项目</w:t>
            </w:r>
            <w:r>
              <w:rPr>
                <w:rFonts w:hint="default" w:ascii="Times New Roman" w:hAnsi="Times New Roman" w:eastAsia="宋体" w:cs="Times New Roman"/>
                <w:szCs w:val="21"/>
                <w:highlight w:val="none"/>
              </w:rPr>
              <w:t>网络安全等级保护测评</w:t>
            </w:r>
            <w:r>
              <w:rPr>
                <w:rFonts w:hint="default" w:ascii="Times New Roman" w:hAnsi="Times New Roman" w:eastAsia="宋体" w:cs="Times New Roman"/>
                <w:szCs w:val="21"/>
                <w:highlight w:val="none"/>
                <w:lang w:eastAsia="zh-CN"/>
              </w:rPr>
              <w:t>服务，</w:t>
            </w:r>
            <w:r>
              <w:rPr>
                <w:rFonts w:hint="default" w:ascii="Times New Roman" w:hAnsi="Times New Roman" w:eastAsia="宋体" w:cs="Times New Roman"/>
                <w:szCs w:val="21"/>
                <w:highlight w:val="none"/>
              </w:rPr>
              <w:t>包括聘请专家、 协调联络相关部门(如公安部门)完成等保三级定级备案。初次测评完成后，如测评分数未达到8</w:t>
            </w:r>
            <w:r>
              <w:rPr>
                <w:rFonts w:hint="eastAsia" w:ascii="Times New Roman" w:hAnsi="Times New Roman" w:eastAsia="宋体" w:cs="Times New Roman"/>
                <w:szCs w:val="21"/>
                <w:highlight w:val="none"/>
                <w:lang w:val="en-US" w:eastAsia="zh-CN"/>
              </w:rPr>
              <w:t>0</w:t>
            </w:r>
            <w:r>
              <w:rPr>
                <w:rFonts w:hint="default" w:ascii="Times New Roman" w:hAnsi="Times New Roman" w:eastAsia="宋体" w:cs="Times New Roman"/>
                <w:szCs w:val="21"/>
                <w:highlight w:val="none"/>
              </w:rPr>
              <w:t>分，供应商须出具整改建议并协助有关方做好整改。整改完成后进行复测，直至测评分数达到8</w:t>
            </w:r>
            <w:r>
              <w:rPr>
                <w:rFonts w:hint="eastAsia" w:ascii="Times New Roman" w:hAnsi="Times New Roman" w:eastAsia="宋体" w:cs="Times New Roman"/>
                <w:szCs w:val="21"/>
                <w:highlight w:val="none"/>
                <w:lang w:val="en-US" w:eastAsia="zh-CN"/>
              </w:rPr>
              <w:t>0</w:t>
            </w:r>
            <w:r>
              <w:rPr>
                <w:rFonts w:hint="default" w:ascii="Times New Roman" w:hAnsi="Times New Roman" w:eastAsia="宋体" w:cs="Times New Roman"/>
                <w:szCs w:val="21"/>
                <w:highlight w:val="none"/>
              </w:rPr>
              <w:t>分及以上完成测评。</w:t>
            </w:r>
          </w:p>
          <w:p>
            <w:pPr>
              <w:spacing w:line="360" w:lineRule="auto"/>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3</w:t>
            </w:r>
            <w:r>
              <w:rPr>
                <w:rFonts w:hint="default" w:ascii="Times New Roman" w:hAnsi="Times New Roman" w:eastAsia="宋体" w:cs="Times New Roman"/>
                <w:szCs w:val="21"/>
              </w:rPr>
              <w:t>)项目终验前完成一次安全风险评估和源代码审计工作。</w:t>
            </w:r>
          </w:p>
          <w:p>
            <w:pPr>
              <w:spacing w:line="360" w:lineRule="auto"/>
              <w:rPr>
                <w:rFonts w:hint="default" w:ascii="Times New Roman" w:hAnsi="Times New Roman" w:eastAsia="宋体" w:cs="Times New Roman"/>
                <w:szCs w:val="21"/>
              </w:rPr>
            </w:pPr>
            <w:r>
              <w:rPr>
                <w:rFonts w:hint="default" w:ascii="Times New Roman" w:hAnsi="Times New Roman" w:eastAsia="宋体" w:cs="Times New Roman"/>
                <w:b/>
                <w:bCs/>
                <w:szCs w:val="21"/>
              </w:rPr>
              <w:t>2.网络安全等级保护测评售后要求</w:t>
            </w:r>
            <w:r>
              <w:rPr>
                <w:rFonts w:hint="default" w:ascii="Times New Roman" w:hAnsi="Times New Roman" w:eastAsia="宋体" w:cs="Times New Roman"/>
                <w:szCs w:val="21"/>
              </w:rPr>
              <w:t xml:space="preserve"> </w:t>
            </w:r>
          </w:p>
          <w:p>
            <w:pPr>
              <w:spacing w:line="360" w:lineRule="auto"/>
              <w:rPr>
                <w:rFonts w:hint="default" w:ascii="Times New Roman" w:hAnsi="Times New Roman" w:eastAsia="宋体" w:cs="Times New Roman"/>
                <w:szCs w:val="21"/>
              </w:rPr>
            </w:pPr>
            <w:r>
              <w:rPr>
                <w:rFonts w:hint="default" w:ascii="Times New Roman" w:hAnsi="Times New Roman" w:eastAsia="宋体" w:cs="Times New Roman"/>
                <w:szCs w:val="21"/>
              </w:rPr>
              <w:t>项目验收后提供为期一年的售后服务工作，提供包括安全应急响应、安全检测、配合检查、电话支持、安全咨询、驻场保障等服务在内的安全运维服务。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36"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shd w:val="clear" w:color="auto" w:fill="FFFFFF"/>
              </w:rPr>
              <w:t>▲</w:t>
            </w:r>
          </w:p>
        </w:tc>
        <w:tc>
          <w:tcPr>
            <w:tcW w:w="72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3</w:t>
            </w:r>
          </w:p>
        </w:tc>
        <w:tc>
          <w:tcPr>
            <w:tcW w:w="690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rPr>
                <w:rFonts w:hint="default" w:ascii="Times New Roman" w:hAnsi="Times New Roman" w:eastAsia="宋体" w:cs="Times New Roman"/>
                <w:b/>
                <w:bCs/>
                <w:szCs w:val="21"/>
              </w:rPr>
            </w:pPr>
            <w:r>
              <w:rPr>
                <w:rFonts w:hint="default" w:ascii="Times New Roman" w:hAnsi="Times New Roman" w:eastAsia="宋体" w:cs="Times New Roman"/>
                <w:b/>
                <w:bCs/>
                <w:szCs w:val="21"/>
              </w:rPr>
              <w:t xml:space="preserve">人员要求： </w:t>
            </w:r>
          </w:p>
          <w:p>
            <w:pPr>
              <w:spacing w:line="360" w:lineRule="auto"/>
              <w:rPr>
                <w:rFonts w:hint="default" w:ascii="Times New Roman" w:hAnsi="Times New Roman" w:eastAsia="宋体" w:cs="Times New Roman"/>
                <w:szCs w:val="21"/>
              </w:rPr>
            </w:pPr>
            <w:r>
              <w:rPr>
                <w:rFonts w:hint="default" w:ascii="Times New Roman" w:hAnsi="Times New Roman" w:eastAsia="宋体" w:cs="Times New Roman"/>
                <w:b/>
                <w:bCs/>
                <w:szCs w:val="21"/>
              </w:rPr>
              <w:t>1.项目经理：</w:t>
            </w:r>
            <w:r>
              <w:rPr>
                <w:rFonts w:hint="default" w:ascii="Times New Roman" w:hAnsi="Times New Roman" w:eastAsia="宋体" w:cs="Times New Roman"/>
                <w:szCs w:val="21"/>
              </w:rPr>
              <w:t xml:space="preserve">同时具备网络安全等级测评师证书（高级）、国际注册信息系统安全师认证（CISSP）、注册密码技术专家（CISP-CTE）、商用密码应用安全性评估人员测评能力考核证书、信息安全保障人员认证证书（CISAW-风险管理），大数据-DSMM测评师初级（能力三级）。 </w:t>
            </w:r>
          </w:p>
          <w:p>
            <w:pPr>
              <w:spacing w:line="360" w:lineRule="auto"/>
              <w:rPr>
                <w:rFonts w:hint="default" w:ascii="Times New Roman" w:hAnsi="Times New Roman" w:eastAsia="宋体" w:cs="Times New Roman"/>
                <w:szCs w:val="21"/>
              </w:rPr>
            </w:pPr>
            <w:r>
              <w:rPr>
                <w:rFonts w:hint="default" w:ascii="Times New Roman" w:hAnsi="Times New Roman" w:eastAsia="宋体" w:cs="Times New Roman"/>
                <w:b/>
                <w:bCs/>
                <w:szCs w:val="21"/>
              </w:rPr>
              <w:t>2.技术主管：</w:t>
            </w:r>
            <w:r>
              <w:rPr>
                <w:rFonts w:hint="default" w:ascii="Times New Roman" w:hAnsi="Times New Roman" w:eastAsia="宋体" w:cs="Times New Roman"/>
                <w:szCs w:val="21"/>
              </w:rPr>
              <w:t xml:space="preserve">同时具备网络安全等级测评师证书（高级）、网络安全服务能力评价证书（CCSS-R)、注册数据安全治理专业人员（CISP-DSG)、信息安全管理师（CIIP-D),信息安全保障人员认证证书(CISAW-安全集成）。 </w:t>
            </w:r>
          </w:p>
          <w:p>
            <w:pPr>
              <w:spacing w:line="360" w:lineRule="auto"/>
              <w:rPr>
                <w:rFonts w:hint="default" w:ascii="Times New Roman" w:hAnsi="Times New Roman" w:eastAsia="宋体" w:cs="Times New Roman"/>
                <w:szCs w:val="21"/>
              </w:rPr>
            </w:pPr>
            <w:r>
              <w:rPr>
                <w:rFonts w:hint="default" w:ascii="Times New Roman" w:hAnsi="Times New Roman" w:eastAsia="宋体" w:cs="Times New Roman"/>
                <w:b/>
                <w:bCs/>
                <w:szCs w:val="21"/>
              </w:rPr>
              <w:t>3.风险安全管理员：</w:t>
            </w:r>
            <w:r>
              <w:rPr>
                <w:rFonts w:hint="default" w:ascii="Times New Roman" w:hAnsi="Times New Roman" w:eastAsia="宋体" w:cs="Times New Roman"/>
                <w:szCs w:val="21"/>
              </w:rPr>
              <w:t xml:space="preserve">同时具备网络安全等级测评师证书（中级）、信息安全保障人员认证证书(CISAW-应急服务）、IT服务管理人才认证（ITIL），网络安全服务能力评价证书（CCSS-L)。 </w:t>
            </w:r>
          </w:p>
          <w:p>
            <w:pPr>
              <w:spacing w:line="360" w:lineRule="auto"/>
              <w:rPr>
                <w:rFonts w:hint="default" w:ascii="Times New Roman" w:hAnsi="Times New Roman" w:eastAsia="宋体" w:cs="Times New Roman"/>
                <w:szCs w:val="21"/>
              </w:rPr>
            </w:pPr>
            <w:r>
              <w:rPr>
                <w:rFonts w:hint="default" w:ascii="Times New Roman" w:hAnsi="Times New Roman" w:eastAsia="宋体" w:cs="Times New Roman"/>
                <w:b/>
                <w:bCs/>
                <w:szCs w:val="21"/>
              </w:rPr>
              <w:t>4.售后培训讲师：</w:t>
            </w:r>
            <w:r>
              <w:rPr>
                <w:rFonts w:hint="default" w:ascii="Times New Roman" w:hAnsi="Times New Roman" w:eastAsia="宋体" w:cs="Times New Roman"/>
                <w:szCs w:val="21"/>
              </w:rPr>
              <w:t xml:space="preserve">需具备国产操作系统运维高级工程师证书、国产操作系统培训高级讲师证书。 </w:t>
            </w:r>
          </w:p>
          <w:p>
            <w:pPr>
              <w:spacing w:line="360" w:lineRule="auto"/>
              <w:rPr>
                <w:rFonts w:hint="default" w:ascii="Times New Roman" w:hAnsi="Times New Roman" w:eastAsia="宋体" w:cs="Times New Roman"/>
                <w:szCs w:val="21"/>
              </w:rPr>
            </w:pPr>
            <w:r>
              <w:rPr>
                <w:rFonts w:hint="default" w:ascii="Times New Roman" w:hAnsi="Times New Roman" w:eastAsia="宋体" w:cs="Times New Roman"/>
                <w:b/>
                <w:bCs/>
                <w:szCs w:val="21"/>
              </w:rPr>
              <w:t>企业实力：</w:t>
            </w:r>
            <w:r>
              <w:rPr>
                <w:rFonts w:hint="default" w:ascii="Times New Roman" w:hAnsi="Times New Roman" w:eastAsia="宋体" w:cs="Times New Roman"/>
                <w:szCs w:val="21"/>
              </w:rPr>
              <w:t xml:space="preserve"> </w:t>
            </w:r>
          </w:p>
          <w:p>
            <w:pPr>
              <w:spacing w:line="360" w:lineRule="auto"/>
              <w:rPr>
                <w:rFonts w:hint="default" w:ascii="Times New Roman" w:hAnsi="Times New Roman" w:eastAsia="宋体" w:cs="Times New Roman"/>
                <w:szCs w:val="21"/>
              </w:rPr>
            </w:pPr>
            <w:r>
              <w:rPr>
                <w:rFonts w:hint="default" w:ascii="Times New Roman" w:hAnsi="Times New Roman" w:eastAsia="宋体" w:cs="Times New Roman"/>
                <w:szCs w:val="21"/>
              </w:rPr>
              <w:t xml:space="preserve">1.供应商具有质量管理体系认证ISO9001、中国职业健康安全管理体系认证证书ISO45001、环境管理体系认证ISO14001、信息技术服务管理体系认证证书ISO/IEC20000、信息安全管理体系认证证书ISO/IEC27001。 </w:t>
            </w:r>
          </w:p>
          <w:p>
            <w:pPr>
              <w:spacing w:line="360" w:lineRule="auto"/>
              <w:rPr>
                <w:rFonts w:hint="default" w:ascii="Times New Roman" w:hAnsi="Times New Roman" w:eastAsia="宋体" w:cs="Times New Roman"/>
                <w:szCs w:val="21"/>
              </w:rPr>
            </w:pPr>
            <w:r>
              <w:rPr>
                <w:rFonts w:hint="default" w:ascii="Times New Roman" w:hAnsi="Times New Roman" w:eastAsia="宋体" w:cs="Times New Roman"/>
                <w:szCs w:val="21"/>
              </w:rPr>
              <w:t xml:space="preserve">2.近一年内取得的《CNVD原创漏洞证明》。 </w:t>
            </w:r>
          </w:p>
          <w:p>
            <w:pPr>
              <w:spacing w:line="360" w:lineRule="auto"/>
              <w:rPr>
                <w:rFonts w:hint="default" w:ascii="Times New Roman" w:hAnsi="Times New Roman" w:eastAsia="宋体" w:cs="Times New Roman"/>
                <w:szCs w:val="21"/>
              </w:rPr>
            </w:pPr>
            <w:r>
              <w:rPr>
                <w:rFonts w:hint="default" w:ascii="Times New Roman" w:hAnsi="Times New Roman" w:eastAsia="宋体" w:cs="Times New Roman"/>
                <w:szCs w:val="21"/>
              </w:rPr>
              <w:t>3.供应商具有网络安全等级保护相关计算机软件著作权登记证书。</w:t>
            </w:r>
          </w:p>
        </w:tc>
      </w:tr>
    </w:tbl>
    <w:p>
      <w:pPr>
        <w:shd w:val="clear" w:color="auto" w:fill="FFFFFF"/>
        <w:spacing w:line="360" w:lineRule="auto"/>
        <w:ind w:firstLine="480"/>
        <w:jc w:val="left"/>
        <w:rPr>
          <w:rFonts w:hint="default" w:ascii="Times New Roman" w:hAnsi="Times New Roman" w:eastAsia="宋体" w:cs="Times New Roman"/>
          <w:color w:val="0A82E5"/>
          <w:kern w:val="0"/>
          <w:szCs w:val="21"/>
        </w:rPr>
      </w:pPr>
    </w:p>
    <w:p>
      <w:pPr>
        <w:pStyle w:val="4"/>
        <w:spacing w:line="360" w:lineRule="auto"/>
        <w:rPr>
          <w:rFonts w:hint="default" w:ascii="Times New Roman" w:hAnsi="Times New Roman" w:cs="Times New Roman"/>
        </w:rPr>
      </w:pPr>
      <w:r>
        <w:rPr>
          <w:rFonts w:hint="default" w:ascii="Times New Roman" w:hAnsi="Times New Roman" w:cs="Times New Roman"/>
        </w:rPr>
        <w:t>（五）陕西省工业和信息化厅“数字工信”建设项目一期商用密码应用安全性评估服务</w:t>
      </w:r>
    </w:p>
    <w:p>
      <w:pPr>
        <w:shd w:val="clear" w:color="auto" w:fill="FFFFFF"/>
        <w:spacing w:line="360" w:lineRule="auto"/>
        <w:ind w:firstLine="480"/>
        <w:jc w:val="left"/>
        <w:rPr>
          <w:rFonts w:hint="default" w:ascii="Times New Roman" w:hAnsi="Times New Roman" w:eastAsia="宋体" w:cs="Times New Roman"/>
          <w:b/>
          <w:bCs/>
          <w:kern w:val="0"/>
          <w:szCs w:val="21"/>
        </w:rPr>
      </w:pPr>
      <w:r>
        <w:rPr>
          <w:rFonts w:hint="default" w:ascii="Times New Roman" w:hAnsi="Times New Roman" w:eastAsia="宋体" w:cs="Times New Roman"/>
          <w:b/>
          <w:bCs/>
          <w:kern w:val="0"/>
          <w:szCs w:val="21"/>
        </w:rPr>
        <w:t>标的名称：陕西省工业和信息化厅“数字工信”建设项目一期商用密码应用安全性评估服务</w:t>
      </w:r>
    </w:p>
    <w:tbl>
      <w:tblPr>
        <w:tblStyle w:val="18"/>
        <w:tblW w:w="5293"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9"/>
        <w:gridCol w:w="739"/>
        <w:gridCol w:w="746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1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参数性质</w:t>
            </w:r>
          </w:p>
        </w:tc>
        <w:tc>
          <w:tcPr>
            <w:tcW w:w="71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序号</w:t>
            </w:r>
          </w:p>
        </w:tc>
        <w:tc>
          <w:tcPr>
            <w:tcW w:w="724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rPr>
                <w:rFonts w:hint="default" w:ascii="Times New Roman" w:hAnsi="Times New Roman" w:eastAsia="宋体" w:cs="Times New Roman"/>
                <w:b/>
                <w:bCs/>
                <w:szCs w:val="21"/>
              </w:rPr>
            </w:pPr>
            <w:r>
              <w:rPr>
                <w:rFonts w:hint="default" w:ascii="Times New Roman" w:hAnsi="Times New Roman" w:eastAsia="宋体" w:cs="Times New Roman"/>
                <w:b/>
                <w:bCs/>
                <w:szCs w:val="21"/>
              </w:rPr>
              <w:t>技术参数与性能指标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1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71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724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 xml:space="preserve">陕西省工业和信息化厅“数字工信”建设项目一期商用密码应用安全性评估： </w:t>
            </w:r>
          </w:p>
          <w:p>
            <w:pPr>
              <w:spacing w:line="360" w:lineRule="auto"/>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 xml:space="preserve">1.商用密码应用安全性评估服务内容 </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依据GB/T39786-2021《信息系统密码应用基本要求》等国家和行业商用密码相关规范标准，在服务期内，对陕西省工业和信息化厅“数字工信”建设项目一期开展密码应用安全性评估，评估内容为：商用密码总体要求测评、密码技术应用测评、密钥管理测评、安全管理测评。</w:t>
            </w:r>
            <w:r>
              <w:rPr>
                <w:rFonts w:hint="eastAsia" w:ascii="Times New Roman" w:hAnsi="Times New Roman" w:eastAsia="宋体" w:cs="Times New Roman"/>
                <w:szCs w:val="21"/>
                <w:lang w:eastAsia="zh-CN"/>
              </w:rPr>
              <w:t>评估</w:t>
            </w:r>
            <w:r>
              <w:rPr>
                <w:rFonts w:hint="default" w:ascii="Times New Roman" w:hAnsi="Times New Roman" w:eastAsia="宋体" w:cs="Times New Roman"/>
                <w:szCs w:val="21"/>
              </w:rPr>
              <w:t xml:space="preserve">后，出具加盖检测机构印章的《密码应用安全评估报告》纸质一式三份。 </w:t>
            </w:r>
          </w:p>
          <w:p>
            <w:pPr>
              <w:spacing w:line="360" w:lineRule="auto"/>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 xml:space="preserve">2.商用密码应用安全性评估服务技术要求 </w:t>
            </w:r>
          </w:p>
          <w:p>
            <w:pPr>
              <w:spacing w:line="360" w:lineRule="auto"/>
              <w:jc w:val="left"/>
              <w:rPr>
                <w:rFonts w:hint="default" w:ascii="Times New Roman" w:hAnsi="Times New Roman" w:eastAsia="宋体" w:cs="Times New Roman"/>
                <w:b/>
                <w:bCs/>
                <w:szCs w:val="21"/>
              </w:rPr>
            </w:pPr>
            <w:r>
              <w:rPr>
                <w:rFonts w:hint="eastAsia" w:ascii="Times New Roman" w:hAnsi="Times New Roman" w:eastAsia="宋体" w:cs="Times New Roman"/>
                <w:b/>
                <w:bCs/>
                <w:szCs w:val="21"/>
                <w:lang w:eastAsia="zh-CN"/>
              </w:rPr>
              <w:t>（</w:t>
            </w:r>
            <w:r>
              <w:rPr>
                <w:rFonts w:hint="eastAsia" w:ascii="Times New Roman" w:hAnsi="Times New Roman" w:eastAsia="宋体" w:cs="Times New Roman"/>
                <w:b/>
                <w:bCs/>
                <w:szCs w:val="21"/>
                <w:lang w:val="en-US" w:eastAsia="zh-CN"/>
              </w:rPr>
              <w:t>1</w:t>
            </w:r>
            <w:r>
              <w:rPr>
                <w:rFonts w:hint="eastAsia" w:ascii="Times New Roman" w:hAnsi="Times New Roman" w:eastAsia="宋体" w:cs="Times New Roman"/>
                <w:b/>
                <w:bCs/>
                <w:szCs w:val="21"/>
                <w:lang w:eastAsia="zh-CN"/>
              </w:rPr>
              <w:t>）</w:t>
            </w:r>
            <w:r>
              <w:rPr>
                <w:rFonts w:hint="default" w:ascii="Times New Roman" w:hAnsi="Times New Roman" w:eastAsia="宋体" w:cs="Times New Roman"/>
                <w:b/>
                <w:bCs/>
                <w:szCs w:val="21"/>
              </w:rPr>
              <w:t xml:space="preserve"> 商用密码总体测评要求 </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1）密码算法合规性测评：</w:t>
            </w:r>
            <w:r>
              <w:rPr>
                <w:rFonts w:hint="default" w:ascii="Times New Roman" w:hAnsi="Times New Roman" w:eastAsia="宋体" w:cs="Times New Roman"/>
                <w:szCs w:val="21"/>
              </w:rPr>
              <w:t xml:space="preserve">信息系统中使用的密码算法是否符合法律、法规的规定和密码相关国家标准、行业标准的有关要求。 </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2）密码技术合规性测评：</w:t>
            </w:r>
            <w:r>
              <w:rPr>
                <w:rFonts w:hint="default" w:ascii="Times New Roman" w:hAnsi="Times New Roman" w:eastAsia="宋体" w:cs="Times New Roman"/>
                <w:szCs w:val="21"/>
              </w:rPr>
              <w:t xml:space="preserve">信息系统中使用的密码技术是否遵循密码相关国家标准和行业标准。 </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3）密码产品合规性测评：</w:t>
            </w:r>
            <w:r>
              <w:rPr>
                <w:rFonts w:hint="default" w:ascii="Times New Roman" w:hAnsi="Times New Roman" w:eastAsia="宋体" w:cs="Times New Roman"/>
                <w:szCs w:val="21"/>
              </w:rPr>
              <w:t xml:space="preserve">信息系统中使用的密码产品与密码模块是否通过国家密码管理部门核准。 </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4）密码服务合规性测评：</w:t>
            </w:r>
            <w:r>
              <w:rPr>
                <w:rFonts w:hint="default" w:ascii="Times New Roman" w:hAnsi="Times New Roman" w:eastAsia="宋体" w:cs="Times New Roman"/>
                <w:szCs w:val="21"/>
              </w:rPr>
              <w:t xml:space="preserve">信息系统中使用的密码服务是否通过国家密码管理部门许可。 </w:t>
            </w:r>
          </w:p>
          <w:p>
            <w:pPr>
              <w:spacing w:line="360" w:lineRule="auto"/>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 xml:space="preserve">（2) 密码技术应用测评 </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 xml:space="preserve">从物理和环境、网络和通信、设备和计算、应用和数据4个层面对信息系统中应用的密码技术进行分析与评估。 </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物理和环境层面测评：</w:t>
            </w:r>
            <w:r>
              <w:rPr>
                <w:rFonts w:hint="default" w:ascii="Times New Roman" w:hAnsi="Times New Roman" w:eastAsia="宋体" w:cs="Times New Roman"/>
                <w:szCs w:val="21"/>
              </w:rPr>
              <w:t xml:space="preserve">分析评估系统是否合理、合规地利用商用密码完整性、真实性功能，对影响系统安全防护效能的物理和环境层面因素进行保护。包括但不限于下列典型因素：重要场所的物理访问控制，监控设备的物理访问控制，以及物理访问记录、监控信息等敏感信息数据完整性。 </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网络和通信层面测评：</w:t>
            </w:r>
            <w:r>
              <w:rPr>
                <w:rFonts w:hint="default" w:ascii="Times New Roman" w:hAnsi="Times New Roman" w:eastAsia="宋体" w:cs="Times New Roman"/>
                <w:szCs w:val="21"/>
              </w:rPr>
              <w:t xml:space="preserve">分析评估系统是否合理、合规地利用商用密码机密性、完整性、真实性功能，对影响系统安全防护效能的网络和通信层面因素进行保护。包括但不限于下列典型因素：安全认证连接到内部网络的设备，通信双方的身份认证过程，通信数据完整性，敏感信息数据字段机密性，网络边界访问控制信息完整性，系统资源访问控制信息完整性，安全设备、安全组件的集中管理方式和信息传输通道。 </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设备和计算层面测评：</w:t>
            </w:r>
            <w:r>
              <w:rPr>
                <w:rFonts w:hint="default" w:ascii="Times New Roman" w:hAnsi="Times New Roman" w:eastAsia="宋体" w:cs="Times New Roman"/>
                <w:szCs w:val="21"/>
              </w:rPr>
              <w:t xml:space="preserve">分析评估系统是否合理、合规地利用商用密码机密性、完整性、真实性功能，对影响系统安全防护效能的设备和计算层面因素进行保护。包括但不限于下列典型因素：登录系统设备和计算环境的用户身份鉴别过程，系统设备和计算环境资源访问控制信息完整性，重要信息资源敏感标记完整性，重要程序或文件完整性，系统设备和计算环境的日志记录完整性。 </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应用和数据层面测评：</w:t>
            </w:r>
            <w:r>
              <w:rPr>
                <w:rFonts w:hint="default" w:ascii="Times New Roman" w:hAnsi="Times New Roman" w:eastAsia="宋体" w:cs="Times New Roman"/>
                <w:szCs w:val="21"/>
              </w:rPr>
              <w:t xml:space="preserve">分析评估系统是否合理、合规地利用商用密码机密性、完整性、真实性以及不可否认性功能，对影响系统安全防护效能的应用和数据层面因素进行保护。包括但不限于下列典型因素：登录系统应用和数据操作环境的用户身份鉴别过程，系统应用和数据操作环境资源访问控制信息完整性，重要信息资源敏感标记完整性，重要数据传输过程的机密性、完整性，重要信息存储过程的机密性、完整性，重要程序的加载和卸载过程，系统应用相关实体行为不可否认性，系统应用和数据操作环境的日志记录完整性。 </w:t>
            </w:r>
          </w:p>
          <w:p>
            <w:pPr>
              <w:spacing w:line="360" w:lineRule="auto"/>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 xml:space="preserve">(3)密钥管理测评 </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 xml:space="preserve">对影响商用密码防护效能的密钥生命周期相关环节，以及相关环节管理和策略制定的全过程进行分析与评估。密钥生命周期相关环节包括但不限于下列典型环节：密钥生成，密钥存储，密钥分发，密钥导入，密钥导出，密钥使用，密钥备份，密钥恢复，密钥归档，密钥销毁。 </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(4)安全管理测评</w:t>
            </w:r>
            <w:r>
              <w:rPr>
                <w:rFonts w:hint="default" w:ascii="Times New Roman" w:hAnsi="Times New Roman" w:eastAsia="宋体" w:cs="Times New Roman"/>
                <w:szCs w:val="21"/>
              </w:rPr>
              <w:t xml:space="preserve"> </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 xml:space="preserve">对影响商用密码防护效能的管理制度与措施进行分析与评估。管理制度与措施包括但不限于下列典型维度：安全管理制度，人员管控，信息系统实施，应急预案。 </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1）安全管理制度维度</w:t>
            </w:r>
            <w:r>
              <w:rPr>
                <w:rFonts w:hint="default" w:ascii="Times New Roman" w:hAnsi="Times New Roman" w:eastAsia="宋体" w:cs="Times New Roman"/>
                <w:szCs w:val="21"/>
              </w:rPr>
              <w:t xml:space="preserve">，包括但不限于下列内容与措施：密码建设、运维、人员、设备、密钥管理内容，密码相关操作规范、安全操作规范，安全管理制度的合理性和适用性论证与审定，安全管理制度的改进和修订，安全管理制度的发布，安全管理制度的执行。 </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2）人员管控维度</w:t>
            </w:r>
            <w:r>
              <w:rPr>
                <w:rFonts w:hint="default" w:ascii="Times New Roman" w:hAnsi="Times New Roman" w:eastAsia="宋体" w:cs="Times New Roman"/>
                <w:szCs w:val="21"/>
              </w:rPr>
              <w:t xml:space="preserve">，包括但不限于下列内容与措施：了解并遵守密码相关法律法规密码产品使用，关键岗位划分，相关人员职责与权限划分，岗位责任制与人员制约、监督机制，管理和使用账号，人员培训、人员选拔，人员考核、奖惩与调离，人员保密措施。 </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3）系统实施维度</w:t>
            </w:r>
            <w:r>
              <w:rPr>
                <w:rFonts w:hint="default" w:ascii="Times New Roman" w:hAnsi="Times New Roman" w:eastAsia="宋体" w:cs="Times New Roman"/>
                <w:szCs w:val="21"/>
              </w:rPr>
              <w:t xml:space="preserve">，包括但不限于下列内容与措施：系统规划，系统建设方案，系统密码产品、服务选用，系统运行前与定期评估，系统整改。 </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szCs w:val="21"/>
              </w:rPr>
              <w:t>4）应急预案维度</w:t>
            </w:r>
            <w:r>
              <w:rPr>
                <w:rFonts w:hint="default" w:ascii="Times New Roman" w:hAnsi="Times New Roman" w:eastAsia="宋体" w:cs="Times New Roman"/>
                <w:szCs w:val="21"/>
              </w:rPr>
              <w:t>，包括但不限于下列内容与措施：应急预案，应急资源准备，应急情况与处置，上级主管部门应急报告，同级密码主管部门应急报告。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1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shd w:val="clear" w:color="auto" w:fill="FFFFFF"/>
              </w:rPr>
              <w:t>▲</w:t>
            </w:r>
          </w:p>
        </w:tc>
        <w:tc>
          <w:tcPr>
            <w:tcW w:w="71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724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val="0"/>
              <w:spacing w:line="360" w:lineRule="auto"/>
              <w:rPr>
                <w:rFonts w:hint="default" w:ascii="Times New Roman" w:hAnsi="Times New Roman" w:eastAsia="宋体" w:cs="Times New Roman"/>
                <w:b/>
                <w:bCs/>
                <w:szCs w:val="21"/>
                <w:highlight w:val="none"/>
              </w:rPr>
            </w:pPr>
            <w:r>
              <w:rPr>
                <w:rFonts w:hint="default" w:ascii="Times New Roman" w:hAnsi="Times New Roman" w:eastAsia="宋体" w:cs="Times New Roman"/>
                <w:b/>
                <w:bCs/>
                <w:szCs w:val="21"/>
                <w:highlight w:val="none"/>
              </w:rPr>
              <w:t>1.商用密码应用安全性评估服务要求</w:t>
            </w:r>
          </w:p>
          <w:p>
            <w:pPr>
              <w:widowControl w:val="0"/>
              <w:spacing w:line="360" w:lineRule="auto"/>
              <w:rPr>
                <w:rFonts w:hint="default" w:ascii="Times New Roman" w:hAnsi="Times New Roman" w:eastAsia="宋体" w:cs="Times New Roman"/>
                <w:szCs w:val="21"/>
                <w:highlight w:val="none"/>
              </w:rPr>
            </w:pPr>
            <w:r>
              <w:rPr>
                <w:rFonts w:hint="eastAsia" w:ascii="Times New Roman" w:hAnsi="Times New Roman" w:eastAsia="宋体" w:cs="Times New Roman"/>
                <w:szCs w:val="21"/>
                <w:highlight w:val="none"/>
                <w:lang w:eastAsia="zh-CN"/>
              </w:rPr>
              <w:t>（</w:t>
            </w:r>
            <w:r>
              <w:rPr>
                <w:rFonts w:hint="eastAsia" w:ascii="Times New Roman" w:hAnsi="Times New Roman" w:eastAsia="宋体" w:cs="Times New Roman"/>
                <w:szCs w:val="21"/>
                <w:highlight w:val="none"/>
                <w:lang w:val="en-US" w:eastAsia="zh-CN"/>
              </w:rPr>
              <w:t>1</w:t>
            </w:r>
            <w:r>
              <w:rPr>
                <w:rFonts w:hint="eastAsia" w:ascii="Times New Roman" w:hAnsi="Times New Roman" w:eastAsia="宋体" w:cs="Times New Roman"/>
                <w:szCs w:val="21"/>
                <w:highlight w:val="none"/>
                <w:lang w:eastAsia="zh-CN"/>
              </w:rPr>
              <w:t>）</w:t>
            </w:r>
            <w:r>
              <w:rPr>
                <w:rFonts w:hint="default" w:ascii="Times New Roman" w:hAnsi="Times New Roman" w:eastAsia="宋体" w:cs="Times New Roman"/>
                <w:szCs w:val="21"/>
                <w:highlight w:val="none"/>
              </w:rPr>
              <w:t>完成商用密码应用安全性评估服务。初次评估完成后，如评估结果未达到8</w:t>
            </w:r>
            <w:r>
              <w:rPr>
                <w:rFonts w:hint="eastAsia" w:ascii="Times New Roman" w:hAnsi="Times New Roman" w:eastAsia="宋体" w:cs="Times New Roman"/>
                <w:szCs w:val="21"/>
                <w:highlight w:val="none"/>
                <w:lang w:val="en-US" w:eastAsia="zh-CN"/>
              </w:rPr>
              <w:t>0</w:t>
            </w:r>
            <w:r>
              <w:rPr>
                <w:rFonts w:hint="default" w:ascii="Times New Roman" w:hAnsi="Times New Roman" w:eastAsia="宋体" w:cs="Times New Roman"/>
                <w:szCs w:val="21"/>
                <w:highlight w:val="none"/>
              </w:rPr>
              <w:t>分，供应商</w:t>
            </w:r>
            <w:r>
              <w:rPr>
                <w:rFonts w:hint="default" w:ascii="Times New Roman" w:hAnsi="Times New Roman" w:eastAsia="宋体" w:cs="Times New Roman"/>
                <w:szCs w:val="21"/>
                <w:highlight w:val="none"/>
                <w:lang w:eastAsia="zh-CN"/>
              </w:rPr>
              <w:t>须</w:t>
            </w:r>
            <w:r>
              <w:rPr>
                <w:rFonts w:hint="default" w:ascii="Times New Roman" w:hAnsi="Times New Roman" w:eastAsia="宋体" w:cs="Times New Roman"/>
                <w:szCs w:val="21"/>
                <w:highlight w:val="none"/>
              </w:rPr>
              <w:t>出具整改建议并协助有关方做好整改。整改完成后进行复</w:t>
            </w:r>
            <w:r>
              <w:rPr>
                <w:rFonts w:hint="default" w:ascii="Times New Roman" w:hAnsi="Times New Roman" w:eastAsia="宋体" w:cs="Times New Roman"/>
                <w:szCs w:val="21"/>
                <w:highlight w:val="none"/>
                <w:lang w:eastAsia="zh-CN"/>
              </w:rPr>
              <w:t>评</w:t>
            </w:r>
            <w:r>
              <w:rPr>
                <w:rFonts w:hint="default" w:ascii="Times New Roman" w:hAnsi="Times New Roman" w:eastAsia="宋体" w:cs="Times New Roman"/>
                <w:szCs w:val="21"/>
                <w:highlight w:val="none"/>
              </w:rPr>
              <w:t>，直至评估分数达到8</w:t>
            </w:r>
            <w:r>
              <w:rPr>
                <w:rFonts w:hint="eastAsia" w:ascii="Times New Roman" w:hAnsi="Times New Roman" w:eastAsia="宋体" w:cs="Times New Roman"/>
                <w:szCs w:val="21"/>
                <w:highlight w:val="none"/>
                <w:lang w:val="en-US" w:eastAsia="zh-CN"/>
              </w:rPr>
              <w:t>0</w:t>
            </w:r>
            <w:r>
              <w:rPr>
                <w:rFonts w:hint="default" w:ascii="Times New Roman" w:hAnsi="Times New Roman" w:eastAsia="宋体" w:cs="Times New Roman"/>
                <w:szCs w:val="21"/>
                <w:highlight w:val="none"/>
              </w:rPr>
              <w:t>分及以上完成</w:t>
            </w:r>
            <w:r>
              <w:rPr>
                <w:rFonts w:hint="default" w:ascii="Times New Roman" w:hAnsi="Times New Roman" w:eastAsia="宋体" w:cs="Times New Roman"/>
                <w:szCs w:val="21"/>
                <w:highlight w:val="none"/>
                <w:lang w:eastAsia="zh-CN"/>
              </w:rPr>
              <w:t>评估</w:t>
            </w:r>
            <w:r>
              <w:rPr>
                <w:rFonts w:hint="default" w:ascii="Times New Roman" w:hAnsi="Times New Roman" w:eastAsia="宋体" w:cs="Times New Roman"/>
                <w:szCs w:val="21"/>
                <w:highlight w:val="none"/>
              </w:rPr>
              <w:t>。</w:t>
            </w:r>
          </w:p>
          <w:p>
            <w:pPr>
              <w:widowControl w:val="0"/>
              <w:spacing w:line="360" w:lineRule="auto"/>
              <w:rPr>
                <w:rFonts w:hint="default"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eastAsia="zh-CN"/>
              </w:rPr>
              <w:t>（</w:t>
            </w:r>
            <w:r>
              <w:rPr>
                <w:rFonts w:hint="eastAsia" w:ascii="Times New Roman" w:hAnsi="Times New Roman" w:eastAsia="宋体" w:cs="Times New Roman"/>
                <w:szCs w:val="21"/>
                <w:highlight w:val="none"/>
                <w:lang w:val="en-US" w:eastAsia="zh-CN"/>
              </w:rPr>
              <w:t>2</w:t>
            </w:r>
            <w:r>
              <w:rPr>
                <w:rFonts w:hint="eastAsia" w:ascii="Times New Roman" w:hAnsi="Times New Roman" w:eastAsia="宋体" w:cs="Times New Roman"/>
                <w:szCs w:val="21"/>
                <w:highlight w:val="none"/>
                <w:lang w:eastAsia="zh-CN"/>
              </w:rPr>
              <w:t>）</w:t>
            </w:r>
            <w:r>
              <w:rPr>
                <w:rFonts w:hint="default" w:ascii="Times New Roman" w:hAnsi="Times New Roman" w:eastAsia="宋体" w:cs="Times New Roman"/>
                <w:szCs w:val="21"/>
                <w:highlight w:val="none"/>
              </w:rPr>
              <w:t>项目开发期间指定专人负责指导开发人员完成密码相关开发工作</w:t>
            </w:r>
            <w:r>
              <w:rPr>
                <w:rFonts w:hint="default" w:ascii="Times New Roman" w:hAnsi="Times New Roman" w:eastAsia="宋体" w:cs="Times New Roman"/>
                <w:szCs w:val="21"/>
                <w:highlight w:val="none"/>
                <w:lang w:eastAsia="zh-CN"/>
              </w:rPr>
              <w:t>。</w:t>
            </w:r>
          </w:p>
          <w:p>
            <w:pPr>
              <w:widowControl w:val="0"/>
              <w:spacing w:line="360" w:lineRule="auto"/>
              <w:rPr>
                <w:rFonts w:hint="default"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eastAsia="zh-CN"/>
              </w:rPr>
              <w:t>（</w:t>
            </w: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lang w:eastAsia="zh-CN"/>
              </w:rPr>
              <w:t>）</w:t>
            </w:r>
            <w:r>
              <w:rPr>
                <w:rFonts w:hint="default" w:ascii="Times New Roman" w:hAnsi="Times New Roman" w:eastAsia="宋体" w:cs="Times New Roman"/>
                <w:szCs w:val="21"/>
                <w:highlight w:val="none"/>
              </w:rPr>
              <w:t>按照保密管理部门要求，起草项目的保密、密码管理相关规范和制度文本</w:t>
            </w:r>
            <w:r>
              <w:rPr>
                <w:rFonts w:hint="default" w:ascii="Times New Roman" w:hAnsi="Times New Roman" w:eastAsia="宋体" w:cs="Times New Roman"/>
                <w:szCs w:val="21"/>
                <w:highlight w:val="none"/>
                <w:lang w:eastAsia="zh-CN"/>
              </w:rPr>
              <w:t>。</w:t>
            </w:r>
          </w:p>
          <w:p>
            <w:pPr>
              <w:widowControl w:val="0"/>
              <w:spacing w:line="360" w:lineRule="auto"/>
              <w:rPr>
                <w:rFonts w:hint="default" w:ascii="Times New Roman" w:hAnsi="Times New Roman" w:eastAsia="宋体" w:cs="Times New Roman"/>
                <w:szCs w:val="21"/>
                <w:highlight w:val="none"/>
              </w:rPr>
            </w:pPr>
            <w:r>
              <w:rPr>
                <w:rFonts w:hint="eastAsia" w:ascii="Times New Roman" w:hAnsi="Times New Roman" w:eastAsia="宋体" w:cs="Times New Roman"/>
                <w:szCs w:val="21"/>
                <w:highlight w:val="none"/>
                <w:lang w:eastAsia="zh-CN"/>
              </w:rPr>
              <w:t>（</w:t>
            </w:r>
            <w:r>
              <w:rPr>
                <w:rFonts w:hint="eastAsia" w:ascii="Times New Roman" w:hAnsi="Times New Roman" w:eastAsia="宋体" w:cs="Times New Roman"/>
                <w:szCs w:val="21"/>
                <w:highlight w:val="none"/>
                <w:lang w:val="en-US" w:eastAsia="zh-CN"/>
              </w:rPr>
              <w:t>4</w:t>
            </w:r>
            <w:r>
              <w:rPr>
                <w:rFonts w:hint="eastAsia" w:ascii="Times New Roman" w:hAnsi="Times New Roman" w:eastAsia="宋体" w:cs="Times New Roman"/>
                <w:szCs w:val="21"/>
                <w:highlight w:val="none"/>
                <w:lang w:eastAsia="zh-CN"/>
              </w:rPr>
              <w:t>）</w:t>
            </w:r>
            <w:r>
              <w:rPr>
                <w:rFonts w:hint="default" w:ascii="Times New Roman" w:hAnsi="Times New Roman" w:eastAsia="宋体" w:cs="Times New Roman"/>
                <w:szCs w:val="21"/>
                <w:highlight w:val="none"/>
              </w:rPr>
              <w:t>配合完成项目终验后一年的保密检查、审计等服务。</w:t>
            </w:r>
          </w:p>
          <w:p>
            <w:pPr>
              <w:widowControl w:val="0"/>
              <w:spacing w:line="360" w:lineRule="auto"/>
              <w:rPr>
                <w:rFonts w:hint="default" w:ascii="Times New Roman" w:hAnsi="Times New Roman" w:eastAsia="宋体" w:cs="Times New Roman"/>
                <w:b/>
                <w:bCs/>
                <w:szCs w:val="21"/>
              </w:rPr>
            </w:pPr>
            <w:r>
              <w:rPr>
                <w:rFonts w:hint="default" w:ascii="Times New Roman" w:hAnsi="Times New Roman" w:eastAsia="宋体" w:cs="Times New Roman"/>
                <w:b/>
                <w:bCs/>
                <w:szCs w:val="21"/>
              </w:rPr>
              <w:t xml:space="preserve">2.商用密码应用安全性评估售后服务要求 </w:t>
            </w:r>
          </w:p>
          <w:p>
            <w:pPr>
              <w:widowControl w:val="0"/>
              <w:spacing w:line="360" w:lineRule="auto"/>
              <w:rPr>
                <w:rFonts w:hint="default" w:ascii="Times New Roman" w:hAnsi="Times New Roman" w:eastAsia="宋体" w:cs="Times New Roman"/>
                <w:szCs w:val="21"/>
              </w:rPr>
            </w:pPr>
            <w:r>
              <w:rPr>
                <w:rFonts w:hint="default" w:ascii="Times New Roman" w:hAnsi="Times New Roman" w:eastAsia="宋体" w:cs="Times New Roman"/>
                <w:szCs w:val="21"/>
              </w:rPr>
              <w:t>项目验收后提供为期一年的售后服务工作，提供包括安全应急响应、安全检测、配合检查、电话支持、安全咨询、驻场保障等服务在内的安全运维服务。</w:t>
            </w:r>
          </w:p>
        </w:tc>
      </w:tr>
    </w:tbl>
    <w:p>
      <w:pPr>
        <w:pStyle w:val="4"/>
        <w:spacing w:line="360" w:lineRule="auto"/>
        <w:rPr>
          <w:rFonts w:hint="default" w:ascii="Times New Roman" w:hAnsi="Times New Roman" w:cs="Times New Roman"/>
        </w:rPr>
      </w:pPr>
      <w:r>
        <w:rPr>
          <w:rFonts w:hint="default" w:ascii="Times New Roman" w:hAnsi="Times New Roman" w:cs="Times New Roman"/>
        </w:rPr>
        <w:t>（六）陕西省工业和信息化厅“数字工信”建设项目一期监理服务</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2" w:firstLineChars="200"/>
        <w:jc w:val="left"/>
        <w:textAlignment w:val="auto"/>
        <w:rPr>
          <w:rFonts w:hint="default" w:ascii="Times New Roman" w:hAnsi="Times New Roman" w:eastAsia="宋体" w:cs="Times New Roman"/>
          <w:b/>
          <w:bCs/>
          <w:kern w:val="0"/>
          <w:szCs w:val="21"/>
        </w:rPr>
      </w:pPr>
      <w:r>
        <w:rPr>
          <w:rFonts w:hint="default" w:ascii="Times New Roman" w:hAnsi="Times New Roman" w:eastAsia="宋体" w:cs="Times New Roman"/>
          <w:b/>
          <w:bCs/>
          <w:kern w:val="0"/>
          <w:szCs w:val="21"/>
        </w:rPr>
        <w:t>标的名称：</w:t>
      </w:r>
      <w:r>
        <w:rPr>
          <w:rStyle w:val="60"/>
          <w:rFonts w:hint="default" w:ascii="Times New Roman" w:hAnsi="Times New Roman" w:eastAsia="宋体" w:cs="Times New Roman"/>
          <w:b/>
          <w:bCs/>
          <w:szCs w:val="21"/>
        </w:rPr>
        <w:t>陕西省工业和信息化厅“数字工信”建设项目一期监理服务</w:t>
      </w:r>
    </w:p>
    <w:tbl>
      <w:tblPr>
        <w:tblStyle w:val="18"/>
        <w:tblpPr w:leftFromText="180" w:rightFromText="180" w:vertAnchor="text" w:horzAnchor="page" w:tblpX="1756" w:tblpY="462"/>
        <w:tblOverlap w:val="never"/>
        <w:tblW w:w="5296"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168"/>
        <w:gridCol w:w="706"/>
        <w:gridCol w:w="717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116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参数性质</w:t>
            </w:r>
          </w:p>
        </w:tc>
        <w:tc>
          <w:tcPr>
            <w:tcW w:w="706"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序号</w:t>
            </w:r>
          </w:p>
        </w:tc>
        <w:tc>
          <w:tcPr>
            <w:tcW w:w="717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技术参数与性能指标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15" w:hRule="atLeast"/>
        </w:trPr>
        <w:tc>
          <w:tcPr>
            <w:tcW w:w="116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706"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717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监理目标</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投资目标：投资金额不超过合同规定金额。</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工期目标：确保项目在合同规定的期限内竣工验收，并投入使用。</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质量目标：实现合同和设计方案的各项功能，并符合设计方案的质量标准，同时保证系统的可靠性、安全性和高性能。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6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706"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717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监理工作内容</w:t>
            </w:r>
          </w:p>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对项目的整个过程进行监理，具体监理工作内容如下：</w:t>
            </w:r>
          </w:p>
          <w:p>
            <w:pPr>
              <w:spacing w:line="360" w:lineRule="auto"/>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（1）项目前期：</w:t>
            </w:r>
          </w:p>
          <w:p>
            <w:pPr>
              <w:numPr>
                <w:ilvl w:val="0"/>
                <w:numId w:val="0"/>
              </w:numPr>
              <w:spacing w:line="360" w:lineRule="auto"/>
              <w:ind w:leftChars="200"/>
              <w:jc w:val="left"/>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default" w:ascii="Times New Roman" w:hAnsi="Times New Roman" w:eastAsia="宋体" w:cs="Times New Roman"/>
                <w:szCs w:val="21"/>
              </w:rPr>
              <w:t>设计阶段对设计单位提供的设计方案进行分析、审核。</w:t>
            </w:r>
          </w:p>
          <w:p>
            <w:pPr>
              <w:numPr>
                <w:ilvl w:val="0"/>
                <w:numId w:val="0"/>
              </w:numPr>
              <w:spacing w:line="360" w:lineRule="auto"/>
              <w:ind w:leftChars="200"/>
              <w:jc w:val="left"/>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default" w:ascii="Times New Roman" w:hAnsi="Times New Roman" w:eastAsia="宋体" w:cs="Times New Roman"/>
                <w:szCs w:val="21"/>
              </w:rPr>
              <w:t>审核设计单位项目进度计划的合理性和可操作性。</w:t>
            </w:r>
          </w:p>
          <w:p>
            <w:pPr>
              <w:numPr>
                <w:ilvl w:val="0"/>
                <w:numId w:val="0"/>
              </w:numPr>
              <w:spacing w:line="360" w:lineRule="auto"/>
              <w:ind w:leftChars="200"/>
              <w:jc w:val="left"/>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default" w:ascii="Times New Roman" w:hAnsi="Times New Roman" w:eastAsia="宋体" w:cs="Times New Roman"/>
                <w:szCs w:val="21"/>
              </w:rPr>
              <w:t>审核设计单位的项目组织结构、人员构成。</w:t>
            </w:r>
          </w:p>
          <w:p>
            <w:pPr>
              <w:numPr>
                <w:ilvl w:val="0"/>
                <w:numId w:val="0"/>
              </w:numPr>
              <w:spacing w:line="360" w:lineRule="auto"/>
              <w:ind w:leftChars="200"/>
              <w:jc w:val="left"/>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4）</w:t>
            </w:r>
            <w:r>
              <w:rPr>
                <w:rFonts w:hint="default" w:ascii="Times New Roman" w:hAnsi="Times New Roman" w:eastAsia="宋体" w:cs="Times New Roman"/>
                <w:szCs w:val="21"/>
              </w:rPr>
              <w:t>审查设计单位的质量保证体系和计划。</w:t>
            </w:r>
          </w:p>
          <w:p>
            <w:pPr>
              <w:numPr>
                <w:ilvl w:val="0"/>
                <w:numId w:val="0"/>
              </w:numPr>
              <w:spacing w:line="360" w:lineRule="auto"/>
              <w:ind w:leftChars="200"/>
              <w:jc w:val="left"/>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5）</w:t>
            </w:r>
            <w:r>
              <w:rPr>
                <w:rFonts w:hint="default" w:ascii="Times New Roman" w:hAnsi="Times New Roman" w:eastAsia="宋体" w:cs="Times New Roman"/>
                <w:szCs w:val="21"/>
              </w:rPr>
              <w:t>审查设计单位设计成果与合同要求的符合情况。</w:t>
            </w:r>
          </w:p>
          <w:p>
            <w:pPr>
              <w:spacing w:line="360" w:lineRule="auto"/>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（2）实施阶段：</w:t>
            </w:r>
          </w:p>
          <w:p>
            <w:pPr>
              <w:numPr>
                <w:ilvl w:val="0"/>
                <w:numId w:val="0"/>
              </w:numPr>
              <w:spacing w:line="360" w:lineRule="auto"/>
              <w:ind w:leftChars="200"/>
              <w:jc w:val="left"/>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default" w:ascii="Times New Roman" w:hAnsi="Times New Roman" w:eastAsia="宋体" w:cs="Times New Roman"/>
                <w:szCs w:val="21"/>
              </w:rPr>
              <w:t>审核承建单位项目建设内容的具体实施方案。</w:t>
            </w:r>
          </w:p>
          <w:p>
            <w:pPr>
              <w:numPr>
                <w:ilvl w:val="0"/>
                <w:numId w:val="0"/>
              </w:numPr>
              <w:spacing w:line="360" w:lineRule="auto"/>
              <w:ind w:leftChars="200"/>
              <w:jc w:val="left"/>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default" w:ascii="Times New Roman" w:hAnsi="Times New Roman" w:eastAsia="宋体" w:cs="Times New Roman"/>
                <w:szCs w:val="21"/>
              </w:rPr>
              <w:t>审核承建单位的技术验证环境建设情况、技术验证方案和执行情况。</w:t>
            </w:r>
          </w:p>
          <w:p>
            <w:pPr>
              <w:numPr>
                <w:ilvl w:val="0"/>
                <w:numId w:val="0"/>
              </w:numPr>
              <w:spacing w:line="360" w:lineRule="auto"/>
              <w:ind w:leftChars="200"/>
              <w:jc w:val="left"/>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default" w:ascii="Times New Roman" w:hAnsi="Times New Roman" w:eastAsia="宋体" w:cs="Times New Roman"/>
                <w:szCs w:val="21"/>
              </w:rPr>
              <w:t>审核和确认承建单位的开发和采购计划、安装调试计划、测试计划、试运行计划、正式运行计划。</w:t>
            </w:r>
          </w:p>
          <w:p>
            <w:pPr>
              <w:numPr>
                <w:ilvl w:val="0"/>
                <w:numId w:val="0"/>
              </w:numPr>
              <w:spacing w:line="360" w:lineRule="auto"/>
              <w:ind w:leftChars="200"/>
              <w:jc w:val="left"/>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4）</w:t>
            </w:r>
            <w:r>
              <w:rPr>
                <w:rFonts w:hint="default" w:ascii="Times New Roman" w:hAnsi="Times New Roman" w:eastAsia="宋体" w:cs="Times New Roman"/>
                <w:szCs w:val="21"/>
              </w:rPr>
              <w:t>检查承建单位项目实施的相关文档。</w:t>
            </w:r>
          </w:p>
          <w:p>
            <w:pPr>
              <w:numPr>
                <w:ilvl w:val="0"/>
                <w:numId w:val="0"/>
              </w:numPr>
              <w:spacing w:line="360" w:lineRule="auto"/>
              <w:ind w:leftChars="200"/>
              <w:jc w:val="left"/>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5）</w:t>
            </w:r>
            <w:r>
              <w:rPr>
                <w:rFonts w:hint="default" w:ascii="Times New Roman" w:hAnsi="Times New Roman" w:eastAsia="宋体" w:cs="Times New Roman"/>
                <w:szCs w:val="21"/>
              </w:rPr>
              <w:t>检查项目实施的环境准备情况。</w:t>
            </w:r>
          </w:p>
          <w:p>
            <w:pPr>
              <w:numPr>
                <w:ilvl w:val="0"/>
                <w:numId w:val="0"/>
              </w:numPr>
              <w:spacing w:line="360" w:lineRule="auto"/>
              <w:ind w:leftChars="200"/>
              <w:jc w:val="left"/>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6）</w:t>
            </w:r>
            <w:r>
              <w:rPr>
                <w:rFonts w:hint="default" w:ascii="Times New Roman" w:hAnsi="Times New Roman" w:eastAsia="宋体" w:cs="Times New Roman"/>
                <w:szCs w:val="21"/>
              </w:rPr>
              <w:t>对软硬件设备等进行到货检查。</w:t>
            </w:r>
          </w:p>
          <w:p>
            <w:pPr>
              <w:numPr>
                <w:ilvl w:val="0"/>
                <w:numId w:val="0"/>
              </w:numPr>
              <w:spacing w:line="360" w:lineRule="auto"/>
              <w:ind w:leftChars="200"/>
              <w:jc w:val="left"/>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7）</w:t>
            </w:r>
            <w:r>
              <w:rPr>
                <w:rFonts w:hint="default" w:ascii="Times New Roman" w:hAnsi="Times New Roman" w:eastAsia="宋体" w:cs="Times New Roman"/>
                <w:szCs w:val="21"/>
              </w:rPr>
              <w:t>监督项目计划进度与实际进度的符合性，并提出合理化建议，确保计划进度与实际进度偏差最小化。</w:t>
            </w:r>
          </w:p>
          <w:p>
            <w:pPr>
              <w:numPr>
                <w:ilvl w:val="0"/>
                <w:numId w:val="0"/>
              </w:numPr>
              <w:spacing w:line="360" w:lineRule="auto"/>
              <w:ind w:leftChars="200"/>
              <w:jc w:val="left"/>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8）</w:t>
            </w:r>
            <w:r>
              <w:rPr>
                <w:rFonts w:hint="default" w:ascii="Times New Roman" w:hAnsi="Times New Roman" w:eastAsia="宋体" w:cs="Times New Roman"/>
                <w:szCs w:val="21"/>
              </w:rPr>
              <w:t>对于项目实施过程中的变更进行审核。</w:t>
            </w:r>
          </w:p>
          <w:p>
            <w:pPr>
              <w:numPr>
                <w:ilvl w:val="0"/>
                <w:numId w:val="0"/>
              </w:numPr>
              <w:spacing w:line="360" w:lineRule="auto"/>
              <w:ind w:leftChars="200"/>
              <w:jc w:val="left"/>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9）</w:t>
            </w:r>
            <w:r>
              <w:rPr>
                <w:rFonts w:hint="default" w:ascii="Times New Roman" w:hAnsi="Times New Roman" w:eastAsia="宋体" w:cs="Times New Roman"/>
                <w:szCs w:val="21"/>
              </w:rPr>
              <w:t>处理项目实施过程中出现的质量事故。</w:t>
            </w:r>
          </w:p>
          <w:p>
            <w:pPr>
              <w:numPr>
                <w:ilvl w:val="0"/>
                <w:numId w:val="0"/>
              </w:numPr>
              <w:spacing w:line="360" w:lineRule="auto"/>
              <w:ind w:leftChars="200"/>
              <w:jc w:val="left"/>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10）</w:t>
            </w:r>
            <w:r>
              <w:rPr>
                <w:rFonts w:hint="default" w:ascii="Times New Roman" w:hAnsi="Times New Roman" w:eastAsia="宋体" w:cs="Times New Roman"/>
                <w:szCs w:val="21"/>
              </w:rPr>
              <w:t>代表采购人负责与承建单位之间的工作协调安排。</w:t>
            </w:r>
          </w:p>
          <w:p>
            <w:pPr>
              <w:numPr>
                <w:ilvl w:val="0"/>
                <w:numId w:val="0"/>
              </w:numPr>
              <w:spacing w:line="360" w:lineRule="auto"/>
              <w:ind w:leftChars="200"/>
              <w:jc w:val="left"/>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11）</w:t>
            </w:r>
            <w:r>
              <w:rPr>
                <w:rFonts w:hint="default" w:ascii="Times New Roman" w:hAnsi="Times New Roman" w:eastAsia="宋体" w:cs="Times New Roman"/>
                <w:szCs w:val="21"/>
              </w:rPr>
              <w:t>初验和试运行阶段 协助采购人制定验收程序和标准，审查验收方案和验收文档。</w:t>
            </w:r>
          </w:p>
          <w:p>
            <w:pPr>
              <w:numPr>
                <w:ilvl w:val="0"/>
                <w:numId w:val="0"/>
              </w:numPr>
              <w:spacing w:line="360" w:lineRule="auto"/>
              <w:ind w:leftChars="200"/>
              <w:jc w:val="left"/>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12）</w:t>
            </w:r>
            <w:r>
              <w:rPr>
                <w:rFonts w:hint="default" w:ascii="Times New Roman" w:hAnsi="Times New Roman" w:eastAsia="宋体" w:cs="Times New Roman"/>
                <w:szCs w:val="21"/>
              </w:rPr>
              <w:t>协助采购人进行系统的功能和性能测试及初验。</w:t>
            </w:r>
          </w:p>
          <w:p>
            <w:pPr>
              <w:numPr>
                <w:ilvl w:val="0"/>
                <w:numId w:val="0"/>
              </w:numPr>
              <w:spacing w:line="360" w:lineRule="auto"/>
              <w:ind w:leftChars="200"/>
              <w:jc w:val="left"/>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13）</w:t>
            </w:r>
            <w:r>
              <w:rPr>
                <w:rFonts w:hint="default" w:ascii="Times New Roman" w:hAnsi="Times New Roman" w:eastAsia="宋体" w:cs="Times New Roman"/>
                <w:szCs w:val="21"/>
              </w:rPr>
              <w:t>检查系统的调试和试运行情况。</w:t>
            </w:r>
          </w:p>
          <w:p>
            <w:pPr>
              <w:numPr>
                <w:ilvl w:val="0"/>
                <w:numId w:val="0"/>
              </w:numPr>
              <w:spacing w:line="360" w:lineRule="auto"/>
              <w:ind w:leftChars="200"/>
              <w:jc w:val="left"/>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14）</w:t>
            </w:r>
            <w:r>
              <w:rPr>
                <w:rFonts w:hint="default" w:ascii="Times New Roman" w:hAnsi="Times New Roman" w:eastAsia="宋体" w:cs="Times New Roman"/>
                <w:szCs w:val="21"/>
              </w:rPr>
              <w:t>处理试运行期间出现的质量问题。</w:t>
            </w:r>
          </w:p>
          <w:p>
            <w:pPr>
              <w:numPr>
                <w:ilvl w:val="0"/>
                <w:numId w:val="0"/>
              </w:numPr>
              <w:spacing w:line="360" w:lineRule="auto"/>
              <w:ind w:leftChars="200"/>
              <w:jc w:val="left"/>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15）</w:t>
            </w:r>
            <w:r>
              <w:rPr>
                <w:rFonts w:hint="default" w:ascii="Times New Roman" w:hAnsi="Times New Roman" w:eastAsia="宋体" w:cs="Times New Roman"/>
                <w:szCs w:val="21"/>
              </w:rPr>
              <w:t>协调与承建单位之间的关系，解决纠纷。</w:t>
            </w:r>
          </w:p>
          <w:p>
            <w:pPr>
              <w:numPr>
                <w:ilvl w:val="0"/>
                <w:numId w:val="0"/>
              </w:numPr>
              <w:spacing w:line="360" w:lineRule="auto"/>
              <w:ind w:leftChars="200"/>
              <w:jc w:val="left"/>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16）</w:t>
            </w:r>
            <w:r>
              <w:rPr>
                <w:rFonts w:hint="default" w:ascii="Times New Roman" w:hAnsi="Times New Roman" w:eastAsia="宋体" w:cs="Times New Roman"/>
                <w:szCs w:val="21"/>
              </w:rPr>
              <w:t>监督、检查并督促承建单位对用户的培训工作。</w:t>
            </w:r>
          </w:p>
          <w:p>
            <w:pPr>
              <w:spacing w:line="360" w:lineRule="auto"/>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（3）终验阶段：</w:t>
            </w:r>
          </w:p>
          <w:p>
            <w:pPr>
              <w:numPr>
                <w:ilvl w:val="0"/>
                <w:numId w:val="0"/>
              </w:numPr>
              <w:spacing w:line="360" w:lineRule="auto"/>
              <w:ind w:leftChars="200"/>
              <w:jc w:val="left"/>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default" w:ascii="Times New Roman" w:hAnsi="Times New Roman" w:eastAsia="宋体" w:cs="Times New Roman"/>
                <w:szCs w:val="21"/>
              </w:rPr>
              <w:t>协助采购人进行项目终验。</w:t>
            </w:r>
          </w:p>
          <w:p>
            <w:pPr>
              <w:numPr>
                <w:ilvl w:val="0"/>
                <w:numId w:val="0"/>
              </w:numPr>
              <w:spacing w:line="360" w:lineRule="auto"/>
              <w:ind w:leftChars="200"/>
              <w:jc w:val="left"/>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default" w:ascii="Times New Roman" w:hAnsi="Times New Roman" w:eastAsia="宋体" w:cs="Times New Roman"/>
                <w:szCs w:val="21"/>
              </w:rPr>
              <w:t>进行项目配置审核。</w:t>
            </w:r>
          </w:p>
          <w:p>
            <w:pPr>
              <w:numPr>
                <w:ilvl w:val="0"/>
                <w:numId w:val="0"/>
              </w:numPr>
              <w:spacing w:line="360" w:lineRule="auto"/>
              <w:ind w:leftChars="200"/>
              <w:jc w:val="left"/>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default" w:ascii="Times New Roman" w:hAnsi="Times New Roman" w:eastAsia="宋体" w:cs="Times New Roman"/>
                <w:szCs w:val="21"/>
              </w:rPr>
              <w:t>协助采购人完成项目审计工作。</w:t>
            </w:r>
          </w:p>
          <w:p>
            <w:pPr>
              <w:numPr>
                <w:ilvl w:val="0"/>
                <w:numId w:val="0"/>
              </w:numPr>
              <w:spacing w:line="360" w:lineRule="auto"/>
              <w:ind w:leftChars="200"/>
              <w:jc w:val="left"/>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4）</w:t>
            </w:r>
            <w:r>
              <w:rPr>
                <w:rFonts w:hint="default" w:ascii="Times New Roman" w:hAnsi="Times New Roman" w:eastAsia="宋体" w:cs="Times New Roman"/>
                <w:szCs w:val="21"/>
              </w:rPr>
              <w:t>系统验收完毕进入运营阶段的审核。</w:t>
            </w:r>
          </w:p>
          <w:p>
            <w:pPr>
              <w:spacing w:line="360" w:lineRule="auto"/>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（4）服务全过程：</w:t>
            </w:r>
          </w:p>
          <w:p>
            <w:pPr>
              <w:numPr>
                <w:ilvl w:val="0"/>
                <w:numId w:val="0"/>
              </w:numPr>
              <w:spacing w:line="360" w:lineRule="auto"/>
              <w:ind w:leftChars="200"/>
              <w:jc w:val="left"/>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default" w:ascii="Times New Roman" w:hAnsi="Times New Roman" w:eastAsia="宋体" w:cs="Times New Roman"/>
                <w:szCs w:val="21"/>
              </w:rPr>
              <w:t>按照档案验收要求制定规范的监理过程用表、审核、监督承建单位制定标准文档模板，以及文档的提交计划。</w:t>
            </w:r>
          </w:p>
          <w:p>
            <w:pPr>
              <w:numPr>
                <w:ilvl w:val="0"/>
                <w:numId w:val="0"/>
              </w:numPr>
              <w:spacing w:line="360" w:lineRule="auto"/>
              <w:ind w:leftChars="200"/>
              <w:jc w:val="left"/>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default" w:ascii="Times New Roman" w:hAnsi="Times New Roman" w:eastAsia="宋体" w:cs="Times New Roman"/>
                <w:szCs w:val="21"/>
              </w:rPr>
              <w:t>按照项目阶段划分，提出对应各阶段监理内容的符合性检查一览表，作为各阶段项目建设完成进度的检查标志。</w:t>
            </w:r>
          </w:p>
          <w:p>
            <w:pPr>
              <w:numPr>
                <w:ilvl w:val="0"/>
                <w:numId w:val="0"/>
              </w:numPr>
              <w:spacing w:line="360" w:lineRule="auto"/>
              <w:ind w:leftChars="200"/>
              <w:jc w:val="left"/>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default" w:ascii="Times New Roman" w:hAnsi="Times New Roman" w:eastAsia="宋体" w:cs="Times New Roman"/>
                <w:szCs w:val="21"/>
              </w:rPr>
              <w:t>定期向采购人汇报项目进展情况，提交项目监控报告。</w:t>
            </w:r>
          </w:p>
          <w:p>
            <w:pPr>
              <w:numPr>
                <w:ilvl w:val="0"/>
                <w:numId w:val="0"/>
              </w:numPr>
              <w:spacing w:line="360" w:lineRule="auto"/>
              <w:ind w:leftChars="200"/>
              <w:jc w:val="left"/>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4）</w:t>
            </w:r>
            <w:r>
              <w:rPr>
                <w:rFonts w:hint="default" w:ascii="Times New Roman" w:hAnsi="Times New Roman" w:eastAsia="宋体" w:cs="Times New Roman"/>
                <w:szCs w:val="21"/>
              </w:rPr>
              <w:t>组织或协助采购人组织与项目建设有关的各类会议。</w:t>
            </w:r>
          </w:p>
          <w:p>
            <w:pPr>
              <w:numPr>
                <w:ilvl w:val="0"/>
                <w:numId w:val="0"/>
              </w:numPr>
              <w:spacing w:line="360" w:lineRule="auto"/>
              <w:ind w:leftChars="200"/>
              <w:jc w:val="left"/>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5）</w:t>
            </w:r>
            <w:r>
              <w:rPr>
                <w:rFonts w:hint="default" w:ascii="Times New Roman" w:hAnsi="Times New Roman" w:eastAsia="宋体" w:cs="Times New Roman"/>
                <w:szCs w:val="21"/>
              </w:rPr>
              <w:t>填报与项目有关的管理报表。</w:t>
            </w:r>
          </w:p>
        </w:tc>
      </w:tr>
    </w:tbl>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Cs w:val="21"/>
        </w:rPr>
      </w:pPr>
      <w:bookmarkStart w:id="38" w:name="_GoBack"/>
      <w:bookmarkEnd w:id="38"/>
    </w:p>
    <w:sectPr>
      <w:footerReference r:id="rId5" w:type="default"/>
      <w:pgSz w:w="11906" w:h="16838"/>
      <w:pgMar w:top="1440" w:right="1800" w:bottom="1440" w:left="1800"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22743452"/>
                          </w:sdtPr>
                          <w:sdtContent>
                            <w:sdt>
                              <w:sdtPr>
                                <w:id w:val="1728636285"/>
                              </w:sdtPr>
                              <w:sdtContent>
                                <w:p>
                                  <w:pPr>
                                    <w:pStyle w:val="12"/>
                                    <w:jc w:val="center"/>
                                  </w:pPr>
                                  <w:r>
                                    <w:rPr>
                                      <w:lang w:val="zh-CN"/>
                                    </w:rPr>
                                    <w:t xml:space="preserve"> </w:t>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PAGE</w:instrText>
                                  </w:r>
                                  <w:r>
                                    <w:rPr>
                                      <w:rFonts w:hint="eastAsia" w:ascii="宋体" w:hAnsi="宋体" w:eastAsia="宋体" w:cs="宋体"/>
                                      <w:b/>
                                      <w:bCs/>
                                      <w:sz w:val="24"/>
                                      <w:szCs w:val="24"/>
                                    </w:rPr>
                                    <w:fldChar w:fldCharType="separate"/>
                                  </w:r>
                                  <w:r>
                                    <w:rPr>
                                      <w:rFonts w:ascii="宋体" w:hAnsi="宋体" w:eastAsia="宋体" w:cs="宋体"/>
                                      <w:b/>
                                      <w:bCs/>
                                      <w:sz w:val="24"/>
                                      <w:szCs w:val="24"/>
                                    </w:rPr>
                                    <w:t>- 25 -</w:t>
                                  </w:r>
                                  <w:r>
                                    <w:rPr>
                                      <w:rFonts w:hint="eastAsia" w:ascii="宋体" w:hAnsi="宋体" w:eastAsia="宋体" w:cs="宋体"/>
                                      <w:b/>
                                      <w:bCs/>
                                      <w:sz w:val="24"/>
                                      <w:szCs w:val="24"/>
                                    </w:rPr>
                                    <w:fldChar w:fldCharType="end"/>
                                  </w:r>
                                  <w:r>
                                    <w:rPr>
                                      <w:rFonts w:hint="eastAsia" w:ascii="宋体" w:hAnsi="宋体" w:eastAsia="宋体" w:cs="宋体"/>
                                      <w:sz w:val="24"/>
                                      <w:szCs w:val="24"/>
                                      <w:lang w:val="zh-CN"/>
                                    </w:rPr>
                                    <w:t xml:space="preserve"> </w:t>
                                  </w:r>
                                </w:p>
                              </w:sdtContent>
                            </w:sdt>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522743452"/>
                    </w:sdtPr>
                    <w:sdtContent>
                      <w:sdt>
                        <w:sdtPr>
                          <w:id w:val="1728636285"/>
                        </w:sdtPr>
                        <w:sdtContent>
                          <w:p>
                            <w:pPr>
                              <w:pStyle w:val="12"/>
                              <w:jc w:val="center"/>
                            </w:pPr>
                            <w:r>
                              <w:rPr>
                                <w:lang w:val="zh-CN"/>
                              </w:rPr>
                              <w:t xml:space="preserve"> </w:t>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PAGE</w:instrText>
                            </w:r>
                            <w:r>
                              <w:rPr>
                                <w:rFonts w:hint="eastAsia" w:ascii="宋体" w:hAnsi="宋体" w:eastAsia="宋体" w:cs="宋体"/>
                                <w:b/>
                                <w:bCs/>
                                <w:sz w:val="24"/>
                                <w:szCs w:val="24"/>
                              </w:rPr>
                              <w:fldChar w:fldCharType="separate"/>
                            </w:r>
                            <w:r>
                              <w:rPr>
                                <w:rFonts w:ascii="宋体" w:hAnsi="宋体" w:eastAsia="宋体" w:cs="宋体"/>
                                <w:b/>
                                <w:bCs/>
                                <w:sz w:val="24"/>
                                <w:szCs w:val="24"/>
                              </w:rPr>
                              <w:t>- 25 -</w:t>
                            </w:r>
                            <w:r>
                              <w:rPr>
                                <w:rFonts w:hint="eastAsia" w:ascii="宋体" w:hAnsi="宋体" w:eastAsia="宋体" w:cs="宋体"/>
                                <w:b/>
                                <w:bCs/>
                                <w:sz w:val="24"/>
                                <w:szCs w:val="24"/>
                              </w:rPr>
                              <w:fldChar w:fldCharType="end"/>
                            </w:r>
                            <w:r>
                              <w:rPr>
                                <w:rFonts w:hint="eastAsia" w:ascii="宋体" w:hAnsi="宋体" w:eastAsia="宋体" w:cs="宋体"/>
                                <w:sz w:val="24"/>
                                <w:szCs w:val="24"/>
                                <w:lang w:val="zh-CN"/>
                              </w:rPr>
                              <w:t xml:space="preserve"> </w:t>
                            </w:r>
                          </w:p>
                        </w:sdtContent>
                      </w:sdt>
                    </w:sdtContent>
                  </w:sd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A89886"/>
    <w:multiLevelType w:val="singleLevel"/>
    <w:tmpl w:val="4FA89886"/>
    <w:lvl w:ilvl="0" w:tentative="0">
      <w:start w:val="1"/>
      <w:numFmt w:val="chineseCounting"/>
      <w:suff w:val="nothing"/>
      <w:lvlText w:val="%1、"/>
      <w:lvlJc w:val="left"/>
      <w:rPr>
        <w:rFonts w:hint="eastAsia"/>
      </w:rPr>
    </w:lvl>
  </w:abstractNum>
  <w:abstractNum w:abstractNumId="1">
    <w:nsid w:val="5E507340"/>
    <w:multiLevelType w:val="multilevel"/>
    <w:tmpl w:val="5E507340"/>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lMmZlNzc2NmM0MWYzMjA1ZDFiODVjNjA3OTJjNTkifQ=="/>
  </w:docVars>
  <w:rsids>
    <w:rsidRoot w:val="00067604"/>
    <w:rsid w:val="000119D9"/>
    <w:rsid w:val="000147C9"/>
    <w:rsid w:val="00017DB9"/>
    <w:rsid w:val="000267F2"/>
    <w:rsid w:val="00067604"/>
    <w:rsid w:val="00074FC9"/>
    <w:rsid w:val="00075A9D"/>
    <w:rsid w:val="00090C3C"/>
    <w:rsid w:val="000A78E1"/>
    <w:rsid w:val="000F5CF4"/>
    <w:rsid w:val="0011485B"/>
    <w:rsid w:val="00133387"/>
    <w:rsid w:val="00135C84"/>
    <w:rsid w:val="00144786"/>
    <w:rsid w:val="00145EAC"/>
    <w:rsid w:val="001829A1"/>
    <w:rsid w:val="0019176C"/>
    <w:rsid w:val="001C37DC"/>
    <w:rsid w:val="00206CD1"/>
    <w:rsid w:val="002213D1"/>
    <w:rsid w:val="00294976"/>
    <w:rsid w:val="002B2C81"/>
    <w:rsid w:val="002D6653"/>
    <w:rsid w:val="00324005"/>
    <w:rsid w:val="003274AA"/>
    <w:rsid w:val="003556A3"/>
    <w:rsid w:val="00362E84"/>
    <w:rsid w:val="00373378"/>
    <w:rsid w:val="00374022"/>
    <w:rsid w:val="003C2E3B"/>
    <w:rsid w:val="004132A1"/>
    <w:rsid w:val="004146BD"/>
    <w:rsid w:val="00462668"/>
    <w:rsid w:val="004773E7"/>
    <w:rsid w:val="004A7D44"/>
    <w:rsid w:val="004B4A38"/>
    <w:rsid w:val="004E2473"/>
    <w:rsid w:val="00514388"/>
    <w:rsid w:val="00552BCB"/>
    <w:rsid w:val="005667C8"/>
    <w:rsid w:val="005854E6"/>
    <w:rsid w:val="005B707A"/>
    <w:rsid w:val="005E3D50"/>
    <w:rsid w:val="005E5EB3"/>
    <w:rsid w:val="00602040"/>
    <w:rsid w:val="0060620D"/>
    <w:rsid w:val="00611D86"/>
    <w:rsid w:val="006A480D"/>
    <w:rsid w:val="006B0CE5"/>
    <w:rsid w:val="006B6AC9"/>
    <w:rsid w:val="006D6956"/>
    <w:rsid w:val="0070460C"/>
    <w:rsid w:val="007415BF"/>
    <w:rsid w:val="00770016"/>
    <w:rsid w:val="007807EB"/>
    <w:rsid w:val="007C1048"/>
    <w:rsid w:val="007E66A3"/>
    <w:rsid w:val="007F4598"/>
    <w:rsid w:val="0080173B"/>
    <w:rsid w:val="00831116"/>
    <w:rsid w:val="008431DE"/>
    <w:rsid w:val="00844C85"/>
    <w:rsid w:val="00895CAF"/>
    <w:rsid w:val="008A168C"/>
    <w:rsid w:val="008D4C6F"/>
    <w:rsid w:val="00904108"/>
    <w:rsid w:val="00916FA5"/>
    <w:rsid w:val="0092693A"/>
    <w:rsid w:val="00944AB1"/>
    <w:rsid w:val="00960304"/>
    <w:rsid w:val="00980CDB"/>
    <w:rsid w:val="0099007C"/>
    <w:rsid w:val="009B1514"/>
    <w:rsid w:val="009B3458"/>
    <w:rsid w:val="009B7344"/>
    <w:rsid w:val="009C088C"/>
    <w:rsid w:val="009D7FDD"/>
    <w:rsid w:val="00A03A77"/>
    <w:rsid w:val="00A04E51"/>
    <w:rsid w:val="00A23BAB"/>
    <w:rsid w:val="00A253E1"/>
    <w:rsid w:val="00A344E9"/>
    <w:rsid w:val="00A35A30"/>
    <w:rsid w:val="00A44A32"/>
    <w:rsid w:val="00A5494B"/>
    <w:rsid w:val="00A60860"/>
    <w:rsid w:val="00A8728D"/>
    <w:rsid w:val="00AA17E3"/>
    <w:rsid w:val="00AF0075"/>
    <w:rsid w:val="00AF21BD"/>
    <w:rsid w:val="00AF372B"/>
    <w:rsid w:val="00B227CB"/>
    <w:rsid w:val="00B42FDB"/>
    <w:rsid w:val="00B637AA"/>
    <w:rsid w:val="00B73D81"/>
    <w:rsid w:val="00B85542"/>
    <w:rsid w:val="00B90B93"/>
    <w:rsid w:val="00BB4268"/>
    <w:rsid w:val="00BF3899"/>
    <w:rsid w:val="00C05736"/>
    <w:rsid w:val="00C07C49"/>
    <w:rsid w:val="00C338DE"/>
    <w:rsid w:val="00C8376D"/>
    <w:rsid w:val="00CD6AF5"/>
    <w:rsid w:val="00D03333"/>
    <w:rsid w:val="00D50B1E"/>
    <w:rsid w:val="00D57F81"/>
    <w:rsid w:val="00DD1601"/>
    <w:rsid w:val="00DE0628"/>
    <w:rsid w:val="00DF40C8"/>
    <w:rsid w:val="00E163E3"/>
    <w:rsid w:val="00E54F2D"/>
    <w:rsid w:val="00E56B7D"/>
    <w:rsid w:val="00E830C4"/>
    <w:rsid w:val="00E871CD"/>
    <w:rsid w:val="00E90CF1"/>
    <w:rsid w:val="00EC7A04"/>
    <w:rsid w:val="00EC7FA1"/>
    <w:rsid w:val="00ED31E4"/>
    <w:rsid w:val="00ED5F1B"/>
    <w:rsid w:val="00F36E88"/>
    <w:rsid w:val="00F52336"/>
    <w:rsid w:val="00F5492B"/>
    <w:rsid w:val="00FE0F42"/>
    <w:rsid w:val="00FE1593"/>
    <w:rsid w:val="00FE2D40"/>
    <w:rsid w:val="00FF2B50"/>
    <w:rsid w:val="00FF3CA8"/>
    <w:rsid w:val="00FF3F5B"/>
    <w:rsid w:val="01012322"/>
    <w:rsid w:val="012C2953"/>
    <w:rsid w:val="01747E56"/>
    <w:rsid w:val="018F4C90"/>
    <w:rsid w:val="01C77841"/>
    <w:rsid w:val="02154165"/>
    <w:rsid w:val="021C68BE"/>
    <w:rsid w:val="02386AB2"/>
    <w:rsid w:val="02883D06"/>
    <w:rsid w:val="02E01C47"/>
    <w:rsid w:val="03463A74"/>
    <w:rsid w:val="03630BF8"/>
    <w:rsid w:val="03E47515"/>
    <w:rsid w:val="0403011E"/>
    <w:rsid w:val="04071455"/>
    <w:rsid w:val="0407399A"/>
    <w:rsid w:val="047168CE"/>
    <w:rsid w:val="04AC1C8A"/>
    <w:rsid w:val="04C609C8"/>
    <w:rsid w:val="04E60F50"/>
    <w:rsid w:val="05891259"/>
    <w:rsid w:val="062848CE"/>
    <w:rsid w:val="062D6D97"/>
    <w:rsid w:val="06CA021F"/>
    <w:rsid w:val="06D77F68"/>
    <w:rsid w:val="06DB03A9"/>
    <w:rsid w:val="06E1240E"/>
    <w:rsid w:val="06E710CA"/>
    <w:rsid w:val="07097292"/>
    <w:rsid w:val="071954EF"/>
    <w:rsid w:val="078F7797"/>
    <w:rsid w:val="080C248D"/>
    <w:rsid w:val="08536A17"/>
    <w:rsid w:val="086D6715"/>
    <w:rsid w:val="08C33600"/>
    <w:rsid w:val="090331ED"/>
    <w:rsid w:val="09201464"/>
    <w:rsid w:val="09297E40"/>
    <w:rsid w:val="095852CB"/>
    <w:rsid w:val="098175B4"/>
    <w:rsid w:val="09DE4A06"/>
    <w:rsid w:val="09FE29B2"/>
    <w:rsid w:val="0A6267FD"/>
    <w:rsid w:val="0A945B28"/>
    <w:rsid w:val="0A9D666F"/>
    <w:rsid w:val="0AF91B48"/>
    <w:rsid w:val="0B0126DC"/>
    <w:rsid w:val="0B053BCD"/>
    <w:rsid w:val="0B835B94"/>
    <w:rsid w:val="0C142ECB"/>
    <w:rsid w:val="0C41233B"/>
    <w:rsid w:val="0CBF1A10"/>
    <w:rsid w:val="0CC53C5B"/>
    <w:rsid w:val="0CEE31B2"/>
    <w:rsid w:val="0D031357"/>
    <w:rsid w:val="0D0C0CD0"/>
    <w:rsid w:val="0D3475F8"/>
    <w:rsid w:val="0D970709"/>
    <w:rsid w:val="0E2844A2"/>
    <w:rsid w:val="0E3A41D5"/>
    <w:rsid w:val="0E550824"/>
    <w:rsid w:val="0E663E6E"/>
    <w:rsid w:val="0E772F47"/>
    <w:rsid w:val="0EC07C46"/>
    <w:rsid w:val="0F006971"/>
    <w:rsid w:val="0F1768ED"/>
    <w:rsid w:val="0F193E21"/>
    <w:rsid w:val="0F213A77"/>
    <w:rsid w:val="0F48765E"/>
    <w:rsid w:val="0F4E73D8"/>
    <w:rsid w:val="0F5734CB"/>
    <w:rsid w:val="0F6F0AD3"/>
    <w:rsid w:val="0F7C4406"/>
    <w:rsid w:val="10544AB3"/>
    <w:rsid w:val="10692007"/>
    <w:rsid w:val="10AE33DE"/>
    <w:rsid w:val="10D10E21"/>
    <w:rsid w:val="11053719"/>
    <w:rsid w:val="112D6EFE"/>
    <w:rsid w:val="11355F93"/>
    <w:rsid w:val="11A16A45"/>
    <w:rsid w:val="11E46932"/>
    <w:rsid w:val="12135D6D"/>
    <w:rsid w:val="123C676E"/>
    <w:rsid w:val="12462A13"/>
    <w:rsid w:val="125B36A2"/>
    <w:rsid w:val="12B124F6"/>
    <w:rsid w:val="12E60DF9"/>
    <w:rsid w:val="131119A8"/>
    <w:rsid w:val="13147258"/>
    <w:rsid w:val="13307F6B"/>
    <w:rsid w:val="13616703"/>
    <w:rsid w:val="13D33102"/>
    <w:rsid w:val="13F465EC"/>
    <w:rsid w:val="14594991"/>
    <w:rsid w:val="14635E94"/>
    <w:rsid w:val="149208C7"/>
    <w:rsid w:val="14CC29C6"/>
    <w:rsid w:val="15540DC9"/>
    <w:rsid w:val="155820A2"/>
    <w:rsid w:val="15CB7091"/>
    <w:rsid w:val="165132DA"/>
    <w:rsid w:val="168B13F0"/>
    <w:rsid w:val="17014F4B"/>
    <w:rsid w:val="187A6CED"/>
    <w:rsid w:val="19182ACB"/>
    <w:rsid w:val="196B31F5"/>
    <w:rsid w:val="19882680"/>
    <w:rsid w:val="19E27EA0"/>
    <w:rsid w:val="19EF0454"/>
    <w:rsid w:val="19EF2A79"/>
    <w:rsid w:val="1A1C3107"/>
    <w:rsid w:val="1ABE7D34"/>
    <w:rsid w:val="1AC714F1"/>
    <w:rsid w:val="1B6C3361"/>
    <w:rsid w:val="1BB9796D"/>
    <w:rsid w:val="1BF02FCC"/>
    <w:rsid w:val="1C22105F"/>
    <w:rsid w:val="1C3B5CE8"/>
    <w:rsid w:val="1C876194"/>
    <w:rsid w:val="1CAB3052"/>
    <w:rsid w:val="1CBD13AB"/>
    <w:rsid w:val="1D202650"/>
    <w:rsid w:val="1D55052B"/>
    <w:rsid w:val="1D7E04F4"/>
    <w:rsid w:val="1D8B1ECB"/>
    <w:rsid w:val="1DA4489F"/>
    <w:rsid w:val="1DB16276"/>
    <w:rsid w:val="1DE228BA"/>
    <w:rsid w:val="1E171E3D"/>
    <w:rsid w:val="1E736EB6"/>
    <w:rsid w:val="1F596413"/>
    <w:rsid w:val="1F894AF4"/>
    <w:rsid w:val="1FD20F83"/>
    <w:rsid w:val="200E666E"/>
    <w:rsid w:val="207500F4"/>
    <w:rsid w:val="20BB11A5"/>
    <w:rsid w:val="20E14BCC"/>
    <w:rsid w:val="20EA1084"/>
    <w:rsid w:val="21090977"/>
    <w:rsid w:val="215B0293"/>
    <w:rsid w:val="21616461"/>
    <w:rsid w:val="218D3B20"/>
    <w:rsid w:val="224B7893"/>
    <w:rsid w:val="229E092E"/>
    <w:rsid w:val="22E04EF3"/>
    <w:rsid w:val="233356F5"/>
    <w:rsid w:val="235F4931"/>
    <w:rsid w:val="24113B37"/>
    <w:rsid w:val="2415200F"/>
    <w:rsid w:val="248A5E6C"/>
    <w:rsid w:val="249B5576"/>
    <w:rsid w:val="25065E8B"/>
    <w:rsid w:val="25081C83"/>
    <w:rsid w:val="255C7EB1"/>
    <w:rsid w:val="258318D8"/>
    <w:rsid w:val="25DC2E26"/>
    <w:rsid w:val="261C6242"/>
    <w:rsid w:val="262D1D64"/>
    <w:rsid w:val="26964247"/>
    <w:rsid w:val="26B532BF"/>
    <w:rsid w:val="26E8081A"/>
    <w:rsid w:val="26F45919"/>
    <w:rsid w:val="27082C6B"/>
    <w:rsid w:val="2731466E"/>
    <w:rsid w:val="27533EE6"/>
    <w:rsid w:val="27912574"/>
    <w:rsid w:val="27BD1BA6"/>
    <w:rsid w:val="27D56495"/>
    <w:rsid w:val="27E128CA"/>
    <w:rsid w:val="28003E99"/>
    <w:rsid w:val="2837707B"/>
    <w:rsid w:val="288B10D1"/>
    <w:rsid w:val="28B847D6"/>
    <w:rsid w:val="28E22345"/>
    <w:rsid w:val="295E5D81"/>
    <w:rsid w:val="29A84037"/>
    <w:rsid w:val="29B35110"/>
    <w:rsid w:val="2A5F4AF2"/>
    <w:rsid w:val="2A822761"/>
    <w:rsid w:val="2AFD4DFC"/>
    <w:rsid w:val="2B1C0A93"/>
    <w:rsid w:val="2B6C7A10"/>
    <w:rsid w:val="2B98280F"/>
    <w:rsid w:val="2BB50B4E"/>
    <w:rsid w:val="2C4A55B2"/>
    <w:rsid w:val="2D497F94"/>
    <w:rsid w:val="2DFDFF38"/>
    <w:rsid w:val="2E020ED5"/>
    <w:rsid w:val="2E1920A8"/>
    <w:rsid w:val="2E2738B1"/>
    <w:rsid w:val="2E316BEE"/>
    <w:rsid w:val="2E953F84"/>
    <w:rsid w:val="2EB91E00"/>
    <w:rsid w:val="2EF7784D"/>
    <w:rsid w:val="2EFD55A2"/>
    <w:rsid w:val="2F9603E7"/>
    <w:rsid w:val="2FD656B4"/>
    <w:rsid w:val="306E71AA"/>
    <w:rsid w:val="30BC6003"/>
    <w:rsid w:val="30D65186"/>
    <w:rsid w:val="310436BE"/>
    <w:rsid w:val="31680C25"/>
    <w:rsid w:val="31C1695C"/>
    <w:rsid w:val="32097FFD"/>
    <w:rsid w:val="323734A8"/>
    <w:rsid w:val="326E6078"/>
    <w:rsid w:val="3301262C"/>
    <w:rsid w:val="33411378"/>
    <w:rsid w:val="335768E1"/>
    <w:rsid w:val="338B2C59"/>
    <w:rsid w:val="33C2512E"/>
    <w:rsid w:val="33D97E69"/>
    <w:rsid w:val="33DD5254"/>
    <w:rsid w:val="3499149E"/>
    <w:rsid w:val="34AA710F"/>
    <w:rsid w:val="34C7361A"/>
    <w:rsid w:val="358F3E77"/>
    <w:rsid w:val="35982EA4"/>
    <w:rsid w:val="35B55F05"/>
    <w:rsid w:val="3609643F"/>
    <w:rsid w:val="361C5DEB"/>
    <w:rsid w:val="362F3D70"/>
    <w:rsid w:val="3684230E"/>
    <w:rsid w:val="371111E3"/>
    <w:rsid w:val="371669D8"/>
    <w:rsid w:val="37625F94"/>
    <w:rsid w:val="37650A45"/>
    <w:rsid w:val="37C5051E"/>
    <w:rsid w:val="37D746BF"/>
    <w:rsid w:val="38500D2A"/>
    <w:rsid w:val="38BA474F"/>
    <w:rsid w:val="38C20ECB"/>
    <w:rsid w:val="38E81890"/>
    <w:rsid w:val="39047914"/>
    <w:rsid w:val="390A76D9"/>
    <w:rsid w:val="392C0A3B"/>
    <w:rsid w:val="399D5494"/>
    <w:rsid w:val="3B283FEC"/>
    <w:rsid w:val="3B297E39"/>
    <w:rsid w:val="3B882570"/>
    <w:rsid w:val="3BB865B6"/>
    <w:rsid w:val="3BDD4778"/>
    <w:rsid w:val="3BFA0A04"/>
    <w:rsid w:val="3C144613"/>
    <w:rsid w:val="3C6A1695"/>
    <w:rsid w:val="3C8A4AEA"/>
    <w:rsid w:val="3CC84E29"/>
    <w:rsid w:val="3CE01960"/>
    <w:rsid w:val="3CE12EB8"/>
    <w:rsid w:val="3D201434"/>
    <w:rsid w:val="3D2E3F3D"/>
    <w:rsid w:val="3D3C5537"/>
    <w:rsid w:val="3D4D5488"/>
    <w:rsid w:val="3D705101"/>
    <w:rsid w:val="3D976FD8"/>
    <w:rsid w:val="3DA27781"/>
    <w:rsid w:val="3DB133F6"/>
    <w:rsid w:val="3DE10046"/>
    <w:rsid w:val="3DFD5CF5"/>
    <w:rsid w:val="3E955D97"/>
    <w:rsid w:val="3EC92A0F"/>
    <w:rsid w:val="3ECB08D6"/>
    <w:rsid w:val="3F5A27C7"/>
    <w:rsid w:val="3F777185"/>
    <w:rsid w:val="3FBF4F96"/>
    <w:rsid w:val="3FCB4A44"/>
    <w:rsid w:val="402A7317"/>
    <w:rsid w:val="4055628F"/>
    <w:rsid w:val="40A83D8B"/>
    <w:rsid w:val="40C6671E"/>
    <w:rsid w:val="40CD7132"/>
    <w:rsid w:val="41064657"/>
    <w:rsid w:val="41265D6F"/>
    <w:rsid w:val="413656C9"/>
    <w:rsid w:val="414A0622"/>
    <w:rsid w:val="41973787"/>
    <w:rsid w:val="42004812"/>
    <w:rsid w:val="42100EF9"/>
    <w:rsid w:val="42B51AA1"/>
    <w:rsid w:val="42D10E7F"/>
    <w:rsid w:val="43210EE4"/>
    <w:rsid w:val="43287BAC"/>
    <w:rsid w:val="432C4798"/>
    <w:rsid w:val="434D3D52"/>
    <w:rsid w:val="44660D5B"/>
    <w:rsid w:val="44BA7652"/>
    <w:rsid w:val="44C350BE"/>
    <w:rsid w:val="4508571B"/>
    <w:rsid w:val="451F3201"/>
    <w:rsid w:val="454964D0"/>
    <w:rsid w:val="45655845"/>
    <w:rsid w:val="45A27FF1"/>
    <w:rsid w:val="45CE76B9"/>
    <w:rsid w:val="464E0242"/>
    <w:rsid w:val="467079F0"/>
    <w:rsid w:val="47935475"/>
    <w:rsid w:val="47A40B11"/>
    <w:rsid w:val="47B143A0"/>
    <w:rsid w:val="47C5711C"/>
    <w:rsid w:val="48065B33"/>
    <w:rsid w:val="48C12F4D"/>
    <w:rsid w:val="4A0E2E49"/>
    <w:rsid w:val="4A0F458F"/>
    <w:rsid w:val="4A27182F"/>
    <w:rsid w:val="4ACF02EA"/>
    <w:rsid w:val="4B5D13C1"/>
    <w:rsid w:val="4B9E45A8"/>
    <w:rsid w:val="4BC02DFB"/>
    <w:rsid w:val="4BCE4C57"/>
    <w:rsid w:val="4BD526E2"/>
    <w:rsid w:val="4BD765E4"/>
    <w:rsid w:val="4C3D6719"/>
    <w:rsid w:val="4C495F32"/>
    <w:rsid w:val="4CAF2912"/>
    <w:rsid w:val="4D3334E8"/>
    <w:rsid w:val="4D5A127B"/>
    <w:rsid w:val="4D5E0C18"/>
    <w:rsid w:val="4DAB1FDE"/>
    <w:rsid w:val="4DE935B9"/>
    <w:rsid w:val="4EA57A84"/>
    <w:rsid w:val="4EFC1392"/>
    <w:rsid w:val="4F691C49"/>
    <w:rsid w:val="504A03E8"/>
    <w:rsid w:val="50FE6543"/>
    <w:rsid w:val="51662F8F"/>
    <w:rsid w:val="51D75590"/>
    <w:rsid w:val="520C4C0F"/>
    <w:rsid w:val="521917A8"/>
    <w:rsid w:val="523850DD"/>
    <w:rsid w:val="534829FE"/>
    <w:rsid w:val="536622D3"/>
    <w:rsid w:val="53982AFD"/>
    <w:rsid w:val="54174F0C"/>
    <w:rsid w:val="54393799"/>
    <w:rsid w:val="547C5C9C"/>
    <w:rsid w:val="54930741"/>
    <w:rsid w:val="551B736A"/>
    <w:rsid w:val="553D3632"/>
    <w:rsid w:val="556D39D1"/>
    <w:rsid w:val="558901B6"/>
    <w:rsid w:val="559E5653"/>
    <w:rsid w:val="55A72A75"/>
    <w:rsid w:val="55F56D34"/>
    <w:rsid w:val="56374B1D"/>
    <w:rsid w:val="5641068D"/>
    <w:rsid w:val="56433C95"/>
    <w:rsid w:val="56B52A2A"/>
    <w:rsid w:val="570505BB"/>
    <w:rsid w:val="570524FE"/>
    <w:rsid w:val="57364B88"/>
    <w:rsid w:val="57573445"/>
    <w:rsid w:val="57820118"/>
    <w:rsid w:val="57B1634D"/>
    <w:rsid w:val="57E44562"/>
    <w:rsid w:val="57EE83C2"/>
    <w:rsid w:val="57F466E3"/>
    <w:rsid w:val="57FF5568"/>
    <w:rsid w:val="585A2D51"/>
    <w:rsid w:val="589715D5"/>
    <w:rsid w:val="58C82435"/>
    <w:rsid w:val="58ED1663"/>
    <w:rsid w:val="58F31C0A"/>
    <w:rsid w:val="595430D8"/>
    <w:rsid w:val="598E2D32"/>
    <w:rsid w:val="59A809A7"/>
    <w:rsid w:val="59CD0709"/>
    <w:rsid w:val="5A640949"/>
    <w:rsid w:val="5A797FA5"/>
    <w:rsid w:val="5A8B33BB"/>
    <w:rsid w:val="5AE36A9D"/>
    <w:rsid w:val="5AE4717C"/>
    <w:rsid w:val="5B0A1F04"/>
    <w:rsid w:val="5B37299D"/>
    <w:rsid w:val="5B3951AC"/>
    <w:rsid w:val="5B693D6B"/>
    <w:rsid w:val="5B9A5257"/>
    <w:rsid w:val="5BA83CAD"/>
    <w:rsid w:val="5BE518D4"/>
    <w:rsid w:val="5C5C7D95"/>
    <w:rsid w:val="5C8332D2"/>
    <w:rsid w:val="5CEB0141"/>
    <w:rsid w:val="5D0030C0"/>
    <w:rsid w:val="5D514877"/>
    <w:rsid w:val="5D613110"/>
    <w:rsid w:val="5DC56BE4"/>
    <w:rsid w:val="5DD51BD6"/>
    <w:rsid w:val="5DF87281"/>
    <w:rsid w:val="5E056FE1"/>
    <w:rsid w:val="5E9F11E3"/>
    <w:rsid w:val="5EA920C4"/>
    <w:rsid w:val="5F090B3B"/>
    <w:rsid w:val="5F100333"/>
    <w:rsid w:val="5F4B136B"/>
    <w:rsid w:val="5FD10757"/>
    <w:rsid w:val="5FED2422"/>
    <w:rsid w:val="5FF93E5A"/>
    <w:rsid w:val="6029271D"/>
    <w:rsid w:val="60854833"/>
    <w:rsid w:val="609603C4"/>
    <w:rsid w:val="60FE5343"/>
    <w:rsid w:val="61D90D2C"/>
    <w:rsid w:val="61F71AC1"/>
    <w:rsid w:val="6229121B"/>
    <w:rsid w:val="625773C4"/>
    <w:rsid w:val="626C0FB1"/>
    <w:rsid w:val="63005DC2"/>
    <w:rsid w:val="633A0AC0"/>
    <w:rsid w:val="634632A4"/>
    <w:rsid w:val="63C33561"/>
    <w:rsid w:val="63DB39B4"/>
    <w:rsid w:val="64CC2606"/>
    <w:rsid w:val="64CE2842"/>
    <w:rsid w:val="65045E61"/>
    <w:rsid w:val="650A67C2"/>
    <w:rsid w:val="656D3445"/>
    <w:rsid w:val="6587477F"/>
    <w:rsid w:val="65EF17A0"/>
    <w:rsid w:val="66787717"/>
    <w:rsid w:val="66B506E4"/>
    <w:rsid w:val="66C739CD"/>
    <w:rsid w:val="66F61BBC"/>
    <w:rsid w:val="674B1027"/>
    <w:rsid w:val="676A08BE"/>
    <w:rsid w:val="67966EFB"/>
    <w:rsid w:val="67AB5867"/>
    <w:rsid w:val="67D70B04"/>
    <w:rsid w:val="67EB7163"/>
    <w:rsid w:val="67FECA39"/>
    <w:rsid w:val="68231319"/>
    <w:rsid w:val="685F744E"/>
    <w:rsid w:val="68A85138"/>
    <w:rsid w:val="69092D7D"/>
    <w:rsid w:val="695C115A"/>
    <w:rsid w:val="6A044156"/>
    <w:rsid w:val="6A2A3015"/>
    <w:rsid w:val="6AA2779D"/>
    <w:rsid w:val="6B20415A"/>
    <w:rsid w:val="6B32731D"/>
    <w:rsid w:val="6B4274EB"/>
    <w:rsid w:val="6B7637FF"/>
    <w:rsid w:val="6BDB5825"/>
    <w:rsid w:val="6C5B4564"/>
    <w:rsid w:val="6C727132"/>
    <w:rsid w:val="6C813A93"/>
    <w:rsid w:val="6DC75C60"/>
    <w:rsid w:val="6E1556F6"/>
    <w:rsid w:val="6EB2165A"/>
    <w:rsid w:val="6EB77ED8"/>
    <w:rsid w:val="6FAA7DC7"/>
    <w:rsid w:val="6FAEFBDC"/>
    <w:rsid w:val="6FB91016"/>
    <w:rsid w:val="6FD9207B"/>
    <w:rsid w:val="6FF70359"/>
    <w:rsid w:val="70156BD3"/>
    <w:rsid w:val="706E2BDC"/>
    <w:rsid w:val="70822713"/>
    <w:rsid w:val="71245B86"/>
    <w:rsid w:val="714E116D"/>
    <w:rsid w:val="72364028"/>
    <w:rsid w:val="723F49FB"/>
    <w:rsid w:val="727D5888"/>
    <w:rsid w:val="72BE4526"/>
    <w:rsid w:val="73922C6D"/>
    <w:rsid w:val="73A8656E"/>
    <w:rsid w:val="73BC27FB"/>
    <w:rsid w:val="73C51294"/>
    <w:rsid w:val="74131046"/>
    <w:rsid w:val="742B46D2"/>
    <w:rsid w:val="74EB75B6"/>
    <w:rsid w:val="75EE4583"/>
    <w:rsid w:val="76B5566B"/>
    <w:rsid w:val="773C7ABF"/>
    <w:rsid w:val="774576AA"/>
    <w:rsid w:val="77E157A3"/>
    <w:rsid w:val="782652DB"/>
    <w:rsid w:val="78917997"/>
    <w:rsid w:val="78B13B95"/>
    <w:rsid w:val="78CF1B97"/>
    <w:rsid w:val="78E026CC"/>
    <w:rsid w:val="793A7DAA"/>
    <w:rsid w:val="79521FAF"/>
    <w:rsid w:val="79B24A1E"/>
    <w:rsid w:val="79BF4D8B"/>
    <w:rsid w:val="7A37631C"/>
    <w:rsid w:val="7A376925"/>
    <w:rsid w:val="7A3E3B4E"/>
    <w:rsid w:val="7AA04719"/>
    <w:rsid w:val="7AA76657"/>
    <w:rsid w:val="7AD14F03"/>
    <w:rsid w:val="7AEC5358"/>
    <w:rsid w:val="7B1110F2"/>
    <w:rsid w:val="7B1706C7"/>
    <w:rsid w:val="7BBA6E31"/>
    <w:rsid w:val="7BC215DF"/>
    <w:rsid w:val="7C790E6E"/>
    <w:rsid w:val="7C9F2776"/>
    <w:rsid w:val="7CE227BF"/>
    <w:rsid w:val="7CF8312F"/>
    <w:rsid w:val="7DAB46BB"/>
    <w:rsid w:val="7DFF3B4A"/>
    <w:rsid w:val="7E1D37BF"/>
    <w:rsid w:val="7EBA69D3"/>
    <w:rsid w:val="7ED9D15E"/>
    <w:rsid w:val="7F4D213E"/>
    <w:rsid w:val="7F97431E"/>
    <w:rsid w:val="7FAB2F63"/>
    <w:rsid w:val="A16708BF"/>
    <w:rsid w:val="DBFB2E3D"/>
    <w:rsid w:val="DDBACEA4"/>
    <w:rsid w:val="DFFFD7F4"/>
    <w:rsid w:val="FD755E44"/>
    <w:rsid w:val="FEFFCC38"/>
    <w:rsid w:val="FFDD125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0" w:lineRule="atLeast"/>
      <w:jc w:val="both"/>
    </w:pPr>
    <w:rPr>
      <w:rFonts w:ascii="微软雅黑" w:hAnsi="微软雅黑" w:eastAsia="微软雅黑" w:cstheme="minorBidi"/>
      <w:kern w:val="2"/>
      <w:sz w:val="21"/>
      <w:szCs w:val="22"/>
      <w:lang w:val="en-US" w:eastAsia="zh-CN" w:bidi="ar-SA"/>
    </w:rPr>
  </w:style>
  <w:style w:type="paragraph" w:styleId="2">
    <w:name w:val="heading 1"/>
    <w:basedOn w:val="1"/>
    <w:next w:val="1"/>
    <w:link w:val="24"/>
    <w:autoRedefine/>
    <w:qFormat/>
    <w:uiPriority w:val="9"/>
    <w:pPr>
      <w:spacing w:before="100" w:beforeAutospacing="1" w:after="100" w:afterAutospacing="1" w:line="240" w:lineRule="auto"/>
      <w:jc w:val="left"/>
      <w:outlineLvl w:val="0"/>
    </w:pPr>
    <w:rPr>
      <w:rFonts w:ascii="宋体" w:hAnsi="宋体" w:eastAsia="宋体" w:cs="宋体"/>
      <w:b/>
      <w:bCs/>
      <w:kern w:val="36"/>
      <w:sz w:val="48"/>
      <w:szCs w:val="48"/>
    </w:rPr>
  </w:style>
  <w:style w:type="paragraph" w:styleId="3">
    <w:name w:val="heading 2"/>
    <w:basedOn w:val="1"/>
    <w:next w:val="1"/>
    <w:link w:val="67"/>
    <w:autoRedefine/>
    <w:unhideWhenUsed/>
    <w:qFormat/>
    <w:uiPriority w:val="9"/>
    <w:pPr>
      <w:keepNext/>
      <w:keepLines/>
      <w:spacing w:before="260" w:after="260" w:line="416" w:lineRule="atLeast"/>
      <w:outlineLvl w:val="1"/>
    </w:pPr>
    <w:rPr>
      <w:rFonts w:eastAsia="宋体" w:asciiTheme="majorHAnsi" w:hAnsiTheme="majorHAnsi" w:cstheme="majorBidi"/>
      <w:b/>
      <w:bCs/>
      <w:sz w:val="30"/>
      <w:szCs w:val="32"/>
    </w:rPr>
  </w:style>
  <w:style w:type="paragraph" w:styleId="4">
    <w:name w:val="heading 3"/>
    <w:basedOn w:val="1"/>
    <w:next w:val="1"/>
    <w:link w:val="25"/>
    <w:autoRedefine/>
    <w:qFormat/>
    <w:uiPriority w:val="9"/>
    <w:pPr>
      <w:spacing w:before="100" w:beforeAutospacing="1" w:after="100" w:afterAutospacing="1" w:line="240" w:lineRule="auto"/>
      <w:jc w:val="left"/>
      <w:outlineLvl w:val="2"/>
    </w:pPr>
    <w:rPr>
      <w:rFonts w:ascii="宋体" w:hAnsi="宋体" w:eastAsia="宋体" w:cs="宋体"/>
      <w:b/>
      <w:bCs/>
      <w:kern w:val="0"/>
      <w:sz w:val="28"/>
      <w:szCs w:val="27"/>
    </w:rPr>
  </w:style>
  <w:style w:type="paragraph" w:styleId="5">
    <w:name w:val="heading 4"/>
    <w:basedOn w:val="1"/>
    <w:next w:val="1"/>
    <w:link w:val="68"/>
    <w:autoRedefine/>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26"/>
    <w:autoRedefine/>
    <w:semiHidden/>
    <w:unhideWhenUsed/>
    <w:qFormat/>
    <w:uiPriority w:val="9"/>
    <w:pPr>
      <w:keepNext/>
      <w:keepLines/>
      <w:spacing w:before="280" w:after="290" w:line="376" w:lineRule="atLeast"/>
      <w:outlineLvl w:val="4"/>
    </w:pPr>
    <w:rPr>
      <w:b/>
      <w:bCs/>
      <w:sz w:val="28"/>
      <w:szCs w:val="28"/>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1"/>
    <w:autoRedefine/>
    <w:unhideWhenUsed/>
    <w:qFormat/>
    <w:uiPriority w:val="0"/>
    <w:pPr>
      <w:ind w:firstLine="420" w:firstLineChars="200"/>
    </w:pPr>
  </w:style>
  <w:style w:type="paragraph" w:styleId="8">
    <w:name w:val="annotation text"/>
    <w:basedOn w:val="1"/>
    <w:link w:val="65"/>
    <w:autoRedefine/>
    <w:semiHidden/>
    <w:unhideWhenUsed/>
    <w:qFormat/>
    <w:uiPriority w:val="99"/>
    <w:pPr>
      <w:widowControl w:val="0"/>
      <w:spacing w:line="240" w:lineRule="auto"/>
      <w:jc w:val="left"/>
    </w:pPr>
    <w:rPr>
      <w:rFonts w:asciiTheme="minorHAnsi" w:hAnsiTheme="minorHAnsi" w:eastAsiaTheme="minorEastAsia"/>
    </w:rPr>
  </w:style>
  <w:style w:type="paragraph" w:styleId="9">
    <w:name w:val="Body Text"/>
    <w:basedOn w:val="1"/>
    <w:link w:val="70"/>
    <w:autoRedefine/>
    <w:qFormat/>
    <w:uiPriority w:val="99"/>
    <w:rPr>
      <w:rFonts w:ascii="宋体" w:hAnsi="宋体" w:eastAsia="宋体"/>
      <w:sz w:val="24"/>
    </w:rPr>
  </w:style>
  <w:style w:type="paragraph" w:styleId="10">
    <w:name w:val="toc 3"/>
    <w:basedOn w:val="1"/>
    <w:next w:val="1"/>
    <w:autoRedefine/>
    <w:unhideWhenUsed/>
    <w:qFormat/>
    <w:uiPriority w:val="39"/>
    <w:pPr>
      <w:ind w:left="840" w:leftChars="400"/>
    </w:pPr>
  </w:style>
  <w:style w:type="paragraph" w:styleId="11">
    <w:name w:val="Balloon Text"/>
    <w:basedOn w:val="1"/>
    <w:link w:val="74"/>
    <w:autoRedefine/>
    <w:semiHidden/>
    <w:unhideWhenUsed/>
    <w:qFormat/>
    <w:uiPriority w:val="99"/>
    <w:pPr>
      <w:spacing w:line="240" w:lineRule="auto"/>
    </w:pPr>
    <w:rPr>
      <w:sz w:val="18"/>
      <w:szCs w:val="18"/>
    </w:rPr>
  </w:style>
  <w:style w:type="paragraph" w:styleId="12">
    <w:name w:val="footer"/>
    <w:basedOn w:val="1"/>
    <w:link w:val="64"/>
    <w:autoRedefine/>
    <w:unhideWhenUsed/>
    <w:qFormat/>
    <w:uiPriority w:val="99"/>
    <w:pPr>
      <w:tabs>
        <w:tab w:val="center" w:pos="4153"/>
        <w:tab w:val="right" w:pos="8306"/>
      </w:tabs>
      <w:snapToGrid w:val="0"/>
      <w:spacing w:line="240" w:lineRule="atLeast"/>
      <w:jc w:val="left"/>
    </w:pPr>
    <w:rPr>
      <w:sz w:val="18"/>
      <w:szCs w:val="18"/>
    </w:rPr>
  </w:style>
  <w:style w:type="paragraph" w:styleId="13">
    <w:name w:val="header"/>
    <w:basedOn w:val="1"/>
    <w:link w:val="63"/>
    <w:autoRedefine/>
    <w:unhideWhenUsed/>
    <w:qFormat/>
    <w:uiPriority w:val="99"/>
    <w:pPr>
      <w:tabs>
        <w:tab w:val="center" w:pos="4153"/>
        <w:tab w:val="right" w:pos="8306"/>
      </w:tabs>
      <w:snapToGrid w:val="0"/>
      <w:spacing w:line="240" w:lineRule="atLeast"/>
      <w:jc w:val="center"/>
    </w:pPr>
    <w:rPr>
      <w:sz w:val="18"/>
      <w:szCs w:val="18"/>
    </w:rPr>
  </w:style>
  <w:style w:type="paragraph" w:styleId="14">
    <w:name w:val="toc 1"/>
    <w:basedOn w:val="1"/>
    <w:next w:val="1"/>
    <w:autoRedefine/>
    <w:unhideWhenUsed/>
    <w:qFormat/>
    <w:uiPriority w:val="39"/>
  </w:style>
  <w:style w:type="paragraph" w:styleId="15">
    <w:name w:val="toc 2"/>
    <w:basedOn w:val="1"/>
    <w:next w:val="1"/>
    <w:autoRedefine/>
    <w:unhideWhenUsed/>
    <w:qFormat/>
    <w:uiPriority w:val="39"/>
    <w:pPr>
      <w:ind w:left="420" w:leftChars="200"/>
    </w:pPr>
  </w:style>
  <w:style w:type="paragraph" w:styleId="16">
    <w:name w:val="Normal (Web)"/>
    <w:basedOn w:val="1"/>
    <w:autoRedefine/>
    <w:unhideWhenUsed/>
    <w:qFormat/>
    <w:uiPriority w:val="99"/>
    <w:pPr>
      <w:spacing w:before="100" w:beforeAutospacing="1" w:after="100" w:afterAutospacing="1" w:line="240" w:lineRule="auto"/>
      <w:jc w:val="left"/>
    </w:pPr>
    <w:rPr>
      <w:rFonts w:ascii="宋体" w:hAnsi="宋体" w:eastAsia="宋体" w:cs="宋体"/>
      <w:kern w:val="0"/>
      <w:sz w:val="24"/>
      <w:szCs w:val="24"/>
    </w:rPr>
  </w:style>
  <w:style w:type="paragraph" w:styleId="17">
    <w:name w:val="annotation subject"/>
    <w:basedOn w:val="8"/>
    <w:next w:val="8"/>
    <w:link w:val="72"/>
    <w:autoRedefine/>
    <w:semiHidden/>
    <w:unhideWhenUsed/>
    <w:qFormat/>
    <w:uiPriority w:val="99"/>
    <w:pPr>
      <w:widowControl/>
      <w:spacing w:line="0" w:lineRule="atLeast"/>
    </w:pPr>
    <w:rPr>
      <w:rFonts w:ascii="微软雅黑" w:hAnsi="微软雅黑" w:eastAsia="微软雅黑"/>
      <w:b/>
      <w:bCs/>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autoRedefine/>
    <w:unhideWhenUsed/>
    <w:qFormat/>
    <w:uiPriority w:val="99"/>
    <w:rPr>
      <w:color w:val="0563C1" w:themeColor="hyperlink"/>
      <w:u w:val="single"/>
      <w14:textFill>
        <w14:solidFill>
          <w14:schemeClr w14:val="hlink"/>
        </w14:solidFill>
      </w14:textFill>
    </w:rPr>
  </w:style>
  <w:style w:type="character" w:styleId="22">
    <w:name w:val="annotation reference"/>
    <w:basedOn w:val="20"/>
    <w:autoRedefine/>
    <w:semiHidden/>
    <w:unhideWhenUsed/>
    <w:qFormat/>
    <w:uiPriority w:val="99"/>
    <w:rPr>
      <w:sz w:val="21"/>
      <w:szCs w:val="21"/>
    </w:rPr>
  </w:style>
  <w:style w:type="paragraph" w:customStyle="1" w:styleId="23">
    <w:name w:val="列出段落1"/>
    <w:basedOn w:val="1"/>
    <w:autoRedefine/>
    <w:qFormat/>
    <w:uiPriority w:val="34"/>
    <w:pPr>
      <w:ind w:firstLine="420" w:firstLineChars="200"/>
    </w:pPr>
    <w:rPr>
      <w:szCs w:val="20"/>
    </w:rPr>
  </w:style>
  <w:style w:type="character" w:customStyle="1" w:styleId="24">
    <w:name w:val="标题 1 Char"/>
    <w:basedOn w:val="20"/>
    <w:link w:val="2"/>
    <w:autoRedefine/>
    <w:qFormat/>
    <w:uiPriority w:val="9"/>
    <w:rPr>
      <w:rFonts w:ascii="宋体" w:hAnsi="宋体" w:eastAsia="宋体" w:cs="宋体"/>
      <w:b/>
      <w:bCs/>
      <w:kern w:val="36"/>
      <w:sz w:val="48"/>
      <w:szCs w:val="48"/>
    </w:rPr>
  </w:style>
  <w:style w:type="character" w:customStyle="1" w:styleId="25">
    <w:name w:val="标题 3 Char"/>
    <w:basedOn w:val="20"/>
    <w:link w:val="4"/>
    <w:autoRedefine/>
    <w:qFormat/>
    <w:uiPriority w:val="9"/>
    <w:rPr>
      <w:rFonts w:ascii="宋体" w:hAnsi="宋体" w:eastAsia="宋体" w:cs="宋体"/>
      <w:b/>
      <w:bCs/>
      <w:kern w:val="0"/>
      <w:sz w:val="28"/>
      <w:szCs w:val="27"/>
    </w:rPr>
  </w:style>
  <w:style w:type="character" w:customStyle="1" w:styleId="26">
    <w:name w:val="标题 5 Char"/>
    <w:basedOn w:val="20"/>
    <w:link w:val="6"/>
    <w:autoRedefine/>
    <w:semiHidden/>
    <w:qFormat/>
    <w:uiPriority w:val="9"/>
    <w:rPr>
      <w:b/>
      <w:bCs/>
      <w:sz w:val="28"/>
      <w:szCs w:val="28"/>
    </w:rPr>
  </w:style>
  <w:style w:type="character" w:customStyle="1" w:styleId="27">
    <w:name w:val="population-projectoverview"/>
    <w:basedOn w:val="20"/>
    <w:autoRedefine/>
    <w:qFormat/>
    <w:uiPriority w:val="0"/>
  </w:style>
  <w:style w:type="character" w:customStyle="1" w:styleId="28">
    <w:name w:val="population-hassuppliergpx"/>
    <w:basedOn w:val="20"/>
    <w:autoRedefine/>
    <w:qFormat/>
    <w:uiPriority w:val="0"/>
  </w:style>
  <w:style w:type="character" w:customStyle="1" w:styleId="29">
    <w:name w:val="investigation-researchstatusnew"/>
    <w:basedOn w:val="20"/>
    <w:autoRedefine/>
    <w:qFormat/>
    <w:uiPriority w:val="0"/>
  </w:style>
  <w:style w:type="character" w:customStyle="1" w:styleId="30">
    <w:name w:val="implementation-subcontracttotalgpx"/>
    <w:basedOn w:val="20"/>
    <w:autoRedefine/>
    <w:qFormat/>
    <w:uiPriority w:val="0"/>
  </w:style>
  <w:style w:type="paragraph" w:customStyle="1" w:styleId="31">
    <w:name w:val="implementation-reservestatusnew"/>
    <w:basedOn w:val="1"/>
    <w:autoRedefine/>
    <w:qFormat/>
    <w:uiPriority w:val="0"/>
    <w:pPr>
      <w:spacing w:before="100" w:beforeAutospacing="1" w:after="100" w:afterAutospacing="1" w:line="240" w:lineRule="auto"/>
      <w:jc w:val="left"/>
    </w:pPr>
    <w:rPr>
      <w:rFonts w:ascii="宋体" w:hAnsi="宋体" w:eastAsia="宋体" w:cs="宋体"/>
      <w:kern w:val="0"/>
      <w:sz w:val="24"/>
      <w:szCs w:val="24"/>
    </w:rPr>
  </w:style>
  <w:style w:type="character" w:customStyle="1" w:styleId="32">
    <w:name w:val="_gpx_procurement_environment"/>
    <w:basedOn w:val="20"/>
    <w:autoRedefine/>
    <w:qFormat/>
    <w:uiPriority w:val="0"/>
  </w:style>
  <w:style w:type="character" w:customStyle="1" w:styleId="33">
    <w:name w:val="_gpx_procurement_efficient"/>
    <w:basedOn w:val="20"/>
    <w:autoRedefine/>
    <w:qFormat/>
    <w:uiPriority w:val="0"/>
  </w:style>
  <w:style w:type="character" w:customStyle="1" w:styleId="34">
    <w:name w:val="implementation-govservicegpx"/>
    <w:basedOn w:val="20"/>
    <w:autoRedefine/>
    <w:qFormat/>
    <w:uiPriority w:val="0"/>
  </w:style>
  <w:style w:type="character" w:customStyle="1" w:styleId="35">
    <w:name w:val="implementation-govinformationstatus"/>
    <w:basedOn w:val="20"/>
    <w:autoRedefine/>
    <w:qFormat/>
    <w:uiPriority w:val="0"/>
  </w:style>
  <w:style w:type="character" w:customStyle="1" w:styleId="36">
    <w:name w:val="implementation-sciencestatus"/>
    <w:basedOn w:val="20"/>
    <w:autoRedefine/>
    <w:qFormat/>
    <w:uiPriority w:val="0"/>
  </w:style>
  <w:style w:type="character" w:customStyle="1" w:styleId="37">
    <w:name w:val="implementation-yearmore"/>
    <w:basedOn w:val="20"/>
    <w:autoRedefine/>
    <w:qFormat/>
    <w:uiPriority w:val="0"/>
  </w:style>
  <w:style w:type="character" w:customStyle="1" w:styleId="38">
    <w:name w:val="subcontract-jointbiddingstatus"/>
    <w:basedOn w:val="20"/>
    <w:autoRedefine/>
    <w:qFormat/>
    <w:uiPriority w:val="0"/>
  </w:style>
  <w:style w:type="character" w:customStyle="1" w:styleId="39">
    <w:name w:val="subcontract-subcontractstatus"/>
    <w:basedOn w:val="20"/>
    <w:autoRedefine/>
    <w:qFormat/>
    <w:uiPriority w:val="0"/>
  </w:style>
  <w:style w:type="character" w:customStyle="1" w:styleId="40">
    <w:name w:val="subcontract-legalcontracttype"/>
    <w:basedOn w:val="20"/>
    <w:autoRedefine/>
    <w:qFormat/>
    <w:uiPriority w:val="0"/>
  </w:style>
  <w:style w:type="character" w:customStyle="1" w:styleId="41">
    <w:name w:val="subcontract-performperiod"/>
    <w:basedOn w:val="20"/>
    <w:autoRedefine/>
    <w:qFormat/>
    <w:uiPriority w:val="0"/>
  </w:style>
  <w:style w:type="character" w:customStyle="1" w:styleId="42">
    <w:name w:val="subcontract-performaddress"/>
    <w:basedOn w:val="20"/>
    <w:autoRedefine/>
    <w:qFormat/>
    <w:uiPriority w:val="0"/>
  </w:style>
  <w:style w:type="character" w:customStyle="1" w:styleId="43">
    <w:name w:val="subcontract-paymentplansgpx"/>
    <w:basedOn w:val="20"/>
    <w:autoRedefine/>
    <w:qFormat/>
    <w:uiPriority w:val="0"/>
  </w:style>
  <w:style w:type="character" w:customStyle="1" w:styleId="44">
    <w:name w:val="subcontract-deliverystandard"/>
    <w:basedOn w:val="20"/>
    <w:autoRedefine/>
    <w:qFormat/>
    <w:uiPriority w:val="0"/>
  </w:style>
  <w:style w:type="character" w:customStyle="1" w:styleId="45">
    <w:name w:val="subcontract-maintenance"/>
    <w:basedOn w:val="20"/>
    <w:autoRedefine/>
    <w:qFormat/>
    <w:uiPriority w:val="0"/>
  </w:style>
  <w:style w:type="character" w:customStyle="1" w:styleId="46">
    <w:name w:val="subcontract-intellectualproperty"/>
    <w:basedOn w:val="20"/>
    <w:autoRedefine/>
    <w:qFormat/>
    <w:uiPriority w:val="0"/>
  </w:style>
  <w:style w:type="character" w:customStyle="1" w:styleId="47">
    <w:name w:val="subcontract-risksharing"/>
    <w:basedOn w:val="20"/>
    <w:autoRedefine/>
    <w:qFormat/>
    <w:uiPriority w:val="0"/>
  </w:style>
  <w:style w:type="character" w:customStyle="1" w:styleId="48">
    <w:name w:val="subcontract-disputeresolution"/>
    <w:basedOn w:val="20"/>
    <w:autoRedefine/>
    <w:qFormat/>
    <w:uiPriority w:val="0"/>
  </w:style>
  <w:style w:type="character" w:customStyle="1" w:styleId="49">
    <w:name w:val="subcontract-otherterms"/>
    <w:basedOn w:val="20"/>
    <w:autoRedefine/>
    <w:qFormat/>
    <w:uiPriority w:val="0"/>
  </w:style>
  <w:style w:type="character" w:customStyle="1" w:styleId="50">
    <w:name w:val="subcontract-acceptancetype"/>
    <w:basedOn w:val="20"/>
    <w:autoRedefine/>
    <w:qFormat/>
    <w:uiPriority w:val="0"/>
  </w:style>
  <w:style w:type="character" w:customStyle="1" w:styleId="51">
    <w:name w:val="subcontract-invitesupplierstatus"/>
    <w:basedOn w:val="20"/>
    <w:autoRedefine/>
    <w:qFormat/>
    <w:uiPriority w:val="0"/>
  </w:style>
  <w:style w:type="character" w:customStyle="1" w:styleId="52">
    <w:name w:val="subcontract-inviteexpertstatus"/>
    <w:basedOn w:val="20"/>
    <w:autoRedefine/>
    <w:qFormat/>
    <w:uiPriority w:val="0"/>
  </w:style>
  <w:style w:type="character" w:customStyle="1" w:styleId="53">
    <w:name w:val="subcontract-inviteserviceobjectstatus"/>
    <w:basedOn w:val="20"/>
    <w:autoRedefine/>
    <w:qFormat/>
    <w:uiPriority w:val="0"/>
  </w:style>
  <w:style w:type="character" w:customStyle="1" w:styleId="54">
    <w:name w:val="subcontract-professionaldetectionstatus"/>
    <w:basedOn w:val="20"/>
    <w:autoRedefine/>
    <w:qFormat/>
    <w:uiPriority w:val="0"/>
  </w:style>
  <w:style w:type="character" w:customStyle="1" w:styleId="55">
    <w:name w:val="subcontract-acceptanceprocesstype"/>
    <w:basedOn w:val="20"/>
    <w:autoRedefine/>
    <w:qFormat/>
    <w:uiPriority w:val="0"/>
  </w:style>
  <w:style w:type="character" w:customStyle="1" w:styleId="56">
    <w:name w:val="subcontract-otherpreparations"/>
    <w:basedOn w:val="20"/>
    <w:autoRedefine/>
    <w:qFormat/>
    <w:uiPriority w:val="0"/>
  </w:style>
  <w:style w:type="character" w:customStyle="1" w:styleId="57">
    <w:name w:val="subcontract-goodscontent"/>
    <w:basedOn w:val="20"/>
    <w:autoRedefine/>
    <w:qFormat/>
    <w:uiPriority w:val="0"/>
  </w:style>
  <w:style w:type="character" w:customStyle="1" w:styleId="58">
    <w:name w:val="subcontract-businesscontent"/>
    <w:basedOn w:val="20"/>
    <w:autoRedefine/>
    <w:qFormat/>
    <w:uiPriority w:val="0"/>
  </w:style>
  <w:style w:type="character" w:customStyle="1" w:styleId="59">
    <w:name w:val="subcontract-acceptancecriteria"/>
    <w:basedOn w:val="20"/>
    <w:autoRedefine/>
    <w:qFormat/>
    <w:uiPriority w:val="0"/>
  </w:style>
  <w:style w:type="character" w:customStyle="1" w:styleId="60">
    <w:name w:val="subcontract-othercontent"/>
    <w:basedOn w:val="20"/>
    <w:autoRedefine/>
    <w:qFormat/>
    <w:uiPriority w:val="0"/>
  </w:style>
  <w:style w:type="character" w:customStyle="1" w:styleId="61">
    <w:name w:val="risk-riskresponsegpx"/>
    <w:basedOn w:val="20"/>
    <w:autoRedefine/>
    <w:qFormat/>
    <w:uiPriority w:val="0"/>
  </w:style>
  <w:style w:type="paragraph" w:styleId="62">
    <w:name w:val="List Paragraph"/>
    <w:basedOn w:val="1"/>
    <w:autoRedefine/>
    <w:qFormat/>
    <w:uiPriority w:val="34"/>
    <w:pPr>
      <w:ind w:firstLine="420" w:firstLineChars="200"/>
    </w:pPr>
  </w:style>
  <w:style w:type="character" w:customStyle="1" w:styleId="63">
    <w:name w:val="页眉 Char"/>
    <w:basedOn w:val="20"/>
    <w:link w:val="13"/>
    <w:autoRedefine/>
    <w:qFormat/>
    <w:uiPriority w:val="99"/>
    <w:rPr>
      <w:sz w:val="18"/>
      <w:szCs w:val="18"/>
    </w:rPr>
  </w:style>
  <w:style w:type="character" w:customStyle="1" w:styleId="64">
    <w:name w:val="页脚 Char"/>
    <w:basedOn w:val="20"/>
    <w:link w:val="12"/>
    <w:autoRedefine/>
    <w:qFormat/>
    <w:uiPriority w:val="99"/>
    <w:rPr>
      <w:sz w:val="18"/>
      <w:szCs w:val="18"/>
    </w:rPr>
  </w:style>
  <w:style w:type="character" w:customStyle="1" w:styleId="65">
    <w:name w:val="批注文字 Char"/>
    <w:basedOn w:val="20"/>
    <w:link w:val="8"/>
    <w:autoRedefine/>
    <w:semiHidden/>
    <w:qFormat/>
    <w:uiPriority w:val="99"/>
    <w:rPr>
      <w:rFonts w:asciiTheme="minorHAnsi" w:hAnsiTheme="minorHAnsi" w:eastAsiaTheme="minorEastAsia"/>
    </w:rPr>
  </w:style>
  <w:style w:type="paragraph" w:customStyle="1" w:styleId="66">
    <w:name w:val="my正文"/>
    <w:basedOn w:val="1"/>
    <w:autoRedefine/>
    <w:qFormat/>
    <w:uiPriority w:val="0"/>
    <w:pPr>
      <w:widowControl w:val="0"/>
      <w:spacing w:line="360" w:lineRule="auto"/>
      <w:ind w:firstLine="480" w:firstLineChars="200"/>
    </w:pPr>
    <w:rPr>
      <w:rFonts w:asciiTheme="minorHAnsi" w:hAnsiTheme="minorHAnsi" w:eastAsiaTheme="minorEastAsia"/>
      <w:szCs w:val="20"/>
    </w:rPr>
  </w:style>
  <w:style w:type="character" w:customStyle="1" w:styleId="67">
    <w:name w:val="标题 2 Char"/>
    <w:basedOn w:val="20"/>
    <w:link w:val="3"/>
    <w:autoRedefine/>
    <w:qFormat/>
    <w:uiPriority w:val="9"/>
    <w:rPr>
      <w:rFonts w:eastAsia="宋体" w:asciiTheme="majorHAnsi" w:hAnsiTheme="majorHAnsi" w:cstheme="majorBidi"/>
      <w:b/>
      <w:bCs/>
      <w:sz w:val="30"/>
      <w:szCs w:val="32"/>
    </w:rPr>
  </w:style>
  <w:style w:type="character" w:customStyle="1" w:styleId="68">
    <w:name w:val="标题 4 Char"/>
    <w:basedOn w:val="20"/>
    <w:link w:val="5"/>
    <w:autoRedefine/>
    <w:qFormat/>
    <w:uiPriority w:val="9"/>
    <w:rPr>
      <w:rFonts w:asciiTheme="majorHAnsi" w:hAnsiTheme="majorHAnsi" w:eastAsiaTheme="majorEastAsia" w:cstheme="majorBidi"/>
      <w:b/>
      <w:bCs/>
      <w:sz w:val="28"/>
      <w:szCs w:val="28"/>
    </w:rPr>
  </w:style>
  <w:style w:type="paragraph" w:customStyle="1" w:styleId="69">
    <w:name w:val="TOC 标题1"/>
    <w:basedOn w:val="2"/>
    <w:next w:val="1"/>
    <w:autoRedefine/>
    <w:unhideWhenUsed/>
    <w:qFormat/>
    <w:uiPriority w:val="39"/>
    <w:pPr>
      <w:keepNext/>
      <w:keepLines/>
      <w:spacing w:before="240" w:beforeAutospacing="0" w:after="0" w:afterAutospacing="0" w:line="259" w:lineRule="auto"/>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70">
    <w:name w:val="正文文本 Char"/>
    <w:basedOn w:val="20"/>
    <w:link w:val="9"/>
    <w:autoRedefine/>
    <w:qFormat/>
    <w:uiPriority w:val="99"/>
    <w:rPr>
      <w:rFonts w:ascii="宋体" w:hAnsi="宋体" w:eastAsia="宋体"/>
      <w:kern w:val="2"/>
      <w:sz w:val="24"/>
      <w:szCs w:val="22"/>
    </w:rPr>
  </w:style>
  <w:style w:type="table" w:customStyle="1" w:styleId="71">
    <w:name w:val="Table Normal"/>
    <w:autoRedefine/>
    <w:semiHidden/>
    <w:unhideWhenUsed/>
    <w:qFormat/>
    <w:uiPriority w:val="0"/>
    <w:rPr>
      <w:rFonts w:ascii="Calibri" w:hAnsi="Calibri"/>
    </w:rPr>
    <w:tblPr>
      <w:tblCellMar>
        <w:top w:w="0" w:type="dxa"/>
        <w:left w:w="0" w:type="dxa"/>
        <w:bottom w:w="0" w:type="dxa"/>
        <w:right w:w="0" w:type="dxa"/>
      </w:tblCellMar>
    </w:tblPr>
  </w:style>
  <w:style w:type="character" w:customStyle="1" w:styleId="72">
    <w:name w:val="批注主题 Char"/>
    <w:basedOn w:val="65"/>
    <w:link w:val="17"/>
    <w:autoRedefine/>
    <w:semiHidden/>
    <w:qFormat/>
    <w:uiPriority w:val="99"/>
    <w:rPr>
      <w:rFonts w:ascii="微软雅黑" w:hAnsi="微软雅黑" w:eastAsia="微软雅黑" w:cstheme="minorBidi"/>
      <w:b/>
      <w:bCs/>
      <w:kern w:val="2"/>
      <w:sz w:val="21"/>
      <w:szCs w:val="22"/>
    </w:rPr>
  </w:style>
  <w:style w:type="paragraph" w:customStyle="1" w:styleId="73">
    <w:name w:val="正文文本首行缩进1"/>
    <w:basedOn w:val="9"/>
    <w:autoRedefine/>
    <w:qFormat/>
    <w:uiPriority w:val="0"/>
    <w:pPr>
      <w:ind w:firstLine="420" w:firstLineChars="100"/>
    </w:pPr>
    <w:rPr>
      <w:sz w:val="21"/>
    </w:rPr>
  </w:style>
  <w:style w:type="character" w:customStyle="1" w:styleId="74">
    <w:name w:val="批注框文本 Char"/>
    <w:basedOn w:val="20"/>
    <w:link w:val="11"/>
    <w:autoRedefine/>
    <w:semiHidden/>
    <w:qFormat/>
    <w:uiPriority w:val="99"/>
    <w:rPr>
      <w:rFonts w:ascii="微软雅黑" w:hAnsi="微软雅黑" w:eastAsia="微软雅黑" w:cstheme="minorBidi"/>
      <w:kern w:val="2"/>
      <w:sz w:val="18"/>
      <w:szCs w:val="18"/>
    </w:rPr>
  </w:style>
  <w:style w:type="paragraph" w:customStyle="1" w:styleId="75">
    <w:name w:val="列表段落1"/>
    <w:basedOn w:val="1"/>
    <w:autoRedefine/>
    <w:qFormat/>
    <w:uiPriority w:val="34"/>
    <w:pPr>
      <w:ind w:firstLine="420" w:firstLineChars="200"/>
    </w:pPr>
  </w:style>
  <w:style w:type="paragraph" w:customStyle="1" w:styleId="76">
    <w:name w:val="WPSOffice手动目录 1"/>
    <w:autoRedefine/>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Version="6"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E18DE6-D125-42E0-97A1-702CB8C34F73}">
  <ds:schemaRefs/>
</ds:datastoreItem>
</file>

<file path=docProps/app.xml><?xml version="1.0" encoding="utf-8"?>
<Properties xmlns="http://schemas.openxmlformats.org/officeDocument/2006/extended-properties" xmlns:vt="http://schemas.openxmlformats.org/officeDocument/2006/docPropsVTypes">
  <Template>Normal.dotm</Template>
  <Pages>71</Pages>
  <Words>45199</Words>
  <Characters>47031</Characters>
  <Lines>363</Lines>
  <Paragraphs>102</Paragraphs>
  <TotalTime>5</TotalTime>
  <ScaleCrop>false</ScaleCrop>
  <LinksUpToDate>false</LinksUpToDate>
  <CharactersWithSpaces>48538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2023-11-30T00:46:00Z</dcterms:created>
  <dc:creator>asus</dc:creator>
  <cp:lastModifiedBy>姚杰远</cp:lastModifiedBy>
  <cp:lastPrinted>2024-01-15T02:58:00Z</cp:lastPrinted>
  <dcterms:modified xsi:type="dcterms:W3CDTF">2024-03-07T07:13:51Z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6B5F694D9A064CA0A56C360A0F9139BC_13</vt:lpwstr>
  </property>
</Properties>
</file>