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子弟学校智慧黑板采购(二次)</w:t>
      </w:r>
    </w:p>
    <w:p>
      <w:pPr>
        <w:pStyle w:val="null3"/>
        <w:jc w:val="center"/>
        <w:outlineLvl w:val="2"/>
      </w:pPr>
      <w:r>
        <w:rPr>
          <w:b/>
          <w:sz w:val="28"/>
        </w:rPr>
        <w:t>采购项目编号：</w:t>
      </w:r>
      <w:r>
        <w:rPr>
          <w:b/>
          <w:sz w:val="28"/>
        </w:rPr>
        <w:t>HXGJXM2024-ZC-GK1003</w:t>
      </w:r>
      <w:r>
        <w:br/>
      </w:r>
      <w:r>
        <w:br/>
      </w:r>
      <w:r>
        <w:br/>
      </w:r>
    </w:p>
    <w:p>
      <w:pPr>
        <w:pStyle w:val="null3"/>
        <w:jc w:val="center"/>
        <w:outlineLvl w:val="2"/>
      </w:pPr>
      <w:r>
        <w:rPr>
          <w:b/>
          <w:sz w:val="28"/>
        </w:rPr>
        <w:t>西安理工大学</w:t>
      </w:r>
    </w:p>
    <w:p>
      <w:pPr>
        <w:pStyle w:val="null3"/>
        <w:jc w:val="center"/>
        <w:outlineLvl w:val="2"/>
      </w:pPr>
      <w:r>
        <w:rPr>
          <w:b/>
          <w:sz w:val="28"/>
        </w:rPr>
        <w:t>华夏国际项目管理有限公司</w:t>
      </w:r>
      <w:r>
        <w:rPr>
          <w:b/>
          <w:sz w:val="28"/>
        </w:rPr>
        <w:t>共同编制</w:t>
      </w:r>
    </w:p>
    <w:p>
      <w:pPr>
        <w:pStyle w:val="null3"/>
        <w:jc w:val="center"/>
        <w:outlineLvl w:val="2"/>
      </w:pPr>
      <w:r>
        <w:rPr>
          <w:b/>
          <w:sz w:val="28"/>
        </w:rPr>
        <w:t>2024年03月28日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华夏国际项目管理有限公司</w:t>
      </w:r>
      <w:r>
        <w:rPr/>
        <w:t>（以下简称“代理机构”）受</w:t>
      </w:r>
      <w:r>
        <w:rPr/>
        <w:t>西安理工大学</w:t>
      </w:r>
      <w:r>
        <w:rPr/>
        <w:t>委托，拟对</w:t>
      </w:r>
      <w:r>
        <w:rPr/>
        <w:t>子弟学校智慧黑板采购(二次)</w:t>
      </w:r>
      <w:r>
        <w:rPr/>
        <w:t>进行国内公开招标，兹邀请符合本次招标要求的供应商参加投标。</w:t>
      </w:r>
    </w:p>
    <w:p>
      <w:pPr>
        <w:pStyle w:val="null3"/>
        <w:outlineLvl w:val="2"/>
      </w:pPr>
      <w:r>
        <w:rPr>
          <w:b/>
          <w:sz w:val="28"/>
        </w:rPr>
        <w:t>一、采购项目编号：</w:t>
      </w:r>
      <w:r>
        <w:rPr>
          <w:b/>
          <w:sz w:val="28"/>
        </w:rPr>
        <w:t>HXGJXM2024-ZC-GK1003</w:t>
      </w:r>
    </w:p>
    <w:p>
      <w:pPr>
        <w:pStyle w:val="null3"/>
        <w:outlineLvl w:val="2"/>
      </w:pPr>
      <w:r>
        <w:rPr>
          <w:b/>
          <w:sz w:val="28"/>
        </w:rPr>
        <w:t>二、采购项目名称：</w:t>
      </w:r>
      <w:r>
        <w:rPr>
          <w:b/>
          <w:sz w:val="28"/>
        </w:rPr>
        <w:t>子弟学校智慧黑板采购(二次)</w:t>
      </w:r>
    </w:p>
    <w:p>
      <w:pPr>
        <w:pStyle w:val="null3"/>
        <w:outlineLvl w:val="2"/>
      </w:pPr>
      <w:r>
        <w:rPr>
          <w:b/>
          <w:sz w:val="28"/>
        </w:rPr>
        <w:t>三、招标项目简介</w:t>
      </w:r>
    </w:p>
    <w:p>
      <w:pPr>
        <w:pStyle w:val="null3"/>
        <w:ind w:firstLine="480"/>
      </w:pPr>
      <w:r>
        <w:rPr/>
        <w:t>1.智慧黑板及配套设备采购，本项目核心产品：智慧黑板。 2.质保期：此项目采购的产品需保证质保期不少于三年。 3.服务期限：产品终身维修，质保期满后，仍需提供专业维修服务，投标人在投标文件中需注明维修服务单项报价。 4.服务响应时间：接到维修电话后立即响应，30分钟内给予明确答复，4小时内到达现场维修。维修人员到现场后若问题特殊无法现场修复的，供货方需在24小时内提供备用设备，确保甲方正常教学工作。 5.其他内容 ①原有设备的拆除、搬运、垃圾的清理； ②墙面恢复；8平米，底层采用欧松九厘板打底、饰面采用3毫米环保木质饰面板，收口条采用1.2毫米拉丝不锈钢； ③强弱电改造；教室的综合布线采用六类非屏蔽网线，从教室入户端口水平接入智慧黑板网络模块端口；教室强电采用BV2.5三芯电源线从教室入户电源接口处水平接入智慧黑板电源接口，在教室电源入口处安装2p16安空开及 安装盒。</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 法定代表人身份证明/法定代表人授权书 ：法定代表人授权书 (附法定代表人、被授权人身份证复印件) ； 法定代表人直接参加投标，须提供法定代表人身份证明 ；</w:t>
      </w:r>
    </w:p>
    <w:p>
      <w:pPr>
        <w:pStyle w:val="null3"/>
      </w:pPr>
      <w:r>
        <w:rPr/>
        <w:t>2、 信用记录 ：供应商未被“信用中国”网站 (https://www.creditchina.gov.cn/) 列入失信被执行人和重大税收违法 失信主体，未被中国政府采购网 (http://www.ccgp.gov.cn/) 列入政府采购严重违法失信行为记录 名单。</w:t>
      </w:r>
    </w:p>
    <w:p>
      <w:pPr>
        <w:pStyle w:val="null3"/>
      </w:pPr>
      <w:r>
        <w:rPr/>
        <w:t>3、投标保证金 ：投标保证金缴纳凭证或担保机构出具的保函；</w:t>
      </w:r>
    </w:p>
    <w:p>
      <w:pPr>
        <w:pStyle w:val="null3"/>
      </w:pPr>
      <w:r>
        <w:rPr/>
        <w:t>4、非联合体：本项目不接受联合体投标</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西安理工大学</w:t>
      </w:r>
    </w:p>
    <w:p>
      <w:pPr>
        <w:pStyle w:val="null3"/>
      </w:pPr>
      <w:r>
        <w:rPr/>
        <w:t xml:space="preserve"> 地址： </w:t>
      </w:r>
      <w:r>
        <w:rPr/>
        <w:t>西安市金花南路5号</w:t>
      </w:r>
    </w:p>
    <w:p>
      <w:pPr>
        <w:pStyle w:val="null3"/>
      </w:pPr>
      <w:r>
        <w:rPr/>
        <w:t xml:space="preserve"> 邮编： </w:t>
      </w:r>
      <w:r>
        <w:rPr/>
        <w:t>710048</w:t>
      </w:r>
    </w:p>
    <w:p>
      <w:pPr>
        <w:pStyle w:val="null3"/>
      </w:pPr>
      <w:r>
        <w:rPr/>
        <w:t xml:space="preserve"> 联系人： </w:t>
      </w:r>
      <w:r>
        <w:rPr/>
        <w:t>西安理工大学经办</w:t>
      </w:r>
    </w:p>
    <w:p>
      <w:pPr>
        <w:pStyle w:val="null3"/>
      </w:pPr>
      <w:r>
        <w:rPr/>
        <w:t xml:space="preserve"> 联系电话： </w:t>
      </w:r>
      <w:r>
        <w:rPr/>
        <w:t>02961125883</w:t>
      </w:r>
    </w:p>
    <w:p>
      <w:pPr>
        <w:pStyle w:val="null3"/>
        <w:outlineLvl w:val="2"/>
      </w:pPr>
      <w:r>
        <w:rPr>
          <w:b/>
          <w:sz w:val="28"/>
        </w:rPr>
        <w:t>代理机构：</w:t>
      </w:r>
      <w:r>
        <w:rPr>
          <w:b/>
          <w:sz w:val="28"/>
        </w:rPr>
        <w:t>华夏国际项目管理有限公司</w:t>
      </w:r>
    </w:p>
    <w:p>
      <w:pPr>
        <w:pStyle w:val="null3"/>
      </w:pPr>
      <w:r>
        <w:rPr/>
        <w:t xml:space="preserve"> 地址： </w:t>
      </w:r>
      <w:r>
        <w:rPr/>
        <w:t xml:space="preserve"> 西安市高新区科技五路8号数字大厦4楼</w:t>
      </w:r>
    </w:p>
    <w:p>
      <w:pPr>
        <w:pStyle w:val="null3"/>
      </w:pPr>
      <w:r>
        <w:rPr/>
        <w:t xml:space="preserve"> 邮编： </w:t>
      </w:r>
      <w:r>
        <w:rPr/>
        <w:t>710065</w:t>
      </w:r>
    </w:p>
    <w:p>
      <w:pPr>
        <w:pStyle w:val="null3"/>
      </w:pPr>
      <w:r>
        <w:rPr/>
        <w:t xml:space="preserve"> 联系人： </w:t>
      </w:r>
      <w:r>
        <w:rPr/>
        <w:t>段晓琳、张艳萍、康敏茹、张宝育</w:t>
      </w:r>
    </w:p>
    <w:p>
      <w:pPr>
        <w:pStyle w:val="null3"/>
      </w:pPr>
      <w:r>
        <w:rPr/>
        <w:t xml:space="preserve"> 联系电话： </w:t>
      </w:r>
      <w:r>
        <w:rPr/>
        <w:t xml:space="preserve"> 029-88899970-816</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采购包1：1,681,000.00元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开户名称：华夏国际项目管理有限公司</w:t>
            </w:r>
          </w:p>
          <w:p>
            <w:pPr>
              <w:pStyle w:val="null3"/>
            </w:pPr>
            <w:r>
              <w:rPr/>
              <w:t>开户银行：工行西安城南科技支行</w:t>
            </w:r>
          </w:p>
          <w:p>
            <w:pPr>
              <w:pStyle w:val="null3"/>
            </w:pPr>
            <w:r>
              <w:rPr/>
              <w:t>银行账号：3700024819200130193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 (计价格[2002]1980号) 和国家发展改革委员会办公厅颁发的《关于招标代理服务收费有关问题的通知》(发改办价格[2003]857号) 的有关规定下浮20%执行。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踏勘时间：2024-04-16 10:00:00</w:t>
            </w:r>
          </w:p>
          <w:p>
            <w:pPr>
              <w:pStyle w:val="null3"/>
              <w:ind w:firstLine="975"/>
            </w:pPr>
            <w:r>
              <w:rPr/>
              <w:t>踏勘地点：西安市金花南路5号西安理工大学附属中（小）学</w:t>
            </w:r>
          </w:p>
          <w:p>
            <w:pPr>
              <w:pStyle w:val="null3"/>
              <w:ind w:firstLine="975"/>
            </w:pPr>
            <w:r>
              <w:rPr/>
              <w:t>联系人：贺平</w:t>
            </w:r>
          </w:p>
          <w:p>
            <w:pPr>
              <w:pStyle w:val="null3"/>
              <w:ind w:firstLine="975"/>
            </w:pPr>
            <w:r>
              <w:rPr/>
              <w:t>联系电话号码：13572822001</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西安理工大学</w:t>
      </w:r>
      <w:r>
        <w:rPr/>
        <w:t>和</w:t>
      </w:r>
      <w:r>
        <w:rPr/>
        <w:t>华夏国际项目管理有限公司</w:t>
      </w:r>
      <w:r>
        <w:rPr/>
        <w:t>享有。对招标文件中供应商参加本次政府采购活动应当具备的条件，招标项目技术、服务、商务及其他要求，评标细则及标准由</w:t>
      </w:r>
      <w:r>
        <w:rPr/>
        <w:t>西安理工大学</w:t>
      </w:r>
      <w:r>
        <w:rPr/>
        <w:t>负责解释。除上述招标文件内容，其他内容由</w:t>
      </w:r>
      <w:r>
        <w:rPr/>
        <w:t>华夏国际项目管理有限公司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西安理工大学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按招标文件技术要求、供方投标文件以及相关国家标准。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联系人：段晓琳、张艳萍、康敏茹、张宝育</w:t>
      </w:r>
    </w:p>
    <w:p>
      <w:pPr>
        <w:pStyle w:val="null3"/>
      </w:pPr>
      <w:r>
        <w:rPr/>
        <w:t>联系电话：029-88899970/72/73/75-816</w:t>
      </w:r>
    </w:p>
    <w:p>
      <w:pPr>
        <w:pStyle w:val="null3"/>
      </w:pPr>
      <w:r>
        <w:rPr/>
        <w:t>地址：西安市高新区科技五路8号数字大厦4楼</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rFonts w:ascii="verdana" w:hAnsi="verdana" w:cs="verdana" w:eastAsia="verdana"/>
          <w:color w:val="000000"/>
          <w:sz w:val="24"/>
        </w:rPr>
        <w:t>3.1.1</w:t>
      </w:r>
      <w:r>
        <w:rPr>
          <w:rFonts w:ascii="verdana" w:hAnsi="verdana" w:cs="verdana" w:eastAsia="verdana"/>
          <w:color w:val="000000"/>
          <w:sz w:val="24"/>
        </w:rPr>
        <w:t>采购内容：</w:t>
      </w:r>
      <w:r>
        <w:rPr>
          <w:rFonts w:ascii="verdana" w:hAnsi="verdana" w:cs="verdana" w:eastAsia="verdana"/>
          <w:color w:val="000000"/>
          <w:sz w:val="24"/>
        </w:rPr>
        <w:t>智慧</w:t>
      </w:r>
      <w:r>
        <w:rPr>
          <w:rFonts w:ascii="verdana" w:hAnsi="verdana" w:cs="verdana" w:eastAsia="verdana"/>
          <w:color w:val="000000"/>
          <w:sz w:val="24"/>
        </w:rPr>
        <w:t>黑板及其</w:t>
      </w:r>
      <w:r>
        <w:rPr>
          <w:rFonts w:ascii="verdana" w:hAnsi="verdana" w:cs="verdana" w:eastAsia="verdana"/>
          <w:color w:val="000000"/>
          <w:sz w:val="24"/>
        </w:rPr>
        <w:t>他</w:t>
      </w:r>
      <w:r>
        <w:rPr>
          <w:rFonts w:ascii="verdana" w:hAnsi="verdana" w:cs="verdana" w:eastAsia="verdana"/>
          <w:color w:val="000000"/>
          <w:sz w:val="24"/>
        </w:rPr>
        <w:t>设备</w:t>
      </w:r>
    </w:p>
    <w:p>
      <w:pPr>
        <w:pStyle w:val="null3"/>
        <w:ind w:firstLine="488"/>
        <w:jc w:val="left"/>
      </w:pPr>
      <w:r>
        <w:rPr>
          <w:rFonts w:ascii="verdana" w:hAnsi="verdana" w:cs="verdana" w:eastAsia="verdana"/>
          <w:color w:val="000000"/>
          <w:sz w:val="24"/>
        </w:rPr>
        <w:t>3.1.2</w:t>
      </w:r>
      <w:r>
        <w:rPr>
          <w:rFonts w:ascii="verdana" w:hAnsi="verdana" w:cs="verdana" w:eastAsia="verdana"/>
          <w:color w:val="000000"/>
          <w:sz w:val="24"/>
        </w:rPr>
        <w:t>核心产品：智慧黑板</w:t>
      </w:r>
    </w:p>
    <w:p>
      <w:pPr>
        <w:pStyle w:val="null3"/>
        <w:ind w:firstLine="488"/>
        <w:jc w:val="left"/>
      </w:pPr>
      <w:r>
        <w:rPr>
          <w:rFonts w:ascii="verdana" w:hAnsi="verdana" w:cs="verdana" w:eastAsia="verdana"/>
          <w:color w:val="000000"/>
          <w:sz w:val="24"/>
        </w:rPr>
        <w:t>3.1.3</w:t>
      </w:r>
      <w:r>
        <w:rPr>
          <w:rFonts w:ascii="verdana" w:hAnsi="verdana" w:cs="verdana" w:eastAsia="verdana"/>
          <w:color w:val="000000"/>
          <w:sz w:val="24"/>
        </w:rPr>
        <w:t>服务要求：</w:t>
      </w:r>
    </w:p>
    <w:p>
      <w:pPr>
        <w:pStyle w:val="null3"/>
        <w:ind w:firstLine="488"/>
        <w:jc w:val="left"/>
      </w:pPr>
      <w:r>
        <w:rPr>
          <w:rFonts w:ascii="verdana" w:hAnsi="verdana" w:cs="verdana" w:eastAsia="verdana"/>
          <w:color w:val="000000"/>
          <w:sz w:val="24"/>
        </w:rPr>
        <w:t>（1）</w:t>
      </w:r>
      <w:r>
        <w:rPr>
          <w:rFonts w:ascii="verdana" w:hAnsi="verdana" w:cs="verdana" w:eastAsia="verdana"/>
          <w:color w:val="000000"/>
          <w:sz w:val="24"/>
        </w:rPr>
        <w:t>质保期：货物自验收合格之日起，提供3年的原厂质保， 3年7×24免费上门服务。在质保期内因货物本身的质量问题，乙方(供货方)负责免费修理、更换零部件或退换，并须对货物出现的有关技术性问题或安全问题负责处理、解决。</w:t>
      </w:r>
    </w:p>
    <w:p>
      <w:pPr>
        <w:pStyle w:val="null3"/>
        <w:ind w:firstLine="488"/>
        <w:jc w:val="left"/>
      </w:pPr>
      <w:r>
        <w:rPr>
          <w:rFonts w:ascii="verdana" w:hAnsi="verdana" w:cs="verdana" w:eastAsia="verdana"/>
          <w:color w:val="000000"/>
          <w:sz w:val="24"/>
        </w:rPr>
        <w:t>（2）</w:t>
      </w:r>
      <w:r>
        <w:rPr>
          <w:rFonts w:ascii="verdana" w:hAnsi="verdana" w:cs="verdana" w:eastAsia="verdana"/>
          <w:color w:val="000000"/>
          <w:sz w:val="24"/>
        </w:rPr>
        <w:t>服务期限：产品终身维修，质保期满后，仍需提供专业维修服务，投标人在投标文件中需注明维修服务单项报价。</w:t>
      </w:r>
    </w:p>
    <w:p>
      <w:pPr>
        <w:pStyle w:val="null3"/>
        <w:ind w:firstLine="488"/>
        <w:jc w:val="left"/>
      </w:pPr>
      <w:r>
        <w:rPr>
          <w:rFonts w:ascii="verdana" w:hAnsi="verdana" w:cs="verdana" w:eastAsia="verdana"/>
          <w:color w:val="000000"/>
          <w:sz w:val="24"/>
        </w:rPr>
        <w:t>（</w:t>
      </w:r>
      <w:r>
        <w:rPr>
          <w:rFonts w:ascii="verdana" w:hAnsi="verdana" w:cs="verdana" w:eastAsia="verdana"/>
          <w:color w:val="000000"/>
          <w:sz w:val="24"/>
        </w:rPr>
        <w:t>3</w:t>
      </w:r>
      <w:r>
        <w:rPr>
          <w:rFonts w:ascii="verdana" w:hAnsi="verdana" w:cs="verdana" w:eastAsia="verdana"/>
          <w:color w:val="000000"/>
          <w:sz w:val="24"/>
        </w:rPr>
        <w:t>）</w:t>
      </w:r>
      <w:r>
        <w:rPr>
          <w:rFonts w:ascii="verdana" w:hAnsi="verdana" w:cs="verdana" w:eastAsia="verdana"/>
          <w:color w:val="000000"/>
          <w:sz w:val="24"/>
        </w:rPr>
        <w:t>服务响应时间：接到维修电话后立即响应，30分钟内给予明确答复，4小时内到达现场维修。维修人员到现场后若问题特殊无法现场修复的，供货方需在24小时内提供备用设备，确保甲方正常教学工作。</w:t>
      </w:r>
    </w:p>
    <w:p>
      <w:pPr>
        <w:pStyle w:val="null3"/>
        <w:ind w:firstLine="488"/>
        <w:jc w:val="left"/>
      </w:pPr>
      <w:r>
        <w:rPr>
          <w:rFonts w:ascii="verdana" w:hAnsi="verdana" w:cs="verdana" w:eastAsia="verdana"/>
          <w:color w:val="000000"/>
          <w:sz w:val="24"/>
        </w:rPr>
        <w:t>（4）</w:t>
      </w:r>
      <w:r>
        <w:rPr>
          <w:rFonts w:ascii="verdana" w:hAnsi="verdana" w:cs="verdana" w:eastAsia="verdana"/>
          <w:color w:val="000000"/>
          <w:sz w:val="24"/>
        </w:rPr>
        <w:t>其他内容</w:t>
      </w:r>
    </w:p>
    <w:p>
      <w:pPr>
        <w:pStyle w:val="null3"/>
        <w:ind w:firstLine="488"/>
        <w:jc w:val="left"/>
      </w:pPr>
      <w:r>
        <w:rPr>
          <w:rFonts w:ascii="宋体" w:hAnsi="宋体" w:cs="宋体" w:eastAsia="宋体"/>
          <w:sz w:val="24"/>
        </w:rPr>
        <w:t>①原有41台设备的拆除、搬运、垃圾的清理；</w:t>
      </w:r>
    </w:p>
    <w:p>
      <w:pPr>
        <w:pStyle w:val="null3"/>
        <w:ind w:firstLine="420"/>
        <w:jc w:val="both"/>
      </w:pPr>
      <w:r>
        <w:rPr>
          <w:rFonts w:ascii="宋体" w:hAnsi="宋体" w:cs="宋体" w:eastAsia="宋体"/>
          <w:sz w:val="24"/>
        </w:rPr>
        <w:t>②墙面恢复共计</w:t>
      </w:r>
      <w:r>
        <w:rPr>
          <w:rFonts w:ascii="calibri" w:hAnsi="calibri" w:cs="calibri" w:eastAsia="calibri"/>
          <w:sz w:val="24"/>
        </w:rPr>
        <w:t>328</w:t>
      </w:r>
      <w:r>
        <w:rPr>
          <w:rFonts w:ascii="宋体" w:hAnsi="宋体" w:cs="宋体" w:eastAsia="宋体"/>
          <w:sz w:val="24"/>
        </w:rPr>
        <w:t>平米</w:t>
      </w:r>
      <w:r>
        <w:rPr>
          <w:rFonts w:ascii="calibri" w:hAnsi="calibri" w:cs="calibri" w:eastAsia="calibri"/>
          <w:sz w:val="24"/>
        </w:rPr>
        <w:t>(8</w:t>
      </w:r>
      <w:r>
        <w:rPr>
          <w:rFonts w:ascii="宋体" w:hAnsi="宋体" w:cs="宋体" w:eastAsia="宋体"/>
          <w:sz w:val="24"/>
        </w:rPr>
        <w:t>平米</w:t>
      </w:r>
      <w:r>
        <w:rPr>
          <w:rFonts w:ascii="calibri" w:hAnsi="calibri" w:cs="calibri" w:eastAsia="calibri"/>
          <w:sz w:val="24"/>
        </w:rPr>
        <w:t>/</w:t>
      </w:r>
      <w:r>
        <w:rPr>
          <w:rFonts w:ascii="宋体" w:hAnsi="宋体" w:cs="宋体" w:eastAsia="宋体"/>
          <w:sz w:val="24"/>
        </w:rPr>
        <w:t>个教室）</w:t>
      </w:r>
      <w:r>
        <w:rPr>
          <w:rFonts w:ascii="宋体" w:hAnsi="宋体" w:cs="宋体" w:eastAsia="宋体"/>
          <w:sz w:val="24"/>
        </w:rPr>
        <w:t>，底层采用欧松九厘板打底、饰面采用</w:t>
      </w:r>
      <w:r>
        <w:rPr>
          <w:rFonts w:ascii="calibri" w:hAnsi="calibri" w:cs="calibri" w:eastAsia="calibri"/>
          <w:sz w:val="24"/>
        </w:rPr>
        <w:t>3</w:t>
      </w:r>
      <w:r>
        <w:rPr>
          <w:rFonts w:ascii="宋体" w:hAnsi="宋体" w:cs="宋体" w:eastAsia="宋体"/>
          <w:sz w:val="24"/>
        </w:rPr>
        <w:t>毫米环保木质饰面板，收口条采用</w:t>
      </w:r>
      <w:r>
        <w:rPr>
          <w:rFonts w:ascii="calibri" w:hAnsi="calibri" w:cs="calibri" w:eastAsia="calibri"/>
          <w:sz w:val="24"/>
        </w:rPr>
        <w:t>1.2</w:t>
      </w:r>
      <w:r>
        <w:rPr>
          <w:rFonts w:ascii="宋体" w:hAnsi="宋体" w:cs="宋体" w:eastAsia="宋体"/>
          <w:sz w:val="24"/>
        </w:rPr>
        <w:t>毫米拉丝不锈钢；</w:t>
      </w:r>
    </w:p>
    <w:p>
      <w:pPr>
        <w:pStyle w:val="null3"/>
        <w:ind w:firstLine="420"/>
        <w:jc w:val="both"/>
      </w:pPr>
      <w:r>
        <w:rPr>
          <w:rFonts w:ascii="宋体" w:hAnsi="宋体" w:cs="宋体" w:eastAsia="宋体"/>
          <w:sz w:val="24"/>
        </w:rPr>
        <w:t>③强弱电改造；教室的综合布线采用六类非屏蔽网线，从教室入户端口水平接入智慧黑板网络模块端口；教室强电采用BV2.5三芯电源线从教室入户电源接口处水平接入智慧黑板电源接口，在教室电源入口处安装2p16安空开及安装盒。</w:t>
      </w:r>
    </w:p>
    <w:p>
      <w:pPr>
        <w:pStyle w:val="null3"/>
        <w:ind w:firstLine="488"/>
        <w:jc w:val="left"/>
        <w:outlineLvl w:val="2"/>
      </w:pPr>
      <w:r>
        <w:rPr>
          <w:b/>
          <w:sz w:val="28"/>
        </w:rPr>
        <w:t>3.2采购内容</w:t>
      </w:r>
    </w:p>
    <w:p>
      <w:pPr>
        <w:pStyle w:val="null3"/>
      </w:pPr>
      <w:r>
        <w:rPr/>
        <w:t>采购包1：</w:t>
      </w:r>
    </w:p>
    <w:p>
      <w:pPr>
        <w:pStyle w:val="null3"/>
      </w:pPr>
      <w:r>
        <w:rPr/>
        <w:t>采购包预算金额（元）: 1,681,000.00</w:t>
      </w:r>
    </w:p>
    <w:p>
      <w:pPr>
        <w:pStyle w:val="null3"/>
      </w:pPr>
      <w:r>
        <w:rPr/>
        <w:t>采购包最高限价（元）: 1,681,000.00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子弟学校智慧黑板系统软件白板软件等</w:t>
            </w:r>
          </w:p>
        </w:tc>
        <w:tc>
          <w:tcPr>
            <w:tcW w:type="dxa" w:w="831"/>
          </w:tcPr>
          <w:p>
            <w:pPr>
              <w:pStyle w:val="null3"/>
              <w:jc w:val="right"/>
            </w:pPr>
            <w:r>
              <w:rPr/>
              <w:t>1.00</w:t>
            </w:r>
          </w:p>
        </w:tc>
        <w:tc>
          <w:tcPr>
            <w:tcW w:type="dxa" w:w="831"/>
          </w:tcPr>
          <w:p>
            <w:pPr>
              <w:pStyle w:val="null3"/>
              <w:jc w:val="right"/>
            </w:pPr>
            <w:r>
              <w:rPr/>
              <w:t>1,681,000.00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标的名称：子弟学校智慧黑板系统软件白板软件等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智慧黑板（41套，核心产品，所属行业：工业）</w:t>
            </w:r>
            <w:r>
              <w:br/>
            </w:r>
            <w:r>
              <w:rPr/>
              <w:t xml:space="preserve"> 1.整机尺寸：宽度≥4200mm,高度≥1200mm，厚度≤100mm。采用全金属外壳，三拼接平面一体化设计，背板采用金属材质。无推拉式结构，外部无任何可见内部功能模块连接线。</w:t>
            </w:r>
            <w:r>
              <w:br/>
            </w:r>
            <w:r>
              <w:rPr/>
              <w:t xml:space="preserve"> 2.屏幕采用≥86英寸LED液晶屏，显示比例16:9，屏幕分辨率≥3840*2160。</w:t>
            </w:r>
            <w:r>
              <w:br/>
            </w:r>
            <w:r>
              <w:rPr/>
              <w:t xml:space="preserve"> 3.中间主屏及两侧副屏支持多种粉笔进行板书书写。</w:t>
            </w:r>
            <w:r>
              <w:br/>
            </w:r>
            <w:r>
              <w:rPr/>
              <w:t xml:space="preserve"> 4.▲内置非独立的高清摄像头，支持远程巡课应用、二维码扫码功能，可AI识别人像，人像识别距离≥10米，可拍摄≥1600万像素的照片，支持画面畸变矫正功能，可同时输出至少3路视频流，同时支持课堂远程巡课、课堂教学数据采集、本地画面预览，对角角度≥135°。</w:t>
            </w:r>
            <w:r>
              <w:br/>
            </w:r>
            <w:r>
              <w:rPr/>
              <w:t xml:space="preserve"> 5.▲内置非独立外扩展麦克风，可用于对教室环境音频进行采集，麦克风拾音距离≥10m。</w:t>
            </w:r>
            <w:r>
              <w:br/>
            </w:r>
            <w:r>
              <w:rPr/>
              <w:t xml:space="preserve"> 6.▲支持纸质护眼模式，同时支持色温调节和透明度调节。</w:t>
            </w:r>
            <w:r>
              <w:br/>
            </w:r>
            <w:r>
              <w:rPr/>
              <w:t xml:space="preserve"> 7.▲Wi-Fi制式支持IEEE802.11a/b/g/n/ac/ax；支持版本Wi-Fi6。</w:t>
            </w:r>
            <w:r>
              <w:br/>
            </w:r>
            <w:r>
              <w:rPr/>
              <w:t xml:space="preserve"> 8.支持蓝牙Bluetooth5.4标准。</w:t>
            </w:r>
            <w:r>
              <w:br/>
            </w:r>
            <w:r>
              <w:rPr/>
              <w:t xml:space="preserve"> 9.▲采用抽拉内置式模块化电脑，抽拉内置式，PC模块可插入整机，可实现无单独接线的插拔。按压式卡扣拆卸。</w:t>
            </w:r>
            <w:r>
              <w:br/>
            </w:r>
            <w:r>
              <w:rPr/>
              <w:t xml:space="preserve"> 10.▲搭载≥Intel 12代酷睿i5或以上配置CPU。内存：≥8GB DDR4笔记本内存。硬盘：≥256 GB SSD固态硬盘。</w:t>
            </w:r>
            <w:r>
              <w:br/>
            </w:r>
            <w:r>
              <w:rPr/>
              <w:t xml:space="preserve"> 11.系统版本不低于Android 13.0。</w:t>
            </w:r>
          </w:p>
        </w:tc>
      </w:tr>
      <w:tr>
        <w:tc>
          <w:tcPr>
            <w:tcW w:type="dxa" w:w="2769"/>
          </w:tcPr>
          <w:p/>
        </w:tc>
        <w:tc>
          <w:tcPr>
            <w:tcW w:type="dxa" w:w="2769"/>
          </w:tcPr>
          <w:p>
            <w:pPr>
              <w:pStyle w:val="null3"/>
            </w:pPr>
            <w:r>
              <w:rPr/>
              <w:t>2</w:t>
            </w:r>
          </w:p>
        </w:tc>
        <w:tc>
          <w:tcPr>
            <w:tcW w:type="dxa" w:w="2769"/>
          </w:tcPr>
          <w:p>
            <w:pPr>
              <w:pStyle w:val="null3"/>
            </w:pPr>
            <w:r>
              <w:rPr/>
              <w:t>白板软件（41套）</w:t>
            </w:r>
            <w:r>
              <w:br/>
            </w:r>
            <w:r>
              <w:rPr/>
              <w:t xml:space="preserve"> 12.采用备授课一体化框架设计，教师可根据教学场景自由切换类PPT界面的备课模式与触控交互教学模式。</w:t>
            </w:r>
            <w:r>
              <w:br/>
            </w:r>
            <w:r>
              <w:rPr/>
              <w:t xml:space="preserve"> 13.根据教师使用时长与教学资料制作频率提供可扩展升级至≥20TB的云空间。</w:t>
            </w:r>
            <w:r>
              <w:br/>
            </w:r>
            <w:r>
              <w:rPr/>
              <w:t xml:space="preserve"> 14.▲集体备课：支持在备课平台创建集体备课活动，老师可以针对课件、教案进行批注和研讨。主备人可多次修改稿件后上传，具备稿件版本对比功能。支持数据统计和访问记录查看。</w:t>
            </w:r>
            <w:r>
              <w:br/>
            </w:r>
            <w:r>
              <w:rPr/>
              <w:t xml:space="preserve"> 15.AI智能纠错：软件内置的AI智能语义分析模块，可对输入的英文文本的拼写、句型、语法进行错误检查，并支持一键纠错。</w:t>
            </w:r>
          </w:p>
        </w:tc>
      </w:tr>
      <w:tr>
        <w:tc>
          <w:tcPr>
            <w:tcW w:type="dxa" w:w="2769"/>
          </w:tcPr>
          <w:p/>
        </w:tc>
        <w:tc>
          <w:tcPr>
            <w:tcW w:type="dxa" w:w="2769"/>
          </w:tcPr>
          <w:p>
            <w:pPr>
              <w:pStyle w:val="null3"/>
            </w:pPr>
            <w:r>
              <w:rPr/>
              <w:t>3</w:t>
            </w:r>
          </w:p>
        </w:tc>
        <w:tc>
          <w:tcPr>
            <w:tcW w:type="dxa" w:w="2769"/>
          </w:tcPr>
          <w:p>
            <w:pPr>
              <w:pStyle w:val="null3"/>
            </w:pPr>
            <w:r>
              <w:rPr/>
              <w:t>仿真实验（41套）</w:t>
            </w:r>
            <w:r>
              <w:br/>
            </w:r>
            <w:r>
              <w:rPr/>
              <w:t xml:space="preserve"> 16.所有实验内容都可以支持在实验操作的过程中查看具体的实验内容简介，可查看的内容简介至少应包含：实验目的、实验器材、实验步骤等，方便老师在使用中快速了解具体实验内容，提高老师课堂教学效率。</w:t>
            </w:r>
            <w:r>
              <w:br/>
            </w:r>
            <w:r>
              <w:rPr/>
              <w:t xml:space="preserve"> 17.所有学科软件要求提供的实验内容模块需根据知识点分类。物理需包含：声现象、光学、电学、力学、能量；化学需包含：化学基本概念与原理、身边的化学物质、化学实验、化学计算、化学与社会发展；生物需包含：生物与细胞、生物圈中的人、生物圈中的其他生物、生物圈中的绿色植物、健康地生活、生物与生物圈、生物圈中的生命的延续。</w:t>
            </w:r>
            <w:r>
              <w:br/>
            </w:r>
            <w:r>
              <w:rPr/>
              <w:t xml:space="preserve"> 18.所有学科软件要求至少包含实验：托里拆利实验、空气推动塞子时，内能减少、通电螺线管的磁场是什么样的、聚乙烯塑料的热塑性、测定空气中的氧气含量、一氧化碳与氧化铁的反应、氧气的实验室制取和性质、模拟膈肌的运动、膝跳反射、非生物因素对某种动物的影响、观察鸡卵的结构。</w:t>
            </w:r>
            <w:r>
              <w:br/>
            </w:r>
            <w:r>
              <w:rPr/>
              <w:t xml:space="preserve"> 19.软件要求对于理科学习中较为抽象的实验原理提供可视化展示，物理中如电流的方向、力的方向、磁场电场等，化学中如：反应装置中物质的量的变化、分子运动的模拟、正在发生的化学反应方程式等。生物中如：人体生理运动中多个器官的同步运动现象等。</w:t>
            </w:r>
            <w:r>
              <w:br/>
            </w:r>
            <w:r>
              <w:rPr/>
              <w:t xml:space="preserve"> 20.软件要求提供的实验资源需提供动手分步操作的互动探究实验资源，根据不同的实验操作动作，同步显示对应实验现象，操作错误时应有损坏现象，并提供操作提示。实验内容可实现对实验模型进行点选、拖拽、移动等一系列深度交互操作，并使用实验器材进行实验。所有设计的实验器材操作与真实实验器材结构和功能一样，操作逻辑须一致，所有实验步骤和真实实验相同，杜绝下一步、下一步的计算机点击式操作逻辑。</w:t>
            </w:r>
          </w:p>
        </w:tc>
      </w:tr>
      <w:tr>
        <w:tc>
          <w:tcPr>
            <w:tcW w:type="dxa" w:w="2769"/>
          </w:tcPr>
          <w:p/>
        </w:tc>
        <w:tc>
          <w:tcPr>
            <w:tcW w:type="dxa" w:w="2769"/>
          </w:tcPr>
          <w:p>
            <w:pPr>
              <w:pStyle w:val="null3"/>
            </w:pPr>
            <w:r>
              <w:rPr/>
              <w:t>4</w:t>
            </w:r>
          </w:p>
        </w:tc>
        <w:tc>
          <w:tcPr>
            <w:tcW w:type="dxa" w:w="2769"/>
          </w:tcPr>
          <w:p>
            <w:pPr>
              <w:pStyle w:val="null3"/>
            </w:pPr>
            <w:r>
              <w:rPr/>
              <w:t>教学数据分析管理平台（41套）</w:t>
            </w:r>
            <w:r>
              <w:br/>
            </w:r>
            <w:r>
              <w:rPr/>
              <w:t xml:space="preserve"> 21.采用B/S架构，支持学校管理者在Windows、Linux、Android、IOS等多种不同的操作系统上通过网页浏览器登陆进行操作，可统计全校教师软件活跃数据、学生点评及课件上传等数据。</w:t>
            </w:r>
            <w:r>
              <w:br/>
            </w:r>
            <w:r>
              <w:rPr/>
              <w:t xml:space="preserve"> 22.支持管理员及教师使用网页端、移动端登录，移动端支持查看网页端数据信息，教师榜单，并定期推送数据分析报表，帮助学校检验信息化教学成果。</w:t>
            </w:r>
            <w:r>
              <w:br/>
            </w:r>
            <w:r>
              <w:rPr/>
              <w:t xml:space="preserve"> 23.信息化数据雷达图：将信息化教学数据分五个维度进行评估，分别为分别为资源建设、校本研修、校影响力、学情分析及班级氛围，并与全省均值对比。</w:t>
            </w:r>
            <w:r>
              <w:br/>
            </w:r>
            <w:r>
              <w:rPr/>
              <w:t xml:space="preserve"> 24.教师考勤：具备教师GPS定位打卡考勤功能。学校管理员可设置考勤时间、考勤范围，还可以查看和导出考勤数据报表。教师可在移动端进行GPS考勤，到达学校范围后即激活打卡，支持入校、离校、迟到、早退等多种打卡类型。</w:t>
            </w:r>
            <w:r>
              <w:br/>
            </w:r>
            <w:r>
              <w:rPr/>
              <w:t xml:space="preserve"> 25.为学校提供教研全流程管理服务，包含教学计划、教学设计、听课评课、班级氛围的流程管理和数据分析，方便学校统筹管理教学、教研活动进展。</w:t>
            </w:r>
            <w:r>
              <w:br/>
            </w:r>
            <w:r>
              <w:rPr/>
              <w:t xml:space="preserve"> 26.校本资源管理：支持管理员在教研数字化到管理平台后台移动、删除、重命名教师上传至校本库的课件、教案、微课及多媒体等资源。</w:t>
            </w:r>
          </w:p>
        </w:tc>
      </w:tr>
      <w:tr>
        <w:tc>
          <w:tcPr>
            <w:tcW w:type="dxa" w:w="2769"/>
          </w:tcPr>
          <w:p/>
        </w:tc>
        <w:tc>
          <w:tcPr>
            <w:tcW w:type="dxa" w:w="2769"/>
          </w:tcPr>
          <w:p>
            <w:pPr>
              <w:pStyle w:val="null3"/>
            </w:pPr>
            <w:r>
              <w:rPr/>
              <w:t>5</w:t>
            </w:r>
          </w:p>
        </w:tc>
        <w:tc>
          <w:tcPr>
            <w:tcW w:type="dxa" w:w="2769"/>
          </w:tcPr>
          <w:p>
            <w:pPr>
              <w:pStyle w:val="null3"/>
            </w:pPr>
            <w:r>
              <w:rPr/>
              <w:t>集控管理平台（41套）</w:t>
            </w:r>
            <w:r>
              <w:br/>
            </w:r>
            <w:r>
              <w:rPr/>
              <w:t xml:space="preserve"> 27.B/S混合云架构，无需本地额外部署服务器等设备即可实现对教学信息化设备运行数据的监测。</w:t>
            </w:r>
            <w:r>
              <w:br/>
            </w:r>
            <w:r>
              <w:rPr/>
              <w:t xml:space="preserve"> 28.Windows、Linux、Android、IOS等多种操作系统通过网页浏览器登陆操作，具有多种智能身份识别方式：通过账号登录、手机扫码登录等方式。管理平台提供管理员移动管理平台，免安装并可在Android、IOS等多种移动操作系统。</w:t>
            </w:r>
            <w:r>
              <w:br/>
            </w:r>
            <w:r>
              <w:rPr/>
              <w:t xml:space="preserve"> 29.移动系统采用Mini Program，无需下载单独安装APP即可使用；兼容Android、IOS等多种移动操作系统，用于远程管理及告警信息通知。</w:t>
            </w:r>
            <w:r>
              <w:br/>
            </w:r>
            <w:r>
              <w:rPr/>
              <w:t xml:space="preserve"> 30.平台具备对全校智慧教室的教学信息化设备进行集中运维管理和策略部署。</w:t>
            </w:r>
            <w:r>
              <w:br/>
            </w:r>
            <w:r>
              <w:rPr/>
              <w:t xml:space="preserve"> 31.为学校提供专属识别代码，在可具备交互智能设备在广域网环境下，输入专属代码接入管理平台即可在通过管理平台可开启或关闭指定交互智能设备的任意磁盘分区数据还原（冰点）保护。</w:t>
            </w:r>
            <w:r>
              <w:br/>
            </w:r>
            <w:r>
              <w:rPr/>
              <w:t xml:space="preserve"> 32.支持远程批量设置设备的冰冻状态；支持实时监测设备冰点存在的风险，并提供对应解决方案。</w:t>
            </w:r>
            <w:r>
              <w:br/>
            </w:r>
            <w:r>
              <w:rPr/>
              <w:t xml:space="preserve"> 33.设备巡视：支持同时查看≥9个教室的实时摄像头画面、设备屏幕画面；支持接入网络摄像头；并支持在一个显示界面同时查看单个教室内所有屏幕、所有摄像头的实时画面，以及所有麦克风的声音，完整还原课堂全貌。</w:t>
            </w:r>
            <w:r>
              <w:br/>
            </w:r>
            <w:r>
              <w:rPr/>
              <w:t xml:space="preserve"> 34.掌上看班：支持老师在移动端查看教室的实时摄像头画面、设备屏幕画面，发现有违规违纪行为时，可远程发消息、发语音直接干预；老师的权限由管理员统一分配，人员权限精准管理。</w:t>
            </w:r>
            <w:r>
              <w:br/>
            </w:r>
            <w:r>
              <w:rPr/>
              <w:t xml:space="preserve"> 35.对局域网内的交互智能终端进行远程实时控制，能够监测设备当前运行界面，并远程对设备操作界面进行控制。</w:t>
            </w:r>
            <w:r>
              <w:br/>
            </w:r>
            <w:r>
              <w:rPr/>
              <w:t xml:space="preserve"> 36.控制连接广域网的交互智能设备整机关机、开机和重启；可批量设定智能设备开关机的执行时间，自定义日循环执行，预约定时执行。</w:t>
            </w:r>
          </w:p>
        </w:tc>
      </w:tr>
      <w:tr>
        <w:tc>
          <w:tcPr>
            <w:tcW w:type="dxa" w:w="2769"/>
          </w:tcPr>
          <w:p/>
        </w:tc>
        <w:tc>
          <w:tcPr>
            <w:tcW w:type="dxa" w:w="2769"/>
          </w:tcPr>
          <w:p>
            <w:pPr>
              <w:pStyle w:val="null3"/>
            </w:pPr>
            <w:r>
              <w:rPr/>
              <w:t>6</w:t>
            </w:r>
          </w:p>
        </w:tc>
        <w:tc>
          <w:tcPr>
            <w:tcW w:type="dxa" w:w="2769"/>
          </w:tcPr>
          <w:p>
            <w:pPr>
              <w:pStyle w:val="null3"/>
            </w:pPr>
            <w:r>
              <w:rPr/>
              <w:t>视频展台（41套，所属行业：工业）</w:t>
            </w:r>
            <w:r>
              <w:br/>
            </w:r>
            <w:r>
              <w:rPr/>
              <w:t xml:space="preserve"> 37.采用≥800万像素摄像头；采用 USB五伏电源直接供电；箱内USB连线。</w:t>
            </w:r>
            <w:r>
              <w:br/>
            </w:r>
            <w:r>
              <w:rPr/>
              <w:t xml:space="preserve"> 38.A4大小拍摄幅面，1080P动态视频预览达到30帧/秒；托板及挂墙部分采用金属加强，托板可承重≥3kg，整机壁挂式安装。</w:t>
            </w:r>
            <w:r>
              <w:br/>
            </w:r>
            <w:r>
              <w:rPr/>
              <w:t xml:space="preserve"> 39.支持展台成像画面实时批注，预设多种笔划粗细及颜色供选择，且支持对展台成像画面联同批注内容进行同步缩放、移动。</w:t>
            </w:r>
            <w:r>
              <w:br/>
            </w:r>
            <w:r>
              <w:rPr/>
              <w:t xml:space="preserve"> 40.展示托板正上方具备LED补光灯，保证展示区域的亮度及展示效果。</w:t>
            </w:r>
            <w:r>
              <w:br/>
            </w:r>
            <w:r>
              <w:rPr/>
              <w:t xml:space="preserve"> 41.支持对展台画面进行放大、缩小、旋转、自适应、冻结画面等操作。</w:t>
            </w:r>
          </w:p>
        </w:tc>
      </w:tr>
      <w:tr>
        <w:tc>
          <w:tcPr>
            <w:tcW w:type="dxa" w:w="2769"/>
          </w:tcPr>
          <w:p/>
        </w:tc>
        <w:tc>
          <w:tcPr>
            <w:tcW w:type="dxa" w:w="2769"/>
          </w:tcPr>
          <w:p>
            <w:pPr>
              <w:pStyle w:val="null3"/>
            </w:pPr>
            <w:r>
              <w:rPr/>
              <w:t>7</w:t>
            </w:r>
          </w:p>
        </w:tc>
        <w:tc>
          <w:tcPr>
            <w:tcW w:type="dxa" w:w="2769"/>
          </w:tcPr>
          <w:p>
            <w:pPr>
              <w:pStyle w:val="null3"/>
            </w:pPr>
            <w:r>
              <w:rPr/>
              <w:t>音箱（41套，所属行业：工业）</w:t>
            </w:r>
            <w:r>
              <w:br/>
            </w:r>
            <w:r>
              <w:rPr/>
              <w:t xml:space="preserve"> 42.采用功放与有源音箱一体化设计，内置麦克风无线接收模块，实现多媒体扩音以及本地扩声功能。</w:t>
            </w:r>
            <w:r>
              <w:br/>
            </w:r>
            <w:r>
              <w:rPr/>
              <w:t xml:space="preserve"> 43.输出额定功率:≥2*30W，喇叭单元尺寸≥5寸。</w:t>
            </w:r>
            <w:r>
              <w:br/>
            </w:r>
            <w:r>
              <w:rPr/>
              <w:t xml:space="preserve"> 44.端口：≥电源开关*1、≥Line in*1、≥USB*1。USB接口可外接U盘设备对音箱固件进行升级。</w:t>
            </w:r>
            <w:r>
              <w:br/>
            </w:r>
            <w:r>
              <w:rPr/>
              <w:t xml:space="preserve"> 45.▲距离音箱10米处声压级应≥75dB。</w:t>
            </w:r>
            <w:r>
              <w:br/>
            </w:r>
            <w:r>
              <w:rPr/>
              <w:t xml:space="preserve"> 46.配置独立音频数字信号处理芯片，支持啸叫抑制功能。</w:t>
            </w:r>
          </w:p>
        </w:tc>
      </w:tr>
      <w:tr>
        <w:tc>
          <w:tcPr>
            <w:tcW w:type="dxa" w:w="2769"/>
          </w:tcPr>
          <w:p/>
        </w:tc>
        <w:tc>
          <w:tcPr>
            <w:tcW w:type="dxa" w:w="2769"/>
          </w:tcPr>
          <w:p>
            <w:pPr>
              <w:pStyle w:val="null3"/>
            </w:pPr>
            <w:r>
              <w:rPr/>
              <w:t>8</w:t>
            </w:r>
          </w:p>
        </w:tc>
        <w:tc>
          <w:tcPr>
            <w:tcW w:type="dxa" w:w="2769"/>
          </w:tcPr>
          <w:p>
            <w:pPr>
              <w:pStyle w:val="null3"/>
            </w:pPr>
            <w:r>
              <w:rPr/>
              <w:t>麦克风（41套，所属行业：工业）</w:t>
            </w:r>
            <w:r>
              <w:br/>
            </w:r>
            <w:r>
              <w:rPr/>
              <w:t xml:space="preserve"> 47.▲无线麦克风集音频发射处理器、天线、电池、拾音麦克风于一体，配合一体化有源音箱，无需任何外接辅助设备即可实现本地扩声功能。</w:t>
            </w:r>
            <w:r>
              <w:br/>
            </w:r>
            <w:r>
              <w:rPr/>
              <w:t xml:space="preserve"> 48.采样率≥48KHz，16bit；支持2.4GHz与5.8GHz双频段工作，信道数量≥26以保障传输稳定性；支持红外对码方式连接。</w:t>
            </w:r>
          </w:p>
        </w:tc>
      </w:tr>
      <w:tr>
        <w:tc>
          <w:tcPr>
            <w:tcW w:type="dxa" w:w="2769"/>
          </w:tcPr>
          <w:p/>
        </w:tc>
        <w:tc>
          <w:tcPr>
            <w:tcW w:type="dxa" w:w="2769"/>
          </w:tcPr>
          <w:p>
            <w:pPr>
              <w:pStyle w:val="null3"/>
            </w:pPr>
            <w:r>
              <w:rPr/>
              <w:t>9</w:t>
            </w:r>
          </w:p>
        </w:tc>
        <w:tc>
          <w:tcPr>
            <w:tcW w:type="dxa" w:w="2769"/>
          </w:tcPr>
          <w:p>
            <w:pPr>
              <w:pStyle w:val="null3"/>
            </w:pPr>
            <w:r>
              <w:rPr/>
              <w:t>巡课终端（7套）</w:t>
            </w:r>
            <w:r>
              <w:br/>
            </w:r>
            <w:r>
              <w:rPr/>
              <w:t xml:space="preserve"> 49.▲提供的设备须为≤1U机箱的壁挂式终端，嵌入式ARM双核处理器，Linux系统。</w:t>
            </w:r>
            <w:r>
              <w:br/>
            </w:r>
            <w:r>
              <w:rPr/>
              <w:t xml:space="preserve"> 50.设备视频模块须支持3路输入；内置音频采集模块。</w:t>
            </w:r>
            <w:r>
              <w:br/>
            </w:r>
            <w:r>
              <w:rPr/>
              <w:t xml:space="preserve"> 51.设备网络模块须支持5个10/100/1000Mbps自适应网口。</w:t>
            </w:r>
            <w:r>
              <w:br/>
            </w:r>
            <w:r>
              <w:rPr/>
              <w:t xml:space="preserve"> 52.设备视频编码帧率须支持25fps 5/10/15/20/25/30可选，视频编码分辨率支持≥1920*1080。</w:t>
            </w:r>
            <w:r>
              <w:br/>
            </w:r>
            <w:r>
              <w:rPr/>
              <w:t xml:space="preserve"> 53.直播协议支持标准的RTMP协议，支持RTSP实时协议流；网络协议支持TCP、UDP、RTMP、RTSP、FTP协议等。</w:t>
            </w:r>
          </w:p>
        </w:tc>
      </w:tr>
      <w:tr>
        <w:tc>
          <w:tcPr>
            <w:tcW w:type="dxa" w:w="2769"/>
          </w:tcPr>
          <w:p/>
        </w:tc>
        <w:tc>
          <w:tcPr>
            <w:tcW w:type="dxa" w:w="2769"/>
          </w:tcPr>
          <w:p>
            <w:pPr>
              <w:pStyle w:val="null3"/>
            </w:pPr>
            <w:r>
              <w:rPr/>
              <w:t>10</w:t>
            </w:r>
          </w:p>
        </w:tc>
        <w:tc>
          <w:tcPr>
            <w:tcW w:type="dxa" w:w="2769"/>
          </w:tcPr>
          <w:p>
            <w:pPr>
              <w:pStyle w:val="null3"/>
            </w:pPr>
            <w:r>
              <w:rPr/>
              <w:t>巡课客户端软件（7套）</w:t>
            </w:r>
            <w:r>
              <w:br/>
            </w:r>
            <w:r>
              <w:rPr/>
              <w:t xml:space="preserve"> 54.录播管理：支持把录播设备接入平台，实现自动转码、无缝直播点播，并具备多画面直播和点播功能。</w:t>
            </w:r>
            <w:r>
              <w:br/>
            </w:r>
            <w:r>
              <w:rPr/>
              <w:t xml:space="preserve"> 55.用户管理：支持用户的初始化导入、用户组管理、用户权限管理，为教师、管理员信息管理等服务，支持微信一键登录。</w:t>
            </w:r>
            <w:r>
              <w:br/>
            </w:r>
            <w:r>
              <w:rPr/>
              <w:t xml:space="preserve"> 56.▲采用混合云部署，内置存储服务，视频本地存储≥7天。</w:t>
            </w:r>
            <w:r>
              <w:br/>
            </w:r>
            <w:r>
              <w:rPr/>
              <w:t xml:space="preserve"> 57.▲关注教室：提供关注教室功能，已关注的教室优先显示在教室列表中，方便固定巡视范围的巡课老师找教室。已关注的教室可取消关注。</w:t>
            </w:r>
            <w:r>
              <w:br/>
            </w:r>
            <w:r>
              <w:rPr/>
              <w:t xml:space="preserve"> 58.▲巡、评切换：提供巡课和个人听课两种模式，进入教室时可自主选择。根据巡课与个人听课两种模式的评价内容不同，生成不同结果。</w:t>
            </w:r>
          </w:p>
        </w:tc>
      </w:tr>
      <w:tr>
        <w:tc>
          <w:tcPr>
            <w:tcW w:type="dxa" w:w="2769"/>
          </w:tcPr>
          <w:p/>
        </w:tc>
        <w:tc>
          <w:tcPr>
            <w:tcW w:type="dxa" w:w="2769"/>
          </w:tcPr>
          <w:p>
            <w:pPr>
              <w:pStyle w:val="null3"/>
            </w:pPr>
            <w:r>
              <w:rPr/>
              <w:t>11</w:t>
            </w:r>
          </w:p>
        </w:tc>
        <w:tc>
          <w:tcPr>
            <w:tcW w:type="dxa" w:w="2769"/>
          </w:tcPr>
          <w:p>
            <w:pPr>
              <w:pStyle w:val="null3"/>
            </w:pPr>
            <w:r>
              <w:rPr/>
              <w:t>高清摄像机（7套，所属行业：工业）</w:t>
            </w:r>
            <w:r>
              <w:br/>
            </w:r>
            <w:r>
              <w:rPr/>
              <w:t xml:space="preserve"> 59.成像器件：1/2.7英寸CMOS；有效像素：≥400万。</w:t>
            </w:r>
            <w:r>
              <w:br/>
            </w:r>
            <w:r>
              <w:rPr/>
              <w:t xml:space="preserve"> 60.镜头：12x，f3.5mm ~ 42.3mm, F1.8 ~ F2.8，≥12x数字变焦。</w:t>
            </w:r>
            <w:r>
              <w:br/>
            </w:r>
            <w:r>
              <w:rPr/>
              <w:t xml:space="preserve"> 61.最低照度：0.5Lux@(F1.8, AGC ON)。</w:t>
            </w:r>
            <w:r>
              <w:br/>
            </w:r>
            <w:r>
              <w:rPr/>
              <w:t xml:space="preserve"> 62.快门：1/30s ~ 1/10000s。</w:t>
            </w:r>
          </w:p>
        </w:tc>
      </w:tr>
      <w:tr>
        <w:tc>
          <w:tcPr>
            <w:tcW w:type="dxa" w:w="2769"/>
          </w:tcPr>
          <w:p/>
        </w:tc>
        <w:tc>
          <w:tcPr>
            <w:tcW w:type="dxa" w:w="2769"/>
          </w:tcPr>
          <w:p>
            <w:pPr>
              <w:pStyle w:val="null3"/>
            </w:pPr>
            <w:r>
              <w:rPr/>
              <w:t>12</w:t>
            </w:r>
          </w:p>
        </w:tc>
        <w:tc>
          <w:tcPr>
            <w:tcW w:type="dxa" w:w="2769"/>
          </w:tcPr>
          <w:p>
            <w:pPr>
              <w:pStyle w:val="null3"/>
            </w:pPr>
            <w:r>
              <w:rPr/>
              <w:t>摄像机管理软件（7套）</w:t>
            </w:r>
            <w:r>
              <w:br/>
            </w:r>
            <w:r>
              <w:rPr/>
              <w:t xml:space="preserve"> 63.对摄像机的视频选项进行配置，包含视频制式、编码等级。</w:t>
            </w:r>
            <w:r>
              <w:br/>
            </w:r>
            <w:r>
              <w:rPr/>
              <w:t xml:space="preserve"> 64.对摄像机进行远程网络管理，实现开机、关机、重启、远程维护等设置。</w:t>
            </w:r>
            <w:r>
              <w:br/>
            </w:r>
            <w:r>
              <w:rPr/>
              <w:t xml:space="preserve"> 65.设置摄像机的音频格式、采样率、码率、输入类型、输入音量、网络呼叫对讲等。</w:t>
            </w:r>
            <w:r>
              <w:br/>
            </w:r>
            <w:r>
              <w:rPr/>
              <w:t xml:space="preserve"> 66.实现网络巡课教室与摄像机信息的绑定。</w:t>
            </w:r>
          </w:p>
        </w:tc>
      </w:tr>
      <w:tr>
        <w:tc>
          <w:tcPr>
            <w:tcW w:type="dxa" w:w="2769"/>
          </w:tcPr>
          <w:p/>
        </w:tc>
        <w:tc>
          <w:tcPr>
            <w:tcW w:type="dxa" w:w="2769"/>
          </w:tcPr>
          <w:p>
            <w:pPr>
              <w:pStyle w:val="null3"/>
            </w:pPr>
            <w:r>
              <w:rPr/>
              <w:t>13</w:t>
            </w:r>
          </w:p>
        </w:tc>
        <w:tc>
          <w:tcPr>
            <w:tcW w:type="dxa" w:w="2769"/>
          </w:tcPr>
          <w:p>
            <w:pPr>
              <w:pStyle w:val="null3"/>
            </w:pPr>
            <w:r>
              <w:rPr/>
              <w:t>拾音全向麦（7套，所属行业：工业）</w:t>
            </w:r>
            <w:r>
              <w:br/>
            </w:r>
            <w:r>
              <w:rPr/>
              <w:t xml:space="preserve"> 67.指向性：360度全向拾音，拾音半径≥8米。</w:t>
            </w:r>
            <w:r>
              <w:br/>
            </w:r>
            <w:r>
              <w:rPr/>
              <w:t xml:space="preserve"> 68.频响：50Hz-20kHz。</w:t>
            </w:r>
            <w:r>
              <w:br/>
            </w:r>
            <w:r>
              <w:rPr/>
              <w:t xml:space="preserve"> 69.灵敏度：-44±3dB (0dB=1V/Pa@1kHz)。</w:t>
            </w:r>
            <w:r>
              <w:br/>
            </w:r>
            <w:r>
              <w:rPr/>
              <w:t xml:space="preserve"> 70.信噪比：≥75dB(S:(f=1kHz@1Pa) N:(A-Weighted curve))。</w:t>
            </w:r>
            <w:r>
              <w:br/>
            </w:r>
            <w:r>
              <w:rPr/>
              <w:t xml:space="preserve"> 71.最大声压级：115dB(f=1kHz，THD&lt;1%)。</w:t>
            </w:r>
          </w:p>
        </w:tc>
      </w:tr>
      <w:tr>
        <w:tc>
          <w:tcPr>
            <w:tcW w:type="dxa" w:w="2769"/>
          </w:tcPr>
          <w:p/>
        </w:tc>
        <w:tc>
          <w:tcPr>
            <w:tcW w:type="dxa" w:w="2769"/>
          </w:tcPr>
          <w:p>
            <w:pPr>
              <w:pStyle w:val="null3"/>
            </w:pPr>
            <w:r>
              <w:rPr/>
              <w:t>14</w:t>
            </w:r>
          </w:p>
        </w:tc>
        <w:tc>
          <w:tcPr>
            <w:tcW w:type="dxa" w:w="2769"/>
          </w:tcPr>
          <w:p>
            <w:pPr>
              <w:pStyle w:val="null3"/>
            </w:pPr>
            <w:r>
              <w:rPr/>
              <w:t>校级巡课数据平台（7套）</w:t>
            </w:r>
            <w:r>
              <w:br/>
            </w:r>
            <w:r>
              <w:rPr/>
              <w:t xml:space="preserve"> 72.▲支持安卓、IOS、windows等主流的移动平台，并能够兼容平板和手机。</w:t>
            </w:r>
            <w:r>
              <w:br/>
            </w:r>
            <w:r>
              <w:rPr/>
              <w:t xml:space="preserve"> 73.采用云服务器云部署，提供评课信息自动保存服务。</w:t>
            </w:r>
            <w:r>
              <w:br/>
            </w:r>
            <w:r>
              <w:rPr/>
              <w:t xml:space="preserve"> 74.一键听课：支持研修员、教师一键开启听课，快速创建听课记录。</w:t>
            </w:r>
            <w:r>
              <w:br/>
            </w:r>
            <w:r>
              <w:rPr/>
              <w:t xml:space="preserve"> 75.环节记录、量表评价、主观评价、听课报告。</w:t>
            </w:r>
            <w:r>
              <w:br/>
            </w:r>
            <w:r>
              <w:rPr/>
              <w:t xml:space="preserve"> 76.巡课简报：支持向巡课人员发送巡课日报、周报和月报，方便巡课人员了解今日、本周、本月的巡课情况。简报包含参与巡课的人数、累计巡课总数、本人巡课次数、优秀课堂数量、合格数量以及待改进的数量。提供查看详情的链接，支持点击查看详细数据。</w:t>
            </w:r>
            <w:r>
              <w:br/>
            </w:r>
            <w:r>
              <w:rPr/>
              <w:t xml:space="preserve"> 77.总体情况统计：支持按日、周、月、学期的维度汇总全校优秀、合格、待改进的数据，绘制饼图提供三类课堂的占比呈现；提供全校被巡课堂优缺点标签的汇总，直观的了解哪些优点、缺点被标记的最多；显示全校被巡课堂平均得分最高和最低的各两个评分点，快速了解全校的课堂哪些方面做的最好，哪些方面做的不足。提供查看全部评分点评分情况的入口，每个评分点可标记各位授课教师的得分情况和被评次数。</w:t>
            </w:r>
            <w:r>
              <w:br/>
            </w:r>
            <w:r>
              <w:rPr/>
              <w:t xml:space="preserve"> 78.▲个人数据概览：汇总显示本人累计听课总数、被评课程总数、邀请评课总次数和参与活动的次数。</w:t>
            </w:r>
            <w:r>
              <w:br/>
            </w:r>
            <w:r>
              <w:rPr/>
              <w:t xml:space="preserve"> 79.个人听课情况：可按本周、本月、本学期的维度显示我听过的课、我的听课范围、我听过哪些老师的课；按总量计算个人听课次数在全区、本校、本学科的排名；按时间顺序展示我听过的课，以图标的形式直观展现我听过的课程分布在哪些学科、本校还是外校，按评课次数展示我评价最多的老师，方便老师在同伴互助、老教师带新教师时了解自己对他人的帮助情况。</w:t>
            </w:r>
            <w:r>
              <w:br/>
            </w:r>
            <w:r>
              <w:rPr/>
              <w:t xml:space="preserve"> 80.▲本校数据概览:汇总显示本校使用教研的人数、发起活动的总数、累计听课总数、人均听课次数以及全区人均排名。</w:t>
            </w:r>
          </w:p>
        </w:tc>
      </w:tr>
      <w:tr>
        <w:tc>
          <w:tcPr>
            <w:tcW w:type="dxa" w:w="2769"/>
          </w:tcPr>
          <w:p/>
        </w:tc>
        <w:tc>
          <w:tcPr>
            <w:tcW w:type="dxa" w:w="2769"/>
          </w:tcPr>
          <w:p>
            <w:pPr>
              <w:pStyle w:val="null3"/>
            </w:pPr>
            <w:r>
              <w:rPr/>
              <w:t>15</w:t>
            </w:r>
          </w:p>
        </w:tc>
        <w:tc>
          <w:tcPr>
            <w:tcW w:type="dxa" w:w="2769"/>
          </w:tcPr>
          <w:p>
            <w:pPr>
              <w:pStyle w:val="null3"/>
            </w:pPr>
            <w:r>
              <w:rPr/>
              <w:t>服务器（1套，所属行业：工业）</w:t>
            </w:r>
            <w:r>
              <w:br/>
            </w:r>
            <w:r>
              <w:rPr/>
              <w:t xml:space="preserve"> 81.机型:2U机架式高密度服务器，含导轨。</w:t>
            </w:r>
            <w:r>
              <w:br/>
            </w:r>
            <w:r>
              <w:rPr/>
              <w:t xml:space="preserve"> 82.CPU类型：主频≥2.4GHz，处理≥8核。</w:t>
            </w:r>
            <w:r>
              <w:br/>
            </w:r>
            <w:r>
              <w:rPr/>
              <w:t xml:space="preserve"> 83.内存：≥64GB DDR4 ECC REG RDIMM内存，支持≥2TB DDR4 ECC。</w:t>
            </w:r>
            <w:r>
              <w:br/>
            </w:r>
            <w:r>
              <w:rPr/>
              <w:t xml:space="preserve"> 84.硬盘：10块3.5"6T 10000RPM SAS HDD。</w:t>
            </w:r>
            <w:r>
              <w:br/>
            </w:r>
            <w:r>
              <w:rPr/>
              <w:t xml:space="preserve"> 85.SAS控制器：12Gb 3008 8i Raid0 1 JBOD 半高 SAS卡。</w:t>
            </w:r>
            <w:r>
              <w:br/>
            </w:r>
            <w:r>
              <w:rPr/>
              <w:t xml:space="preserve"> 86.PCI插槽：≥2个 PCIe3.0 扩展槽位。</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自合同签订之日起60日</w:t>
      </w:r>
    </w:p>
    <w:p>
      <w:pPr>
        <w:pStyle w:val="null3"/>
        <w:outlineLvl w:val="3"/>
      </w:pPr>
      <w:r>
        <w:rPr>
          <w:b/>
          <w:sz w:val="24"/>
        </w:rPr>
        <w:t>3.4.2交货地点</w:t>
      </w:r>
    </w:p>
    <w:p>
      <w:pPr>
        <w:pStyle w:val="null3"/>
      </w:pPr>
      <w:r>
        <w:rPr/>
        <w:t>采购包1：</w:t>
      </w:r>
    </w:p>
    <w:p>
      <w:pPr>
        <w:pStyle w:val="null3"/>
      </w:pPr>
      <w:r>
        <w:rPr/>
        <w:t>西安理工大学指定地点。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设备按期到货验收合格后，乙方(供货方)需开具增值税专用发票提供给甲方(需求方)。甲方(需求方)支付货款的100%</w:t>
      </w:r>
      <w:r>
        <w:rPr/>
        <w:t xml:space="preserve"> ，达到付款条件起 </w:t>
      </w:r>
      <w:r>
        <w:rPr/>
        <w:t>15</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按招标文件技术要求、供方投标文件以及相关国家标准。</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货物自验收合格之日起，提供3年的原厂质保， 3年7×24免费上门服务。在质保期内因货物本身的质量问题，乙方(供货方)负责免费修理、更换零部件或退换，并须对货物出现的有关技术性问题或安全问题负责处理、解决。</w:t>
      </w:r>
    </w:p>
    <w:p>
      <w:pPr>
        <w:pStyle w:val="null3"/>
        <w:outlineLvl w:val="3"/>
      </w:pPr>
      <w:r>
        <w:rPr>
          <w:b/>
          <w:sz w:val="24"/>
        </w:rPr>
        <w:t>3.4.8违约责任与解决争议的方法</w:t>
      </w:r>
    </w:p>
    <w:p>
      <w:pPr>
        <w:pStyle w:val="null3"/>
      </w:pPr>
      <w:r>
        <w:rPr/>
        <w:t>采购包1：</w:t>
      </w:r>
    </w:p>
    <w:p>
      <w:pPr>
        <w:pStyle w:val="null3"/>
      </w:pPr>
      <w:r>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具体如下： 1、乙方(供货方)逾期交货，或货物与中标数量、型号不一致， 乙方(供货方)须按照中标金额的30%赔付甲方违约金。且甲方有权立即终止合同、且不承担由此带来的一切损失与后果。乙方(供货方)违约导致甲方(需求方)及丙方损失时，乙方(供货方)承担所有违约责任。 2、甲方(需求方)无正当理由拒收货物，应向乙方(供货方)支付合同总价款10%的违约金。 3、乙方(供货方)所交的货物品种、型号、规格、质量不符合合同约定、国家标准，所供货物达不到约定技术要求的，乙方(供货方)必须无条件退回全部货款，并向甲方(需求方)支付合同总价款30%的赔偿金。</w:t>
      </w:r>
    </w:p>
    <w:p>
      <w:pPr>
        <w:pStyle w:val="null3"/>
        <w:jc w:val="left"/>
        <w:outlineLvl w:val="2"/>
      </w:pPr>
      <w:r>
        <w:rPr>
          <w:b/>
          <w:sz w:val="28"/>
        </w:rPr>
        <w:t>3.5其他要求</w:t>
      </w:r>
    </w:p>
    <w:p>
      <w:pPr>
        <w:pStyle w:val="null3"/>
      </w:pPr>
      <w:r>
        <w:rPr/>
        <w:t>中标单位中标后需将纸质投标文件 ( 一正一副) 送至/寄至代理机构指定地址 (西安市高新区科技五路8号数字大厦4楼) 。纸质版须与电子版保持一致。</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2.提供2022年度经审计的财务报告（包括“ 四表一注” 即《资产负债表》《利润表》《现金流量表》《所有者权益变动表》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 3.提供具有履行合同所必需的设备和专业技术能力的承诺； 4.税收缴纳证明：提供投标文件递交截止日前一年内已缴纳的至少一个月的纳税证明或完税证明，依法免税的单位应提供相关证明材料； 5.社会保障资金缴纳证明：提供投标文件递交截止日前一年内已缴存的至少一个月的社会保障资金缴存单据或社保机构开具的 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提供2022年度经审计的财务报告（包括“ 四表一注” 即《资产负债表》《利润表》《现金流量表》《所有者权益变动表》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 xml:space="preserve"> 法定代表人身份证明/法定代表人授权书</w:t>
            </w:r>
          </w:p>
        </w:tc>
        <w:tc>
          <w:tcPr>
            <w:tcW w:type="dxa" w:w="3322"/>
          </w:tcPr>
          <w:p>
            <w:pPr>
              <w:pStyle w:val="null3"/>
            </w:pPr>
            <w:r>
              <w:rPr/>
              <w:t>法定代表人授权书 (附法定代表人、被授权人身份证复印件) ； 法定代表人直接参加投标，须提供法定代表人身份证明 ；</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 xml:space="preserve"> 信用记录</w:t>
            </w:r>
          </w:p>
        </w:tc>
        <w:tc>
          <w:tcPr>
            <w:tcW w:type="dxa" w:w="3322"/>
          </w:tcPr>
          <w:p>
            <w:pPr>
              <w:pStyle w:val="null3"/>
            </w:pPr>
            <w:r>
              <w:rPr/>
              <w:t>供应商未被“信用中国”网站 (https://www.creditchina.gov.cn/) 列入失信被执行人和重大税收违法 失信主体，未被中国政府采购网 (http://www.ccgp.gov.cn/) 列入政府采购严重违法失信行为记录 名单。</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的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分项报价表及交货期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开标一览表 资格证明文件 投标函 商务应答表 投标文件封面</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开标一览表 产品技术参数表 资格证明文件 分项报价表及交货期 投标函 中小企业声明函 残疾人福利性单位声明函 商务应答表 标的清单 投标文件封面 投标方案及其他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开标一览表 分项报价表及交货期 标的清单</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开标一览表 产品技术参数表 资格证明文件 分项报价表及交货期 投标函 中小企业声明函 残疾人福利性单位声明函 商务应答表 标的清单 投标文件封面 投标方案及其他 监狱企业的证明文件</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应满足招标文件中要求的交货期</w:t>
            </w:r>
          </w:p>
        </w:tc>
        <w:tc>
          <w:tcPr>
            <w:tcW w:type="dxa" w:w="1661"/>
          </w:tcPr>
          <w:p>
            <w:pPr>
              <w:pStyle w:val="null3"/>
            </w:pPr>
            <w:r>
              <w:rPr/>
              <w:t>分项报价表及交货期</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所投产品技术参数清楚、明确并能逐条响应招标文件第三章“技术参数表”中所有参数要求，得30 分。 其中:①▲项技术参数 (16 项) 满分 16分，每项负偏离一项扣1分，扣完为止。 ②其他未标项技术参数 (70项) 满分 14分。每项负偏离一项扣0.2分，扣完为止。 （▲项技术参数佐证材料例如：第三方检测报告、厂家检测报告、产品说明书、产品彩页、官网介绍截图等内容）并加盖供应商公章，予以证明其技术参数的响应性。</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产品技术参数表</w:t>
            </w:r>
          </w:p>
          <w:p>
            <w:pPr>
              <w:pStyle w:val="null3"/>
            </w:pPr>
            <w:r>
              <w:rPr/>
              <w:t>投标方案及其他</w:t>
            </w:r>
          </w:p>
        </w:tc>
      </w:tr>
      <w:tr>
        <w:tc>
          <w:tcPr>
            <w:tcW w:type="dxa" w:w="831"/>
            <w:vMerge/>
          </w:tcPr>
          <w:p/>
        </w:tc>
        <w:tc>
          <w:tcPr>
            <w:tcW w:type="dxa" w:w="1661"/>
          </w:tcPr>
          <w:p>
            <w:pPr>
              <w:pStyle w:val="null3"/>
            </w:pPr>
            <w:r>
              <w:rPr/>
              <w:t>来源渠道</w:t>
            </w:r>
          </w:p>
        </w:tc>
        <w:tc>
          <w:tcPr>
            <w:tcW w:type="dxa" w:w="2492"/>
          </w:tcPr>
          <w:p>
            <w:pPr>
              <w:pStyle w:val="null3"/>
            </w:pPr>
            <w:r>
              <w:rPr/>
              <w:t>所投产品（属性为工业，即标的序号名称为1、6、7、8、11、13、15共计7个产品）进货渠道正规，有对本项目完整合法有效的供货协议，确保供应的产品无假货、无产权纠纷。供应商为制造厂家的提供所投生产承诺书或相关证明材料，供应商为经销商的提供所投产品合法来源渠道证明文件（包括但不限于：产品制造商授权或销售协议或代理协议等）。 每提供一个完整的证明文件得1分，本项最高得7分。 未提供得0分。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投标方案及其他</w:t>
            </w:r>
          </w:p>
        </w:tc>
      </w:tr>
      <w:tr>
        <w:tc>
          <w:tcPr>
            <w:tcW w:type="dxa" w:w="831"/>
            <w:vMerge/>
          </w:tcPr>
          <w:p/>
        </w:tc>
        <w:tc>
          <w:tcPr>
            <w:tcW w:type="dxa" w:w="1661"/>
          </w:tcPr>
          <w:p>
            <w:pPr>
              <w:pStyle w:val="null3"/>
            </w:pPr>
            <w:r>
              <w:rPr/>
              <w:t>实施方案</w:t>
            </w:r>
          </w:p>
        </w:tc>
        <w:tc>
          <w:tcPr>
            <w:tcW w:type="dxa" w:w="2492"/>
          </w:tcPr>
          <w:p>
            <w:pPr>
              <w:pStyle w:val="null3"/>
            </w:pPr>
            <w:r>
              <w:rPr/>
              <w:t>根据投标人提供的项目实施方案，包含：①项目实施规划②质量保障及处理措施（质量保障及处理措施内容包括但不限于安全保障措施、采购环节控制、包装运输等）③供货进度计划④安装调试方案⑤组织协调方案五项内容进行综合评审。 实施方案各部分内容全面详细、阐述条理清晰详尽、符合本项目采购需求得5分；以上五项内容每缺少一项扣1分；有某一项不完整或不符合实际要求或不满足实施要求或套用其他项目内容的每项扣（0-1）分；扣完为止。 未提供得0分。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投标方案及其他</w:t>
            </w:r>
          </w:p>
        </w:tc>
      </w:tr>
      <w:tr>
        <w:tc>
          <w:tcPr>
            <w:tcW w:type="dxa" w:w="831"/>
            <w:vMerge/>
          </w:tcPr>
          <w:p/>
        </w:tc>
        <w:tc>
          <w:tcPr>
            <w:tcW w:type="dxa" w:w="1661"/>
          </w:tcPr>
          <w:p>
            <w:pPr>
              <w:pStyle w:val="null3"/>
            </w:pPr>
            <w:r>
              <w:rPr/>
              <w:t>人员保障</w:t>
            </w:r>
          </w:p>
        </w:tc>
        <w:tc>
          <w:tcPr>
            <w:tcW w:type="dxa" w:w="2492"/>
          </w:tcPr>
          <w:p>
            <w:pPr>
              <w:pStyle w:val="null3"/>
            </w:pPr>
            <w:r>
              <w:rPr/>
              <w:t>根据本项目的人员配备情况，包含：①人员岗位分工明确、②管理及岗位制度、③专业技术人员投入情况等三项内容进行综合评审。 满足且人员保障措施详细、职责划分清晰、拟投入的人员能够满足供货要求及项目需求每项得1分； 人员保障有欠缺、人员职责不明确、且配备的人员无法满足项目需求每项得0.5分； 本项最高得3分。 未提供得0分。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投标方案及其他</w:t>
            </w:r>
          </w:p>
        </w:tc>
      </w:tr>
      <w:tr>
        <w:tc>
          <w:tcPr>
            <w:tcW w:type="dxa" w:w="831"/>
            <w:vMerge/>
          </w:tcPr>
          <w:p/>
        </w:tc>
        <w:tc>
          <w:tcPr>
            <w:tcW w:type="dxa" w:w="1661"/>
          </w:tcPr>
          <w:p>
            <w:pPr>
              <w:pStyle w:val="null3"/>
            </w:pPr>
            <w:r>
              <w:rPr/>
              <w:t>售后服务</w:t>
            </w:r>
          </w:p>
        </w:tc>
        <w:tc>
          <w:tcPr>
            <w:tcW w:type="dxa" w:w="2492"/>
          </w:tcPr>
          <w:p>
            <w:pPr>
              <w:pStyle w:val="null3"/>
            </w:pPr>
            <w:r>
              <w:rPr/>
              <w:t>根据本项目的售后服务能力，包含：①售后服务方案②售后服务体系③服务内容④故障响应时间、响应方式⑤产品质量问题退货、换货方案⑥售后人员保证性等六项内容进行综合评审。 方案各部分内容全面详细、阐述条理清晰详尽、符合本项目采购需求得得6分，以上六项内容每缺少一项内容扣1分，有某一项不完整或不符合实际要求或不满足售后服务要求或套用其他项目内容的扣（0-1）分，扣完为止。 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投标方案及其他</w:t>
            </w:r>
          </w:p>
        </w:tc>
      </w:tr>
      <w:tr>
        <w:tc>
          <w:tcPr>
            <w:tcW w:type="dxa" w:w="831"/>
            <w:vMerge/>
          </w:tcPr>
          <w:p/>
        </w:tc>
        <w:tc>
          <w:tcPr>
            <w:tcW w:type="dxa" w:w="1661"/>
          </w:tcPr>
          <w:p>
            <w:pPr>
              <w:pStyle w:val="null3"/>
            </w:pPr>
            <w:r>
              <w:rPr/>
              <w:t>培训</w:t>
            </w:r>
          </w:p>
        </w:tc>
        <w:tc>
          <w:tcPr>
            <w:tcW w:type="dxa" w:w="2492"/>
          </w:tcPr>
          <w:p>
            <w:pPr>
              <w:pStyle w:val="null3"/>
            </w:pPr>
            <w:r>
              <w:rPr/>
              <w:t>针对本项目提供培训方案，为采购人培训操作维护人员，以保障使用过程中能熟练操作、维护和正常使用，培训方案内容包含：①培训计划②培训时间③培训内容④培训方式等四项内容进行综合评审。 方案各部分内容全面详细、阐述条理清晰详尽、符合本项目采购需求得4分，以上四项内容每缺少一项扣1分，有某一项不完整或不符合实际要求或不满足培训要求或套用其他项目内容的扣（0-1）分，扣完为止。 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投标方案及其他</w:t>
            </w:r>
          </w:p>
        </w:tc>
      </w:tr>
      <w:tr>
        <w:tc>
          <w:tcPr>
            <w:tcW w:type="dxa" w:w="831"/>
            <w:vMerge/>
          </w:tcPr>
          <w:p/>
        </w:tc>
        <w:tc>
          <w:tcPr>
            <w:tcW w:type="dxa" w:w="1661"/>
          </w:tcPr>
          <w:p>
            <w:pPr>
              <w:pStyle w:val="null3"/>
            </w:pPr>
            <w:r>
              <w:rPr/>
              <w:t>业绩</w:t>
            </w:r>
          </w:p>
        </w:tc>
        <w:tc>
          <w:tcPr>
            <w:tcW w:type="dxa" w:w="2492"/>
          </w:tcPr>
          <w:p>
            <w:pPr>
              <w:pStyle w:val="null3"/>
            </w:pPr>
            <w:r>
              <w:rPr/>
              <w:t>提供2021年1月以来类似项目业绩（以合同签订日期为准），每提供1份符合类似项目业绩合同计2分，满分10分。未提供得0分。 佐证材料：须在投标文件中附加盖供应商公章的合同复印件，弄虚作假者，取消其中标资格。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投标方案及其他</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1.经初审合格的投标文件，其投标报价为有效投标报价，对符合政策性扣减的供应商的有效投标价格进行政策性扣减，并依据扣减后的价格（评审价格）进行价格评审。 2.满足投标文件实质性要求且最终报价最低的供应商的价格为投标基准价，其价格分为满分35分。 3.投标报价得分=（投标基准价/最终投标报价）×35。 4.投标报价不完整的，不进入投标基准价的计算，本项得0分。</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分项报价表及交货期</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分项报价表及交货期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详见附件：投标方案及其他</w:t>
      </w:r>
    </w:p>
    <w:p>
      <w:pPr>
        <w:pStyle w:val="null3"/>
        <w:ind w:firstLine="960"/>
      </w:pPr>
      <w:r>
        <w:rPr/>
        <w:t>详见附件：分项报价表及交货期</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