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snapToGrid w:val="0"/>
        <w:spacing w:line="560" w:lineRule="exact"/>
        <w:ind w:left="0" w:firstLine="360"/>
        <w:jc w:val="both"/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采购项目概况</w:t>
      </w:r>
    </w:p>
    <w:p>
      <w:pPr>
        <w:pStyle w:val="9"/>
        <w:snapToGrid w:val="0"/>
        <w:spacing w:after="240" w:afterLines="100" w:line="560" w:lineRule="exact"/>
        <w:ind w:left="0" w:firstLine="0"/>
        <w:jc w:val="both"/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  项目内容：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西安科技大学附属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幼儿园位于西安市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雁塔区大雁塔旁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，现有幼儿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224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名，教职工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40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人。幼儿园设大班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个、中班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个、小班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个。本次招标为幼儿园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选取1家具有相应供应能力的合格供应商提供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采购单位</w:t>
      </w:r>
      <w:r>
        <w:rPr>
          <w:rFonts w:hint="eastAsia" w:ascii="仿宋" w:hAnsi="仿宋" w:eastAsia="仿宋" w:cs="仿宋"/>
          <w:color w:val="auto"/>
          <w:sz w:val="28"/>
          <w:szCs w:val="32"/>
          <w:highlight w:val="none"/>
          <w:lang w:eastAsia="zh-CN"/>
        </w:rPr>
        <w:t>幼儿园日常所需主副食品及配送相关服务。具体内容见下表。</w:t>
      </w:r>
    </w:p>
    <w:tbl>
      <w:tblPr>
        <w:tblStyle w:val="7"/>
        <w:tblW w:w="90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01"/>
        <w:gridCol w:w="5662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采购项目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采购内容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主食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面粉、大米</w:t>
            </w: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等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果蔬类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叶菜（白菜、菠菜、空心菜、筒篙、芹菜等）、果蔬类（番茄、黄瓜、茄子等）、根茎类（萝卜、土豆等）、葱蒜类（葱、蒜、韭菜、洋葱等）、水生菜类（藕、菱白等）、芽苗类（豆芽、香椿苗等）各种时令蔬菜、水果类</w:t>
            </w: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肉类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猪肉、牛肉、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鸡腿、鸡翅、鸡胸肉、三黄鸡等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烘焙用料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淡奶油、炼乳、黄油、沙拉酱、奶酪等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干货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木耳、海带、紫菜、粉条、腐竹、粉丝等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豆制品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豆腐、豆皮、豆腐干等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杂粮豆类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黄豆、红豆、绿豆、玉米珍、小米、黑米、薏米、黑芝麻、白芝麻等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坚果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巴旦木、腰果、核桃仁、杏仁、开心果、松仁、板栗等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09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调味品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菜油、盐、酱油、醋、白糖、冰糖、鸡精、味精、五香粉、孜然粉、胡椒粉、生抽、老抽、红烧料、耗油、味极鲜、番茄酱、料酒、面酱、芝麻酱、花生酱等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10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糕点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各种小糕点（马来椰酥饼、迷你肉松派、全麦面包片、杂粮布丁、黄油布利、奶黄香蛋糕、牛角包、手撕面包、椰蓉面包、蜂蜜蛋糕、核桃酥等）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牛奶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鲜牛奶</w:t>
            </w: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酸奶等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12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蛋类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鸡蛋、鹌鹑蛋、土鸡蛋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海产品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鱼、虾等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备注</w:t>
            </w:r>
          </w:p>
        </w:tc>
        <w:tc>
          <w:tcPr>
            <w:tcW w:w="8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highlight w:val="none"/>
              </w:rPr>
              <w:t>1.实际供货中如有食品未在上表所列清单中，按照本项目报价执行；</w:t>
            </w:r>
          </w:p>
          <w:p>
            <w:pPr>
              <w:pStyle w:val="11"/>
              <w:snapToGrid w:val="0"/>
              <w:spacing w:line="360" w:lineRule="auto"/>
              <w:rPr>
                <w:rStyle w:val="10"/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2. 本项目年预算金额为1045440元（暂按十个月核算），因配送量不定，具体供货量以实际供货量为准，结算以实际发生额为准。</w:t>
            </w:r>
          </w:p>
        </w:tc>
      </w:tr>
    </w:tbl>
    <w:p>
      <w:pPr>
        <w:pStyle w:val="9"/>
        <w:numPr>
          <w:ilvl w:val="0"/>
          <w:numId w:val="2"/>
        </w:numPr>
        <w:snapToGrid w:val="0"/>
        <w:spacing w:line="560" w:lineRule="exact"/>
        <w:ind w:left="568" w:firstLine="0"/>
        <w:jc w:val="both"/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采购项目技术要求</w:t>
      </w:r>
    </w:p>
    <w:tbl>
      <w:tblPr>
        <w:tblStyle w:val="7"/>
        <w:tblW w:w="5062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75"/>
        <w:gridCol w:w="3218"/>
        <w:gridCol w:w="2402"/>
        <w:gridCol w:w="15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90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产品种类</w:t>
            </w:r>
          </w:p>
        </w:tc>
        <w:tc>
          <w:tcPr>
            <w:tcW w:w="1995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质量标准要求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（餐料质量标准要求）</w:t>
            </w:r>
          </w:p>
        </w:tc>
        <w:tc>
          <w:tcPr>
            <w:tcW w:w="1511" w:type="pct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zh-CN"/>
              </w:rPr>
              <w:t>★</w:t>
            </w: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退货依据</w:t>
            </w:r>
          </w:p>
        </w:tc>
        <w:tc>
          <w:tcPr>
            <w:tcW w:w="588" w:type="pct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国家标准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414" w:type="pct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主食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大米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1.大米原产地：东北的省市县；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2.品级：粳米（稻花香、长粒香）。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GB/T1354-2018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414" w:type="pct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质量达标，无结块，色泽正，味道香醇，出厂日期不超过3个月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GB/T1355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414" w:type="pct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肉  类</w:t>
            </w:r>
          </w:p>
          <w:p>
            <w:pPr>
              <w:pStyle w:val="11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Cs w:val="21"/>
                <w:highlight w:val="none"/>
                <w:lang w:val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每批次需随附检验检疫报告）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猪  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1.色泽鲜艳，无注水，表面有一层微干的薄膜，瘦肉新切面稍湿润，呈淡玫瑰色或淡红色；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2.触摸有弹性，不粘手，指压不留陷窝；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3.外表干净，皮毛清理干净，无异味，根据需要进行了改刀和加工；</w:t>
            </w:r>
          </w:p>
          <w:p>
            <w:pPr>
              <w:pStyle w:val="2"/>
              <w:ind w:firstLine="210" w:firstLineChars="100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4.含水量检测值低于77%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ind w:firstLine="210" w:firstLineChars="10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5.当天送货时必须具备“两证两章”，即动物检疫合格证明、肉品品质检验合格证、检疫验讫章和肉品品质检验合格验讫章。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1.与质量标准要求不符，病死或死因不明的畜禽肉及其制品；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2.不符合国家标准要求。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GB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/T9959.1-2019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牛羊肉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1.肌肉有光泽，色泽鲜红或深红；脂肪呈乳白色或黄色；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2.外表微干有风干膜，不粘手；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3.具有鲜牛羊肉正常气味；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4.牛肉、羊肉含水量检测值分别低于77%、78%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ind w:firstLine="210" w:firstLineChars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5.当天送货时必须具备“两证两章”，即动物检疫合格证明、肉品品质检验合格证、检疫验讫章和肉品品质检验合格验讫章。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1.与质量标准要求不符，病死或死因不明的畜禽肉及其制品；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2.不符合国家标准要求。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牛肉：GB/T29392-2022</w:t>
            </w:r>
          </w:p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羊肉：GB/T9961-2008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禽  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1.杜绝注水禽类；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2.体表色泽洁白，肉质紧密，角膜有弹性，不粘手，指压不留陷窝；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3.具有该禽类所固有的气味，无其他异味；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4.腔内无杂物。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1.与质量标准要求不符，病死或死因不明的畜禽肉及其制品；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2.不符合国家标准要求。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GB 6869-2005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水产类</w:t>
            </w:r>
          </w:p>
          <w:p>
            <w:pPr>
              <w:pStyle w:val="11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Cs w:val="21"/>
                <w:highlight w:val="none"/>
                <w:lang w:val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每批次需随附检验检疫报告）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鱼  类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1.鱼眼突出，角膜清晰透明；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2.体表面色泽鲜明，鳞完整或稍有花鳞，鳞片紧粘皮上不易剥落，有透明粘液；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3.鳃鲜红，鳃丝鲜红或紫红，鳃盖禁闭易揭开，肉质坚实，有弹性，骨肉不分离；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4.淡水鱼实行活鱼供应，具有鲜鱼固有的鲜明色泽，粘度透明；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5.具有鲜鱼虾的正常腥味，无异臭味。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1.与质量标准要求不符；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2.不符合国家标准要求。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GB/T 5009.45-2003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105"/>
              </w:tabs>
              <w:snapToGrid w:val="0"/>
              <w:spacing w:line="300" w:lineRule="auto"/>
              <w:jc w:val="left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果蔬类（</w:t>
            </w: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zh-CN"/>
              </w:rPr>
              <w:t>★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单天采购，需随附农药残留质检报告）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叶菜</w:t>
            </w:r>
          </w:p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（白菜、菠菜、空心菜、筒篙、芹菜等）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1.外形正常，肉质鲜嫩形态好，色泽正常；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2.叶梗光滑幼嫩，茎基部削平，无枯黄叶、病叶、泥土、明显机械伤和病虫害伤，无烧心焦边、腐烂等现象；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3.无抽苔（菜心除外），无异味，结球叶菜要结球适度，花椰菜应新鲜洁白，不带叶鼓，无畸形花；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4.无明显浸水现象；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5.农药残留不超标。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鲜度嫩度明显不佳，含黄叶、须根、泥土，虫害严重，萎捏严重，浸水后仍不可恢复，农药残留超标。</w:t>
            </w:r>
          </w:p>
        </w:tc>
        <w:tc>
          <w:tcPr>
            <w:tcW w:w="588" w:type="pct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国家或行业相关标准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果蔬类</w:t>
            </w:r>
          </w:p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（番茄、黄瓜、茄子、辣椒等）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果实整洁，成熟度适中，无裂果及空洞现象，茄果不能有裂蒂及果皮变硬现象，无虫害，无疤点，无断裂，无腐烂、异味，不带泥土，无明显机械伤，农药残留不超标。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与质量标准要求不符，部分产品浸水后仍不可恢复，与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自购标准存在较大负偏差，农药残留超标。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根茎类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（萝卜、土豆等）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无虫咬、发芽、发霉现象，表皮细致光滑，肉质脆嫩致密新鲜，无腐烂、裂痕、糠心、异味，不带泥沙，不带茎叶和须根。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与质量标准要求不符，部分产品浸水后仍不可恢复，与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自购标准存在较大负偏差。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葱蒜类</w:t>
            </w:r>
          </w:p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（葱、蒜、韭菜、洋葱等）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允许葱、青蒜类保留干净须根，葱、蒜、韭菜不带老叶，蒜头、洋葱去根去枯叶，可食部分新鲜幼嫩，无腐烂、异味。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与质量标准要求不符，部分产品浸水后仍不可恢复，与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自购标准存在较大负偏差，农药残留超标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水生菜类</w:t>
            </w:r>
          </w:p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（藕、菱白等）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肉质嫩，成熟度适中，无腐烂、异味，无明显机械伤，不带泥土和杂质，不干瘪，菱白不黑心。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与质量标准要求不符，部分产品浸水后仍不可恢复，与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自购标准存在较大负偏差。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芽苗类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（豆芽、香椿苗等）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芽苗幼嫩，不带豆壳杂质，新鲜，不浸水，无腐烂、异味。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与质量标准要求不符，部分产品浸水后仍不可恢复，与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采购人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自购标准存在较大负偏差，农药残留超标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水果类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产品新鲜，有水果应有的颜色；发育充分，无刀伤，无腐烂部位，无农药气味，无臭味；农药残留不超标；成箱包装的品相大小保持一致。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产品腐烂变质，表皮变皱却水分，发育不充分，未完全成熟，品相大小差距比较大，农药残留超标。</w:t>
            </w:r>
          </w:p>
        </w:tc>
        <w:tc>
          <w:tcPr>
            <w:tcW w:w="588" w:type="pct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蛋  奶（</w:t>
            </w:r>
            <w:r>
              <w:rPr>
                <w:rStyle w:val="10"/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zh-CN"/>
              </w:rPr>
              <w:t>★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奶类需随附质检报告）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鸡蛋、鹌鹑蛋、土鸡蛋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蛋壳清洁完整，色泽鲜明，无破损、裂纹，无霉斑，灯光透视时，整个蛋呈桔黄色至橙红色，蛋黄不见或略见阴影，没有霉味、酸味，臭味等不良气味，打开后蛋黄凸起、完整、有韧性，蛋白澄清、透明、稀稠分明，无异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蛋壳破损严重，有霉斑，散发霉臭味，与质量标准要求较多不符。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国家或行业相关标准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鲜牛奶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根据采购人要求配送相应品牌的牛奶，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距出厂日期10天以内且按照厂家要求保存条件储存未超出保质期，色泽乳白，有纯奶的鲜香味。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国家或行业相关标准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酸奶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根据采购人要求配送相应品牌的酸奶，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距出厂日期10天以内且按照厂家要求保存条件储存未超出保质期。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与质量标准要求不符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国家或行业相关标准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豆制品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豆腐等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豆腐呈均匀的乳白色或淡黄色，稍有光泽，块形完整，软硬适度，富有一定的弹性，质地细嫩，结构均匀，无杂质，具有豆腐特有的香味，取样品品尝时口感细腻鲜嫩，味道纯正清香。豆皮、豆干等新鲜无杂质异味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国家或行业相关标准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调料、干货、干果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调料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1.无霉变和虫蛀鼠咬现象；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2.无臭味，货品新鲜，色泽正常；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3.无“三无”产品，货品在保质期以内，外包装清洁卫生、无破损，包装上的商品名称、厂址、规格、生产日期、质保期等信息与内容物相符，标示清晰，批次号清楚等；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4.经食品检验检疫合格，调料成分符合国家卫生标准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5.所提供的油要求为：一级压榨、非转基因产品。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1.不符合质量标准要求，无“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CS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”食品安全认证的产品；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2.无品名、产地、厂名、生产日期、质保期及中文标识、原料说明的定型包装食品；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3.超过质保期或不符合食品标签规定的定型包装食品；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4.腐败变质，油脂酸败，霉变，生虫，污秽不洁，混有异味或者其他感官性状异常，含有毒或有害物质污染，可能对人体健康有害的食品。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干货、干果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1.无霉变和虫蛀鼠咬现象；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2.无异味味，货品新鲜，色泽正常；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3.无“三无”产品，货品在保质期以内，外包装清洁卫生、无破损，包装上的商品名称、厂址、规格、生产日期、质保期等信息与内容物相符，标示清晰，批次号清楚等；</w:t>
            </w:r>
          </w:p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4.经食品检验检疫合格，符合国家卫生标准。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1.不符合质量标准要求，无“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CS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”食品安全认证的产品；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2.无品名、产地、厂名、生产日期、质保期及中文标识、原料说明的定型包装食品；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3.超过质保期或不符合食品标签规定的定型包装食品；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4.腐败变质，油脂酸败，霉变，生虫，污秽不洁，混有异味或者其他感官性状异常，含有毒或有害物质污染，可能对人体健康有害的食品。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14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糕点</w:t>
            </w:r>
          </w:p>
        </w:tc>
        <w:tc>
          <w:tcPr>
            <w:tcW w:w="488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糕点饼干等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4" w:leftChars="59" w:right="94" w:rightChars="45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无“三无”产品，货品在保质期以内，外包装清洁卫生、无破损，包装上的商品名称、厂址、规格、生产日期、质保期等信息与内容物相符，标示清晰，批次号清楚等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根据采购人要求配送相应品牌的糕点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511" w:type="pct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1.不符合质量标准要求，无“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S”食品安全认证的产品；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2.无品名、产地、厂名、生产日期、质保期及中文标识、原料说明的定型包装食品；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3.超过质保期或不符合食品标签规定的定型包装食品；</w:t>
            </w:r>
          </w:p>
          <w:p>
            <w:pPr>
              <w:snapToGrid w:val="0"/>
              <w:spacing w:line="300" w:lineRule="auto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4.腐败变质，油脂酸败，霉变，生虫，污秽不洁，混有异味或者其他感官性状异常，含有毒或有害物质污染，可能对人体健康有害的食品。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10"/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国家或行业相关标准</w:t>
            </w:r>
          </w:p>
        </w:tc>
      </w:tr>
    </w:tbl>
    <w:p>
      <w:pPr>
        <w:pStyle w:val="9"/>
        <w:numPr>
          <w:ilvl w:val="0"/>
          <w:numId w:val="0"/>
        </w:numPr>
        <w:snapToGrid w:val="0"/>
        <w:spacing w:line="360" w:lineRule="auto"/>
        <w:jc w:val="both"/>
        <w:rPr>
          <w:rStyle w:val="10"/>
          <w:rFonts w:hint="eastAsia" w:ascii="仿宋" w:hAnsi="仿宋" w:eastAsia="仿宋" w:cs="仿宋"/>
          <w:b/>
          <w:bCs/>
          <w:i/>
          <w:iCs/>
          <w:color w:val="auto"/>
          <w:sz w:val="28"/>
          <w:szCs w:val="28"/>
          <w:highlight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采购项目商务要求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firstLine="0" w:firstLineChars="0"/>
        <w:jc w:val="left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（一）配送时间、地点、方式及要求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1.配送时间：每天为一个配送周期；当天上午0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7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: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0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0前配送到指定位置；如遇特殊情况，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采购人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确需多次供货的，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供应商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应按照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采购人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要求及时将所需副食品配送到位。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2.配送地点：幼儿园指定地点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3.配送方式：供应商指定1名联络人（联络及配送人员须提供健康证），采购人每天下午1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7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：00前将次日食品需求清单电话、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微信小程序或邮箱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通知供应商。供应商按照需求清单及相关要求，将所需产品准时送至配送地点。供应商送货时需附经公司盖章的副食品送货机打清单。指定联络人组织食堂验收人员按照产品质量标准要求，对照需求清单组织产品验收，经验收合格后，在供应商提供的送货清单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上签字盖章确认。送货清单一式两份，双方各留存一份，用于月底清算配送费用，配送人员需有相应的配送业务经历，便于业务沟通。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4.要求：（1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）若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供应商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不能按时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、按质、按量供货，导致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</w:rPr>
        <w:t>幼儿园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无法正常供应伙食的，采购人有权自行采购同等质量的货物，由此造成的经济损失和责任均由供应商承担，并承担违约责任。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default"/>
          <w:highlight w:val="none"/>
          <w:lang w:val="en-US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（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2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）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供应商应针对本招标项目提供物流配送、车辆数量、人员安排等服务方案，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肉蛋奶有冷链冷藏运输机制。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3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）肉类、水产等产品必须具有动物检验检疫合格证明或化验单；调料等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必须具有“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C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S”食品质量安全认证标志。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4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）果蔬必须保证新鲜，按供货批次提供蔬菜农药检测结果，且符合食品卫生安全法要求。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5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）供应商对提供的所有副食品必须在供货清单上加盖单位公章。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6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）供应商负责供货产品的食品安全，必须做到来源可溯。</w:t>
      </w:r>
    </w:p>
    <w:p>
      <w:pPr>
        <w:pStyle w:val="2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（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7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）因产品质量问题出现安全事故，供应方应在 2 小时内到达现场处理，主动做好协调、救援、安抚、善后等工作。若出现群体呕吐、腹泻等其他情况，经相关职能部门或机构检测确系产品质量问题导致的，由供应商负全责，采购方有权终止合同，且履约保证金不退还，所造成的一切经济损失和法律责任由供应方自行承担。</w:t>
      </w:r>
    </w:p>
    <w:p>
      <w:pPr>
        <w:pStyle w:val="2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（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8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）供应方主要负责人和相关主管人员必须到现场指导、处理，慰问，做好安抚工作和善后处理，并承担一切责任和产生的一切费用，若供应商不能按时缴纳所需费用，则在所交的履约保证金中支付。</w:t>
      </w:r>
    </w:p>
    <w:p>
      <w:pPr>
        <w:pStyle w:val="3"/>
        <w:ind w:firstLine="560" w:firstLineChars="200"/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</w:pPr>
      <w:bookmarkStart w:id="0" w:name="_GoBack"/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（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9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）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en-US" w:eastAsia="zh-CN" w:bidi="ar-SA"/>
        </w:rPr>
        <w:t>供应商</w:t>
      </w:r>
      <w:r>
        <w:rPr>
          <w:rStyle w:val="10"/>
          <w:rFonts w:hint="eastAsia" w:ascii="仿宋" w:hAnsi="仿宋" w:eastAsia="仿宋" w:cs="仿宋"/>
          <w:color w:val="auto"/>
          <w:kern w:val="2"/>
          <w:sz w:val="28"/>
          <w:szCs w:val="32"/>
          <w:highlight w:val="none"/>
          <w:lang w:val="zh-CN" w:eastAsia="zh-CN" w:bidi="ar-SA"/>
        </w:rPr>
        <w:t>自身具有食材快速检测的能力，拥有快速检测设备，提供购置发票或者租赁合同或承诺函，承诺函内容“若我公司中标，签订合同前想采购人提供购置发票或租赁合同”。</w:t>
      </w:r>
    </w:p>
    <w:bookmarkEnd w:id="0"/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（二）售后服务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投标人整个运输过程应科学合理，运输必须采用符合卫生要求的外包装和运载工具，并且要保持清洁和定期消毒，车厢内无不良气味、异味。运达指定地点后积极配合采购人验收人员进行验收。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（三）付款及结算方式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付款实行按月结算。供应商按采购人要求完成上个月供货后，于次月10日前凭实际采购量开具发票、双方盖章确认的送货清单等相关凭证向采购人申请付款，采购人收到申请后在15日内结清上个月货款。特殊情况，根据甲方实际情况为准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）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基准价格确定流程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1、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每季度第一个月初，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采购人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代表、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家委会代表及供应商代表组成3人以上单数询价小组；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2、询价对象：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西安市各大超市（华润、麦德龙、人人乐、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永辉等大型连锁超市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  <w:t>）；</w:t>
      </w:r>
    </w:p>
    <w:p>
      <w:pPr>
        <w:snapToGrid w:val="0"/>
        <w:spacing w:line="360" w:lineRule="auto"/>
        <w:ind w:firstLine="560" w:firstLineChars="200"/>
        <w:rPr>
          <w:rStyle w:val="10"/>
          <w:rFonts w:hint="default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3、询价流程：由采购人根据幼儿园实际需求制定询价表，至少询价3个超市，询价结束后询价小组成员签字确认。询价后的基准价计算公式为：基准价=(A1+A2+A3)/3*90%;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4、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/>
        </w:rPr>
        <w:t>其他没有参考价格的特殊生活物资本着互利共赢的原则，由双方议价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  <w:t>确定供应价格；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5、遇学校大型活动、突发公共事件、不可抗力等特殊情况无法按期询价的，暂按上一季度基准价执行，待询价完成，再执行新基准价。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  <w:t>（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zh-CN" w:eastAsia="zh-CN"/>
        </w:rPr>
        <w:t>）</w:t>
      </w: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结算价格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餐料结算价格=基准价格*（1-优惠率）。</w:t>
      </w:r>
    </w:p>
    <w:p>
      <w:pPr>
        <w:snapToGrid w:val="0"/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32"/>
          <w:highlight w:val="none"/>
          <w:lang w:val="en-US" w:eastAsia="zh-CN"/>
        </w:rPr>
        <w:t>实际结算费用=餐料结算价格×该价格餐料供应数量。</w:t>
      </w:r>
    </w:p>
    <w:p>
      <w:pPr>
        <w:snapToGrid w:val="0"/>
        <w:spacing w:line="360" w:lineRule="auto"/>
        <w:ind w:firstLine="562" w:firstLineChars="200"/>
        <w:rPr>
          <w:rStyle w:val="10"/>
          <w:rFonts w:hint="default" w:ascii="仿宋" w:hAnsi="仿宋" w:eastAsia="仿宋" w:cs="仿宋"/>
          <w:b/>
          <w:bCs/>
          <w:color w:val="auto"/>
          <w:sz w:val="28"/>
          <w:szCs w:val="32"/>
          <w:highlight w:val="none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32"/>
          <w:highlight w:val="none"/>
          <w:lang w:val="en-US" w:eastAsia="zh-CN"/>
        </w:rPr>
        <w:t>各供应商自行承担每季度内的价格波动风险，合理报价，不接受调价申请。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84D0A"/>
    <w:multiLevelType w:val="singleLevel"/>
    <w:tmpl w:val="AF784D0A"/>
    <w:lvl w:ilvl="0" w:tentative="0">
      <w:start w:val="2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1">
    <w:nsid w:val="39DA2991"/>
    <w:multiLevelType w:val="multilevel"/>
    <w:tmpl w:val="39DA2991"/>
    <w:lvl w:ilvl="0" w:tentative="0">
      <w:start w:val="1"/>
      <w:numFmt w:val="chineseCountingThousand"/>
      <w:suff w:val="nothing"/>
      <w:lvlText w:val="%1、"/>
      <w:lvlJc w:val="left"/>
      <w:pPr>
        <w:ind w:left="-129" w:firstLine="555"/>
        <w:textAlignment w:val="baseline"/>
      </w:pPr>
      <w:rPr>
        <w:b w:val="0"/>
        <w:i w:val="0"/>
        <w:color w:val="000000"/>
      </w:rPr>
    </w:lvl>
    <w:lvl w:ilvl="1" w:tentative="0">
      <w:start w:val="1"/>
      <w:numFmt w:val="japaneseCounting"/>
      <w:lvlText w:val="%1、"/>
      <w:lvlJc w:val="left"/>
      <w:pPr>
        <w:ind w:left="1701" w:hanging="7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821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2241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661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3081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3501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921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4341" w:hanging="420"/>
        <w:textAlignment w:val="baseline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OTVjNWFjYzJkYzk0MDBjNDI4Y2U5MjhhNjU3NDMifQ=="/>
  </w:docVars>
  <w:rsids>
    <w:rsidRoot w:val="5B356A4D"/>
    <w:rsid w:val="05B31D8A"/>
    <w:rsid w:val="1F300BB3"/>
    <w:rsid w:val="26325E68"/>
    <w:rsid w:val="2BD04AE6"/>
    <w:rsid w:val="3DEE16FE"/>
    <w:rsid w:val="40B46715"/>
    <w:rsid w:val="414B08D8"/>
    <w:rsid w:val="510024AF"/>
    <w:rsid w:val="5B3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rFonts w:ascii="宋体" w:hAnsi="宋体" w:eastAsia="宋体" w:cs="宋体"/>
      <w:b/>
      <w:bCs/>
      <w:color w:val="000000" w:themeColor="text1"/>
      <w:kern w:val="36"/>
      <w:sz w:val="44"/>
      <w:szCs w:val="60"/>
      <w14:textFill>
        <w14:solidFill>
          <w14:schemeClr w14:val="tx1"/>
        </w14:solidFill>
      </w14:textFill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UserStyle_15"/>
    <w:basedOn w:val="1"/>
    <w:autoRedefine/>
    <w:qFormat/>
    <w:uiPriority w:val="0"/>
    <w:pPr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10">
    <w:name w:val="NormalCharacter"/>
    <w:autoRedefine/>
    <w:qFormat/>
    <w:uiPriority w:val="0"/>
  </w:style>
  <w:style w:type="paragraph" w:customStyle="1" w:styleId="11">
    <w:name w:val="BodyText"/>
    <w:basedOn w:val="1"/>
    <w:autoRedefine/>
    <w:qFormat/>
    <w:uiPriority w:val="0"/>
    <w:rPr>
      <w:sz w:val="21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2024-03-27T06:17:00Z</dcterms:created>
  <dc:creator>王琦</dc:creator>
  <cp:lastModifiedBy>王琦</cp:lastModifiedBy>
  <dcterms:modified xsi:type="dcterms:W3CDTF">2024-04-01T08:18:10Z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C66F1B2F193A4CB4A38638F0754533FD_13</vt:lpwstr>
  </property>
</Properties>
</file>