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autoSpaceDE/>
        <w:autoSpaceDN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highlight w:val="none"/>
          <w:lang w:val="en-US" w:eastAsia="zh-CN"/>
        </w:rPr>
        <w:t>一、技术服务要求</w:t>
      </w:r>
      <w:bookmarkStart w:id="0" w:name="_GoBack"/>
      <w:bookmarkEnd w:id="0"/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根据西安督察局提供的矢量数据，将数据分割、分层、分市上传督察执法模块，建立省级督察任务，组织开展省级疑似问题图斑“互联网+〞举证、校查；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根据提供的整改矢量，对问题图斑进行分割、套合；根据提供照片及方位情况，套合图斑内现场拆除复耕情况，初步认定图斑面积与整改套合情況、未套合情况及其地类情况；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通过航拍、卫星影像与图斑套合，初步确认图斑变化情况；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开展图层分析，套合图斑与耕地、永久基本农田的相互关系，初步确认图斑内各种地类变化情況；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5、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根据套合情况，开展实地外业核实，确定问题图斑整改情況；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6、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配合开展督察信息平台的维护，信息数据上传更新导出等。</w:t>
      </w:r>
    </w:p>
    <w:p>
      <w:pPr>
        <w:widowControl/>
        <w:kinsoku/>
        <w:autoSpaceDE/>
        <w:autoSpaceDN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highlight w:val="none"/>
          <w:lang w:val="en-US" w:eastAsia="zh-CN"/>
        </w:rPr>
        <w:t>二、服务团队要求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1、成交供应商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应成立承担采购人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技术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服务范围和工作内容的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技术服务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团队，团队内各专业人员应配备齐全。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项目团队负责人应具有职称，从事本专业工作五年以上，具有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担任项目负责人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的经验，具有良好的职业道德和较强的沟通协调能力，提供项目负责人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劳动合同、缴纳社保证明、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相关证书。项目团队负责人即为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成交供应商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指派的对接联络人，不得随意更换，且需全过程参与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技术服务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工作（特殊情况除外）。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在项目服务期内，项目团队应保持相对稳定，以保证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技术服务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</w:rPr>
        <w:t>工作正常进行。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4、成交供应商应为本项目提供不少于2人的驻场服务人员，驻场服务人员需服从采购人管理，依据采购人工作安排提供技术服务。</w:t>
      </w:r>
    </w:p>
    <w:p>
      <w:pPr>
        <w:widowControl/>
        <w:kinsoku/>
        <w:autoSpaceDE/>
        <w:autoSpaceDN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highlight w:val="none"/>
          <w:lang w:val="en-US" w:eastAsia="zh-CN"/>
        </w:rPr>
        <w:t>三、商务要求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1、服务期及服务地点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1.1服务期：一年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1.2服务地点：采购人指定地点。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2、验收要求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2.1项目验收由采购人或其委托的专家或第三方机构对项目进行验收，验收时，成交人应无条件予以配合并提供所需的全部资料；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2.2验收依据：磋商文件、响应文件、合同文本、国内相应的标准、规范。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3、保密要求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参与本项目的项目组成员须与用户签署此项目特定的保密协议，对工作过程数据和结果数据严格保密，未经授权不得泄露给任何单位和个人。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4.付款方式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4.1合同签订后15个工作日内，支付合同总金额的50%；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4.2项目验收合格后15个工作日内，支付剩余50%合同款项；</w:t>
      </w:r>
    </w:p>
    <w:p>
      <w:pPr>
        <w:widowControl/>
        <w:kinsoku/>
        <w:autoSpaceDE/>
        <w:autoSpaceDN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4.3供应商在采购人办理以上各期付款的支付手续前，应向采购人出具等额的符合国家规定的发票；</w:t>
      </w:r>
    </w:p>
    <w:p>
      <w:pPr>
        <w:rPr>
          <w:highlight w:val="none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highlight w:val="none"/>
          <w:lang w:val="en-US" w:eastAsia="zh-CN"/>
        </w:rPr>
        <w:t>4.4上述时间不包括采购人正常办理支付报批手续的时间。</w:t>
      </w:r>
    </w:p>
    <w:sectPr>
      <w:pgSz w:w="11900" w:h="16838"/>
      <w:pgMar w:top="1440" w:right="1803" w:bottom="1440" w:left="1803" w:header="0" w:footer="0" w:gutter="0"/>
      <w:pgNumType w:fmt="decimal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NmNkZDhmZWE1MjZjM2ZkNzU0NWM3ZjQwYWE1OGEifQ=="/>
  </w:docVars>
  <w:rsids>
    <w:rsidRoot w:val="0CF9020D"/>
    <w:rsid w:val="01A74A4D"/>
    <w:rsid w:val="025B2D3B"/>
    <w:rsid w:val="04663787"/>
    <w:rsid w:val="0CF9020D"/>
    <w:rsid w:val="1C1823A7"/>
    <w:rsid w:val="2FC320F1"/>
    <w:rsid w:val="5E444A2C"/>
    <w:rsid w:val="6C227395"/>
    <w:rsid w:val="6E991140"/>
    <w:rsid w:val="76813B89"/>
    <w:rsid w:val="7CB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ascii="Calibri" w:hAnsi="Calibri" w:eastAsia="黑体" w:cs="Times New Roman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eastAsia="宋体"/>
      <w:b/>
      <w:sz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60" w:lineRule="auto"/>
    </w:pPr>
    <w:rPr>
      <w:rFonts w:ascii="Calibri" w:hAnsi="Calibri" w:cs="Times New Roman"/>
      <w:sz w:val="28"/>
      <w:szCs w:val="22"/>
      <w:lang w:val="zh-CN" w:bidi="zh-CN"/>
    </w:rPr>
  </w:style>
  <w:style w:type="character" w:customStyle="1" w:styleId="7">
    <w:name w:val="标题 1 Char"/>
    <w:link w:val="3"/>
    <w:autoRedefine/>
    <w:qFormat/>
    <w:uiPriority w:val="0"/>
    <w:rPr>
      <w:rFonts w:ascii="Calibri" w:hAnsi="Calibri" w:eastAsia="黑体" w:cs="Times New Roman"/>
      <w:b/>
      <w:kern w:val="44"/>
      <w:sz w:val="44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2024-03-28T09:58:00Z</dcterms:created>
  <dc:creator>hp</dc:creator>
  <cp:lastModifiedBy>hp</cp:lastModifiedBy>
  <dcterms:modified xsi:type="dcterms:W3CDTF">2024-03-28T09:58:54Z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96A1C651738549B199D8E2BEEAACDF58_11</vt:lpwstr>
  </property>
</Properties>
</file>