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研究生在线课程制作及上线运行服务采购项目</w:t>
      </w:r>
    </w:p>
    <w:p>
      <w:pPr>
        <w:pStyle w:val="null3"/>
        <w:jc w:val="center"/>
        <w:outlineLvl w:val="2"/>
      </w:pPr>
      <w:r>
        <w:rPr>
          <w:b/>
          <w:sz w:val="28"/>
        </w:rPr>
        <w:t>采购项目编号：</w:t>
      </w:r>
      <w:r>
        <w:rPr>
          <w:b/>
          <w:sz w:val="28"/>
        </w:rPr>
        <w:t>ZMZB2024YDDX-31</w:t>
      </w:r>
      <w:r>
        <w:br/>
      </w:r>
      <w:r>
        <w:br/>
      </w:r>
      <w:r>
        <w:br/>
      </w:r>
    </w:p>
    <w:p>
      <w:pPr>
        <w:pStyle w:val="null3"/>
        <w:jc w:val="center"/>
        <w:outlineLvl w:val="2"/>
      </w:pPr>
      <w:r>
        <w:rPr>
          <w:b/>
          <w:sz w:val="28"/>
        </w:rPr>
        <w:t>西安邮电大学</w:t>
      </w:r>
    </w:p>
    <w:p>
      <w:pPr>
        <w:pStyle w:val="null3"/>
        <w:jc w:val="center"/>
        <w:outlineLvl w:val="2"/>
      </w:pPr>
      <w:r>
        <w:rPr>
          <w:b/>
          <w:sz w:val="28"/>
        </w:rPr>
        <w:t>陕西卓佲项目管理有限公司</w:t>
      </w:r>
      <w:r>
        <w:rPr>
          <w:b/>
          <w:sz w:val="28"/>
        </w:rPr>
        <w:t>共同编制</w:t>
      </w:r>
    </w:p>
    <w:p>
      <w:pPr>
        <w:pStyle w:val="null3"/>
        <w:jc w:val="center"/>
        <w:outlineLvl w:val="2"/>
      </w:pPr>
      <w:r>
        <w:rPr>
          <w:b/>
          <w:sz w:val="28"/>
        </w:rPr>
        <w:t>2024年04月19日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陕西卓佲项目管理有限公司</w:t>
      </w:r>
      <w:r>
        <w:rPr/>
        <w:t>（以下简称“代理机构”）受</w:t>
      </w:r>
      <w:r>
        <w:rPr/>
        <w:t>西安邮电大学</w:t>
      </w:r>
      <w:r>
        <w:rPr/>
        <w:t>委托，拟对</w:t>
      </w:r>
      <w:r>
        <w:rPr/>
        <w:t>研究生在线课程制作及上线运行服务采购项目</w:t>
      </w:r>
      <w:r>
        <w:rPr/>
        <w:t>采用竞争性磋商采购方式进行采购，兹邀请供应商参加本项目的竞争性磋商。</w:t>
      </w:r>
    </w:p>
    <w:p>
      <w:pPr>
        <w:pStyle w:val="null3"/>
        <w:outlineLvl w:val="2"/>
      </w:pPr>
      <w:r>
        <w:rPr>
          <w:b/>
          <w:sz w:val="28"/>
        </w:rPr>
        <w:t>一、项目编号：</w:t>
      </w:r>
      <w:r>
        <w:rPr>
          <w:b/>
          <w:sz w:val="28"/>
        </w:rPr>
        <w:t>ZMZB2024YDDX-31</w:t>
      </w:r>
    </w:p>
    <w:p>
      <w:pPr>
        <w:pStyle w:val="null3"/>
        <w:outlineLvl w:val="2"/>
      </w:pPr>
      <w:r>
        <w:rPr>
          <w:b/>
          <w:sz w:val="28"/>
        </w:rPr>
        <w:t>二、项目名称：</w:t>
      </w:r>
      <w:r>
        <w:rPr>
          <w:b/>
          <w:sz w:val="28"/>
        </w:rPr>
        <w:t>研究生在线课程制作及上线运行服务采购项目</w:t>
      </w:r>
    </w:p>
    <w:p>
      <w:pPr>
        <w:pStyle w:val="null3"/>
        <w:outlineLvl w:val="2"/>
      </w:pPr>
      <w:r>
        <w:rPr>
          <w:b/>
          <w:sz w:val="28"/>
        </w:rPr>
        <w:t>三、磋商项目简介</w:t>
      </w:r>
    </w:p>
    <w:p>
      <w:pPr>
        <w:pStyle w:val="null3"/>
        <w:ind w:firstLine="480"/>
      </w:pPr>
      <w:r>
        <w:rPr/>
        <w:t>研究生在线课程制作及上线运行服务采购项目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提供2022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3、具有履行合同所必需的设备和专业技术能力的书面声明：具有履行合同所必需的设备和专业技术能力的书面声明</w:t>
      </w:r>
    </w:p>
    <w:p>
      <w:pPr>
        <w:pStyle w:val="null3"/>
      </w:pPr>
      <w:r>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 2023年1月以来至少一个月的社会保障资金缴存单据或社保机构开具的社会保险参保缴费情况证明。依法不需要缴纳社会保障资金的供应商应提供相关文件证明</w:t>
      </w:r>
    </w:p>
    <w:p>
      <w:pPr>
        <w:pStyle w:val="null3"/>
      </w:pPr>
      <w:r>
        <w:rPr/>
        <w:t>6、无重大违法记录声明：参加政府采购活动前 3 年内在经营活动中没有重大违法记录的书面声明</w:t>
      </w:r>
    </w:p>
    <w:p>
      <w:pPr>
        <w:pStyle w:val="null3"/>
      </w:pPr>
      <w:r>
        <w:rPr/>
        <w:t>7、法定代表人授权书：非法定代表人参加磋商的，须提供法定代表人委托授权书及被授权人身份证，法定代表人参加磋商时,只须提供法定代表人身份证</w:t>
      </w:r>
    </w:p>
    <w:p>
      <w:pPr>
        <w:pStyle w:val="null3"/>
      </w:pPr>
      <w:r>
        <w:rPr/>
        <w:t>8、非联合体投标声明：本项目不接受联合体响应</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西安邮电大学</w:t>
      </w:r>
    </w:p>
    <w:p>
      <w:pPr>
        <w:pStyle w:val="null3"/>
      </w:pPr>
      <w:r>
        <w:rPr/>
        <w:t xml:space="preserve"> 地址： </w:t>
      </w:r>
      <w:r>
        <w:rPr/>
        <w:t>西安市长安区西长安街618号</w:t>
      </w:r>
    </w:p>
    <w:p>
      <w:pPr>
        <w:pStyle w:val="null3"/>
      </w:pPr>
      <w:r>
        <w:rPr/>
        <w:t xml:space="preserve"> 邮编： </w:t>
      </w:r>
      <w:r>
        <w:rPr/>
        <w:t>710061</w:t>
      </w:r>
    </w:p>
    <w:p>
      <w:pPr>
        <w:pStyle w:val="null3"/>
      </w:pPr>
      <w:r>
        <w:rPr/>
        <w:t xml:space="preserve"> 联系人： </w:t>
      </w:r>
      <w:r>
        <w:rPr/>
        <w:t>汪老师</w:t>
      </w:r>
    </w:p>
    <w:p>
      <w:pPr>
        <w:pStyle w:val="null3"/>
      </w:pPr>
      <w:r>
        <w:rPr/>
        <w:t xml:space="preserve"> 联系电话： </w:t>
      </w:r>
      <w:r>
        <w:rPr/>
        <w:t>88166850</w:t>
      </w:r>
    </w:p>
    <w:p>
      <w:pPr>
        <w:pStyle w:val="null3"/>
        <w:outlineLvl w:val="3"/>
      </w:pPr>
      <w:r>
        <w:rPr>
          <w:b/>
          <w:sz w:val="24"/>
        </w:rPr>
        <w:t>代理机构：</w:t>
      </w:r>
      <w:r>
        <w:rPr>
          <w:b/>
          <w:sz w:val="24"/>
        </w:rPr>
        <w:t>陕西卓佲项目管理有限公司</w:t>
      </w:r>
    </w:p>
    <w:p>
      <w:pPr>
        <w:pStyle w:val="null3"/>
      </w:pPr>
      <w:r>
        <w:rPr/>
        <w:t xml:space="preserve"> 地址： </w:t>
      </w:r>
      <w:r>
        <w:rPr/>
        <w:t>西安市雁塔区科技路10号华奥大厦A座20层2002室</w:t>
      </w:r>
    </w:p>
    <w:p>
      <w:pPr>
        <w:pStyle w:val="null3"/>
      </w:pPr>
      <w:r>
        <w:rPr/>
        <w:t xml:space="preserve"> 邮编： </w:t>
      </w:r>
      <w:r>
        <w:rPr/>
        <w:t>710065</w:t>
      </w:r>
    </w:p>
    <w:p>
      <w:pPr>
        <w:pStyle w:val="null3"/>
      </w:pPr>
      <w:r>
        <w:rPr/>
        <w:t xml:space="preserve"> 联系人： </w:t>
      </w:r>
      <w:r>
        <w:rPr/>
        <w:t>米文佳 窦元隆</w:t>
      </w:r>
    </w:p>
    <w:p>
      <w:pPr>
        <w:pStyle w:val="null3"/>
      </w:pPr>
      <w:r>
        <w:rPr/>
        <w:t xml:space="preserve"> 联系电话： </w:t>
      </w:r>
      <w:r>
        <w:rPr/>
        <w:t>17778966062</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采购包1保证金金额：12,000.00元</w:t>
            </w:r>
          </w:p>
          <w:p>
            <w:pPr>
              <w:pStyle w:val="null3"/>
            </w:pPr>
            <w:r>
              <w:rPr/>
              <w:t>缴交渠道：转账、支票、汇票等（需通过实体账户、户名及开户行信息）,电子保函</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说明：乙方在签订合同之后，按本合同金额的5%向甲方提交履约保证金，验收合格后无息退还供应商。</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中标金额在100万元以内的按照标准收取；中标金额100万元及以上的按照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西安邮电大学</w:t>
      </w:r>
      <w:r>
        <w:rPr/>
        <w:t>和</w:t>
      </w:r>
      <w:r>
        <w:rPr/>
        <w:t>陕西卓佲项目管理有限公司</w:t>
      </w:r>
      <w:r>
        <w:rPr/>
        <w:t>享有。对磋商文件中供应商参加本次政府采购活动应当具备的条件，磋商项目技术、服务、商务及其他要求，评审细则及标准由</w:t>
      </w:r>
      <w:r>
        <w:rPr/>
        <w:t>西安邮电大学</w:t>
      </w:r>
      <w:r>
        <w:rPr/>
        <w:t>负责解释。除上述磋商文件内容，其他内容由</w:t>
      </w:r>
      <w:r>
        <w:rPr/>
        <w:t>陕西卓佲项目管理有限公司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西安邮电大学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按采购文件和投标文件执行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联系人：米文件 窦元隆</w:t>
      </w:r>
    </w:p>
    <w:p>
      <w:pPr>
        <w:pStyle w:val="null3"/>
      </w:pPr>
      <w:r>
        <w:rPr/>
        <w:t>联系电话： 17778966062</w:t>
      </w:r>
    </w:p>
    <w:p>
      <w:pPr>
        <w:pStyle w:val="null3"/>
      </w:pPr>
      <w:r>
        <w:rPr/>
        <w:t>地址：西安市雁塔区科技路10号华奥大厦A座20层2002室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研究生在线课程制作及上线运行服务采购项目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研究生在线课程制作及上线运行服务</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标的名称：研究生在线课程制作及上线运行服务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一、需求背景</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按照教育部学位管理与研究生教育司《关于征集研究生教育数字资源的通知》（教研司便字</w:t>
            </w:r>
            <w:r>
              <w:rPr>
                <w:rFonts w:ascii="calibri" w:hAnsi="calibri" w:cs="calibri" w:eastAsia="calibri"/>
                <w:sz w:val="21"/>
              </w:rPr>
              <w:t>20220401</w:t>
            </w:r>
            <w:r>
              <w:rPr>
                <w:rFonts w:ascii="宋体" w:hAnsi="宋体" w:cs="宋体" w:eastAsia="宋体"/>
                <w:sz w:val="21"/>
              </w:rPr>
              <w:t>号）、国务院学位办《关于开展专业学位研究生在线示范课程建设工作的通知》（学位办〔</w:t>
            </w:r>
            <w:r>
              <w:rPr>
                <w:rFonts w:ascii="calibri" w:hAnsi="calibri" w:cs="calibri" w:eastAsia="calibri"/>
                <w:sz w:val="21"/>
              </w:rPr>
              <w:t>2022</w:t>
            </w:r>
            <w:r>
              <w:rPr>
                <w:rFonts w:ascii="宋体" w:hAnsi="宋体" w:cs="宋体" w:eastAsia="宋体"/>
                <w:sz w:val="21"/>
              </w:rPr>
              <w:t>〕</w:t>
            </w:r>
            <w:r>
              <w:rPr>
                <w:rFonts w:ascii="calibri" w:hAnsi="calibri" w:cs="calibri" w:eastAsia="calibri"/>
                <w:sz w:val="21"/>
              </w:rPr>
              <w:t>22</w:t>
            </w:r>
            <w:r>
              <w:rPr>
                <w:rFonts w:ascii="宋体" w:hAnsi="宋体" w:cs="宋体" w:eastAsia="宋体"/>
                <w:sz w:val="21"/>
              </w:rPr>
              <w:t>号）等文件精神进行总体规划和实施，在教学设计、技术参数、资源配置等方面达到国家高等教育智慧教育平台要求，能够在指定的国内外知名</w:t>
            </w:r>
            <w:r>
              <w:rPr>
                <w:rFonts w:ascii="calibri" w:hAnsi="calibri" w:cs="calibri" w:eastAsia="calibri"/>
                <w:sz w:val="21"/>
              </w:rPr>
              <w:t>MOOC</w:t>
            </w:r>
            <w:r>
              <w:rPr>
                <w:rFonts w:ascii="宋体" w:hAnsi="宋体" w:cs="宋体" w:eastAsia="宋体"/>
                <w:sz w:val="21"/>
              </w:rPr>
              <w:t>平台上线，落实建设研究生在线课程资源及后期的运营推广服务，上线国内主流慕课课程平台，并可以依托在线平台进行混合式教学</w:t>
            </w:r>
            <w:r>
              <w:rPr>
                <w:rFonts w:ascii="calibri" w:hAnsi="calibri" w:cs="calibri" w:eastAsia="calibri"/>
                <w:sz w:val="21"/>
              </w:rPr>
              <w:t>/</w:t>
            </w:r>
            <w:r>
              <w:rPr>
                <w:rFonts w:ascii="宋体" w:hAnsi="宋体" w:cs="宋体" w:eastAsia="宋体"/>
                <w:sz w:val="21"/>
              </w:rPr>
              <w:t>翻转课堂教学实践。使得所建课程资源起到广泛的应用及示范作用。</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二、需求内容</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本项目采购</w:t>
            </w:r>
            <w:r>
              <w:rPr>
                <w:rFonts w:ascii="calibri" w:hAnsi="calibri" w:cs="calibri" w:eastAsia="calibri"/>
              </w:rPr>
              <w:t>7</w:t>
            </w:r>
            <w:r>
              <w:rPr>
                <w:rFonts w:ascii="宋体" w:hAnsi="宋体" w:cs="宋体" w:eastAsia="宋体"/>
              </w:rPr>
              <w:t>门在线课程的制作及推广运营服务，所需求内容包含：</w:t>
            </w:r>
          </w:p>
          <w:p>
            <w:pPr>
              <w:pStyle w:val="null3"/>
              <w:jc w:val="both"/>
            </w:pPr>
            <w:r>
              <w:rPr>
                <w:rFonts w:ascii="calibri" w:hAnsi="calibri" w:cs="calibri" w:eastAsia="calibri"/>
              </w:rPr>
              <w:t>1.</w:t>
            </w:r>
            <w:r>
              <w:rPr>
                <w:rFonts w:ascii="宋体" w:hAnsi="宋体" w:cs="宋体" w:eastAsia="宋体"/>
              </w:rPr>
              <w:t>在线课程制作：含在线课程设计、视频拍摄、视频剪辑、后期制作、成品提供、课程服务、成品上传等。每门课程原则上不少于</w:t>
            </w:r>
            <w:r>
              <w:rPr>
                <w:rFonts w:ascii="calibri" w:hAnsi="calibri" w:cs="calibri" w:eastAsia="calibri"/>
              </w:rPr>
              <w:t>500</w:t>
            </w:r>
            <w:r>
              <w:rPr>
                <w:rFonts w:ascii="宋体" w:hAnsi="宋体" w:cs="宋体" w:eastAsia="宋体"/>
              </w:rPr>
              <w:t>分钟。</w:t>
            </w:r>
          </w:p>
          <w:p>
            <w:pPr>
              <w:pStyle w:val="null3"/>
              <w:jc w:val="both"/>
            </w:pPr>
            <w:r>
              <w:rPr>
                <w:rFonts w:ascii="calibri" w:hAnsi="calibri" w:cs="calibri" w:eastAsia="calibri"/>
              </w:rPr>
              <w:t>2.</w:t>
            </w:r>
            <w:r>
              <w:rPr>
                <w:rFonts w:ascii="宋体" w:hAnsi="宋体" w:cs="宋体" w:eastAsia="宋体"/>
              </w:rPr>
              <w:t>在线课程推广：负责将建设完成课程上线到支持国家精品课程评选的知名课程平台，同时提供课程运行推广服务，包括但不限于：专题板块推广、教指委平台推广等。支持学校开展混合式教学。</w:t>
            </w:r>
          </w:p>
          <w:p>
            <w:pPr>
              <w:pStyle w:val="null3"/>
              <w:jc w:val="both"/>
            </w:pPr>
            <w:r>
              <w:rPr>
                <w:rFonts w:ascii="calibri" w:hAnsi="calibri" w:cs="calibri" w:eastAsia="calibri"/>
                <w:sz w:val="21"/>
              </w:rPr>
              <w:t>3.</w:t>
            </w:r>
            <w:r>
              <w:rPr>
                <w:rFonts w:ascii="宋体" w:hAnsi="宋体" w:cs="宋体" w:eastAsia="宋体"/>
                <w:sz w:val="21"/>
              </w:rPr>
              <w:t>技术支持和售后：要能够开展对应课程运营、教学平台、产品相关的培训、技术支持和售后服务。</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rPr>
              <w:t>三、相关要求及参数</w:t>
            </w:r>
          </w:p>
        </w:tc>
      </w:tr>
      <w:tr>
        <w:tc>
          <w:tcPr>
            <w:tcW w:type="dxa" w:w="2769"/>
          </w:tcPr>
          <w:p/>
        </w:tc>
        <w:tc>
          <w:tcPr>
            <w:tcW w:type="dxa" w:w="2769"/>
          </w:tcPr>
          <w:p>
            <w:pPr>
              <w:pStyle w:val="null3"/>
            </w:pPr>
            <w:r>
              <w:rPr/>
              <w:t>6</w:t>
            </w:r>
          </w:p>
        </w:tc>
        <w:tc>
          <w:tcPr>
            <w:tcW w:type="dxa" w:w="2769"/>
          </w:tcPr>
          <w:p>
            <w:pPr>
              <w:pStyle w:val="null3"/>
              <w:jc w:val="both"/>
            </w:pPr>
            <w:r>
              <w:rPr>
                <w:rFonts w:ascii="calibri" w:hAnsi="calibri" w:cs="calibri" w:eastAsia="calibri"/>
              </w:rPr>
              <w:t>1</w:t>
            </w:r>
            <w:r>
              <w:rPr>
                <w:rFonts w:ascii="宋体" w:hAnsi="宋体" w:cs="宋体" w:eastAsia="宋体"/>
              </w:rPr>
              <w:t>、课程制作期间每门课程配备</w:t>
            </w:r>
            <w:r>
              <w:rPr>
                <w:rFonts w:ascii="calibri" w:hAnsi="calibri" w:cs="calibri" w:eastAsia="calibri"/>
              </w:rPr>
              <w:t>2-3</w:t>
            </w:r>
            <w:r>
              <w:rPr>
                <w:rFonts w:ascii="宋体" w:hAnsi="宋体" w:cs="宋体" w:eastAsia="宋体"/>
              </w:rPr>
              <w:t>名专门的课程编辑服务人员驻校服务。任务及要求如下：</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）协助教师团队分析课程，完成课程标准、课程设计及实施。</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）协助教师团队对课程知识点进行设计。各知识点采用课程视频形式，视频脚本设计和视频拍摄。（视频知识点数量根据每门课的情况而定，视频拍摄要求附后。）</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）协助教师团队完成慕课课程的框架设计、资源的组织与运用。</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）协助教师团队制作与课程相关的数字教学资源。包括讲义、幻灯片、教学大纲、课程视频、课堂笔记、测验题和讨论主题等。</w:t>
            </w:r>
          </w:p>
        </w:tc>
      </w:tr>
      <w:tr>
        <w:tc>
          <w:tcPr>
            <w:tcW w:type="dxa" w:w="2769"/>
          </w:tcPr>
          <w:p/>
        </w:tc>
        <w:tc>
          <w:tcPr>
            <w:tcW w:type="dxa" w:w="2769"/>
          </w:tcPr>
          <w:p>
            <w:pPr>
              <w:pStyle w:val="null3"/>
            </w:pPr>
            <w:r>
              <w:rPr/>
              <w:t>7</w:t>
            </w:r>
          </w:p>
        </w:tc>
        <w:tc>
          <w:tcPr>
            <w:tcW w:type="dxa" w:w="2769"/>
          </w:tcPr>
          <w:p>
            <w:pPr>
              <w:pStyle w:val="null3"/>
              <w:jc w:val="both"/>
            </w:pPr>
            <w:r>
              <w:rPr>
                <w:rFonts w:ascii="calibri" w:hAnsi="calibri" w:cs="calibri" w:eastAsia="calibri"/>
              </w:rPr>
              <w:t>2</w:t>
            </w:r>
            <w:r>
              <w:rPr>
                <w:rFonts w:ascii="宋体" w:hAnsi="宋体" w:cs="宋体" w:eastAsia="宋体"/>
              </w:rPr>
              <w:t>、课程制作内容及相关技术要求如下：</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为了方便授课教师录课，课程视频原则上在征得课程负责人同意后，由中标人提供场地，中标人需提供授课教师及相关人员录制往返相关费用，场地、相关摄制设备，搭建拍摄环境等录课所需的一切工作及费用均由中标人负责。若在征得课程负责人同意后在学校内拍摄，相关摄制设备人员往返费用，搭建拍摄环境人工材料等录课所需的一切工作及费用均由中标人负责。</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录制地点在演播室、教室、办公室、礼堂、实验室以及外景地等（搭建与课程相关的实景，道具）现场直录，以及利用触摸屏等媒体直录的课程。要求录制现场光线充足、环境安静。适用于理、工、医、文、史、哲等大多数学科的课程。</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）前期摄制要根据课程内容，采用多机位拍摄（</w:t>
            </w:r>
            <w:r>
              <w:rPr>
                <w:rFonts w:ascii="calibri" w:hAnsi="calibri" w:cs="calibri" w:eastAsia="calibri"/>
              </w:rPr>
              <w:t>3</w:t>
            </w:r>
            <w:r>
              <w:rPr>
                <w:rFonts w:ascii="宋体" w:hAnsi="宋体" w:cs="宋体" w:eastAsia="宋体"/>
              </w:rPr>
              <w:t>机位及以上），机位设置应满足完整记录课堂全部教学活动的要求。</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）录像设备：摄像机要求不低于专业级数字设备，所用摄像机分辨率</w:t>
            </w:r>
            <w:r>
              <w:rPr>
                <w:rFonts w:ascii="calibri" w:hAnsi="calibri" w:cs="calibri" w:eastAsia="calibri"/>
              </w:rPr>
              <w:t>4096</w:t>
            </w:r>
            <w:r>
              <w:rPr>
                <w:rFonts w:ascii="宋体" w:hAnsi="宋体" w:cs="宋体" w:eastAsia="宋体"/>
              </w:rPr>
              <w:t>×</w:t>
            </w:r>
            <w:r>
              <w:rPr>
                <w:rFonts w:ascii="calibri" w:hAnsi="calibri" w:cs="calibri" w:eastAsia="calibri"/>
              </w:rPr>
              <w:t>2160</w:t>
            </w:r>
            <w:r>
              <w:rPr>
                <w:rFonts w:ascii="宋体" w:hAnsi="宋体" w:cs="宋体" w:eastAsia="宋体"/>
              </w:rPr>
              <w:t>，录制视频宽高比</w:t>
            </w:r>
            <w:r>
              <w:rPr>
                <w:rFonts w:ascii="calibri" w:hAnsi="calibri" w:cs="calibri" w:eastAsia="calibri"/>
              </w:rPr>
              <w:t>16:9</w:t>
            </w:r>
            <w:r>
              <w:rPr>
                <w:rFonts w:ascii="宋体" w:hAnsi="宋体" w:cs="宋体" w:eastAsia="宋体"/>
              </w:rPr>
              <w:t>，视频帧率为</w:t>
            </w:r>
            <w:r>
              <w:rPr>
                <w:rFonts w:ascii="calibri" w:hAnsi="calibri" w:cs="calibri" w:eastAsia="calibri"/>
              </w:rPr>
              <w:t>60</w:t>
            </w:r>
            <w:r>
              <w:rPr>
                <w:rFonts w:ascii="宋体" w:hAnsi="宋体" w:cs="宋体" w:eastAsia="宋体"/>
              </w:rPr>
              <w:t>帧</w:t>
            </w:r>
            <w:r>
              <w:rPr>
                <w:rFonts w:ascii="calibri" w:hAnsi="calibri" w:cs="calibri" w:eastAsia="calibri"/>
              </w:rPr>
              <w:t>/</w:t>
            </w:r>
            <w:r>
              <w:rPr>
                <w:rFonts w:ascii="宋体" w:hAnsi="宋体" w:cs="宋体" w:eastAsia="宋体"/>
              </w:rPr>
              <w:t>秒。推荐使用高清数字设备。</w:t>
            </w:r>
          </w:p>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）录音设备：使用若干个专业级话筒，保证教师和学生发言的录音质量。</w:t>
            </w:r>
          </w:p>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）后期制作设备：使用相应的非线性编辑系统。</w:t>
            </w:r>
          </w:p>
          <w:p>
            <w:pPr>
              <w:pStyle w:val="null3"/>
              <w:jc w:val="both"/>
            </w:pPr>
            <w:r>
              <w:rPr>
                <w:rFonts w:ascii="宋体" w:hAnsi="宋体" w:cs="宋体" w:eastAsia="宋体"/>
              </w:rPr>
              <w:t>（</w:t>
            </w:r>
            <w:r>
              <w:rPr>
                <w:rFonts w:ascii="calibri" w:hAnsi="calibri" w:cs="calibri" w:eastAsia="calibri"/>
              </w:rPr>
              <w:t>7</w:t>
            </w:r>
            <w:r>
              <w:rPr>
                <w:rFonts w:ascii="宋体" w:hAnsi="宋体" w:cs="宋体" w:eastAsia="宋体"/>
              </w:rPr>
              <w:t>）在拍摄时应针对实际情况选择适当的拍摄方式，与后期制作统筹策划，确保成片中的多媒体演示及板书完整、清晰。</w:t>
            </w:r>
          </w:p>
          <w:p>
            <w:pPr>
              <w:pStyle w:val="null3"/>
              <w:jc w:val="both"/>
            </w:pPr>
            <w:r>
              <w:rPr>
                <w:rFonts w:ascii="宋体" w:hAnsi="宋体" w:cs="宋体" w:eastAsia="宋体"/>
              </w:rPr>
              <w:t>（</w:t>
            </w:r>
            <w:r>
              <w:rPr>
                <w:rFonts w:ascii="calibri" w:hAnsi="calibri" w:cs="calibri" w:eastAsia="calibri"/>
              </w:rPr>
              <w:t>8</w:t>
            </w:r>
            <w:r>
              <w:rPr>
                <w:rFonts w:ascii="宋体" w:hAnsi="宋体" w:cs="宋体" w:eastAsia="宋体"/>
              </w:rPr>
              <w:t>）声音录制要求采用专业级话筒，保证教师授课的录音质量。</w:t>
            </w:r>
          </w:p>
          <w:p>
            <w:pPr>
              <w:pStyle w:val="null3"/>
              <w:jc w:val="both"/>
            </w:pPr>
            <w:r>
              <w:rPr>
                <w:rFonts w:ascii="宋体" w:hAnsi="宋体" w:cs="宋体" w:eastAsia="宋体"/>
              </w:rPr>
              <w:t>（</w:t>
            </w:r>
            <w:r>
              <w:rPr>
                <w:rFonts w:ascii="calibri" w:hAnsi="calibri" w:cs="calibri" w:eastAsia="calibri"/>
              </w:rPr>
              <w:t>9</w:t>
            </w:r>
            <w:r>
              <w:rPr>
                <w:rFonts w:ascii="宋体" w:hAnsi="宋体" w:cs="宋体" w:eastAsia="宋体"/>
              </w:rPr>
              <w:t>）根据教学需求，制作相应的二维、三维多媒体动画。</w:t>
            </w:r>
          </w:p>
          <w:p>
            <w:pPr>
              <w:pStyle w:val="null3"/>
              <w:jc w:val="both"/>
            </w:pPr>
            <w:r>
              <w:rPr>
                <w:rFonts w:ascii="宋体" w:hAnsi="宋体" w:cs="宋体" w:eastAsia="宋体"/>
              </w:rPr>
              <w:t>（</w:t>
            </w:r>
            <w:r>
              <w:rPr>
                <w:rFonts w:ascii="calibri" w:hAnsi="calibri" w:cs="calibri" w:eastAsia="calibri"/>
              </w:rPr>
              <w:t>10</w:t>
            </w:r>
            <w:r>
              <w:rPr>
                <w:rFonts w:ascii="宋体" w:hAnsi="宋体" w:cs="宋体" w:eastAsia="宋体"/>
              </w:rPr>
              <w:t>）使用专业非线剪辑软件进行后期编辑合成，根据课程内容插入适当的图片、二维动画、三维动画、视频等媒体素材（所有素材不应侵犯第三方版权），使课程具有较强的感染力，帮助学生理解和掌握课程内容。</w:t>
            </w:r>
          </w:p>
          <w:p>
            <w:pPr>
              <w:pStyle w:val="null3"/>
              <w:jc w:val="both"/>
            </w:pPr>
            <w:r>
              <w:rPr>
                <w:rFonts w:ascii="宋体" w:hAnsi="宋体" w:cs="宋体" w:eastAsia="宋体"/>
              </w:rPr>
              <w:t>（</w:t>
            </w:r>
            <w:r>
              <w:rPr>
                <w:rFonts w:ascii="calibri" w:hAnsi="calibri" w:cs="calibri" w:eastAsia="calibri"/>
              </w:rPr>
              <w:t>11</w:t>
            </w:r>
            <w:r>
              <w:rPr>
                <w:rFonts w:ascii="宋体" w:hAnsi="宋体" w:cs="宋体" w:eastAsia="宋体"/>
              </w:rPr>
              <w:t>）生成视频，按技术要求压缩为适当的流媒体格式。</w:t>
            </w:r>
          </w:p>
          <w:p>
            <w:pPr>
              <w:pStyle w:val="null3"/>
              <w:jc w:val="both"/>
            </w:pPr>
            <w:r>
              <w:rPr>
                <w:rFonts w:ascii="宋体" w:hAnsi="宋体" w:cs="宋体" w:eastAsia="宋体"/>
                <w:sz w:val="21"/>
              </w:rPr>
              <w:t>（</w:t>
            </w:r>
            <w:r>
              <w:rPr>
                <w:rFonts w:ascii="calibri" w:hAnsi="calibri" w:cs="calibri" w:eastAsia="calibri"/>
                <w:sz w:val="21"/>
              </w:rPr>
              <w:t>12</w:t>
            </w:r>
            <w:r>
              <w:rPr>
                <w:rFonts w:ascii="宋体" w:hAnsi="宋体" w:cs="宋体" w:eastAsia="宋体"/>
                <w:sz w:val="21"/>
              </w:rPr>
              <w:t>）每门线上课程对应线上一学分，课程时长不得少于</w:t>
            </w:r>
            <w:r>
              <w:rPr>
                <w:rFonts w:ascii="calibri" w:hAnsi="calibri" w:cs="calibri" w:eastAsia="calibri"/>
                <w:sz w:val="21"/>
              </w:rPr>
              <w:t>400</w:t>
            </w:r>
            <w:r>
              <w:rPr>
                <w:rFonts w:ascii="宋体" w:hAnsi="宋体" w:cs="宋体" w:eastAsia="宋体"/>
                <w:sz w:val="21"/>
              </w:rPr>
              <w:t>分钟。</w:t>
            </w:r>
          </w:p>
        </w:tc>
      </w:tr>
      <w:tr>
        <w:tc>
          <w:tcPr>
            <w:tcW w:type="dxa" w:w="2769"/>
          </w:tcPr>
          <w:p/>
        </w:tc>
        <w:tc>
          <w:tcPr>
            <w:tcW w:type="dxa" w:w="2769"/>
          </w:tcPr>
          <w:p>
            <w:pPr>
              <w:pStyle w:val="null3"/>
            </w:pPr>
            <w:r>
              <w:rPr/>
              <w:t>8</w:t>
            </w:r>
          </w:p>
        </w:tc>
        <w:tc>
          <w:tcPr>
            <w:tcW w:type="dxa" w:w="2769"/>
          </w:tcPr>
          <w:p>
            <w:pPr>
              <w:pStyle w:val="null3"/>
              <w:jc w:val="both"/>
            </w:pPr>
            <w:r>
              <w:rPr>
                <w:rFonts w:ascii="calibri" w:hAnsi="calibri" w:cs="calibri" w:eastAsia="calibri"/>
              </w:rPr>
              <w:t>3</w:t>
            </w:r>
            <w:r>
              <w:rPr>
                <w:rFonts w:ascii="宋体" w:hAnsi="宋体" w:cs="宋体" w:eastAsia="宋体"/>
              </w:rPr>
              <w:t>、后期制作要求：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）片头与片尾，片头片尾不超过</w:t>
            </w:r>
            <w:r>
              <w:rPr>
                <w:rFonts w:ascii="calibri" w:hAnsi="calibri" w:cs="calibri" w:eastAsia="calibri"/>
              </w:rPr>
              <w:t>10</w:t>
            </w:r>
            <w:r>
              <w:rPr>
                <w:rFonts w:ascii="宋体" w:hAnsi="宋体" w:cs="宋体" w:eastAsia="宋体"/>
              </w:rPr>
              <w:t>秒，包括</w:t>
            </w:r>
            <w:r>
              <w:rPr>
                <w:rFonts w:ascii="calibri" w:hAnsi="calibri" w:cs="calibri" w:eastAsia="calibri"/>
              </w:rPr>
              <w:t>:</w:t>
            </w:r>
            <w:r>
              <w:rPr>
                <w:rFonts w:ascii="宋体" w:hAnsi="宋体" w:cs="宋体" w:eastAsia="宋体"/>
              </w:rPr>
              <w:t>学校</w:t>
            </w:r>
            <w:r>
              <w:rPr>
                <w:rFonts w:ascii="calibri" w:hAnsi="calibri" w:cs="calibri" w:eastAsia="calibri"/>
              </w:rPr>
              <w:t>LOGO</w:t>
            </w:r>
            <w:r>
              <w:rPr>
                <w:rFonts w:ascii="宋体" w:hAnsi="宋体" w:cs="宋体" w:eastAsia="宋体"/>
              </w:rPr>
              <w:t>、课程名称、主讲教师姓名、职务、讲师所获荣誉、单位等信息。</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）技术指标</w:t>
            </w:r>
          </w:p>
          <w:p>
            <w:pPr>
              <w:pStyle w:val="null3"/>
              <w:jc w:val="both"/>
            </w:pPr>
            <w:r>
              <w:rPr>
                <w:rFonts w:ascii="宋体" w:hAnsi="宋体" w:cs="宋体" w:eastAsia="宋体"/>
              </w:rPr>
              <w:t>视频信号源：（最大化保证在学校现有设备下可以进行）</w:t>
            </w:r>
          </w:p>
          <w:p>
            <w:pPr>
              <w:pStyle w:val="null3"/>
              <w:jc w:val="both"/>
            </w:pPr>
            <w:r>
              <w:rPr>
                <w:rFonts w:ascii="宋体" w:hAnsi="宋体" w:cs="宋体" w:eastAsia="宋体"/>
              </w:rPr>
              <w:t>稳定性：全片图像同步性能稳定，无失步现象，</w:t>
            </w:r>
            <w:r>
              <w:rPr>
                <w:rFonts w:ascii="calibri" w:hAnsi="calibri" w:cs="calibri" w:eastAsia="calibri"/>
              </w:rPr>
              <w:t>CTL</w:t>
            </w:r>
            <w:r>
              <w:rPr>
                <w:rFonts w:ascii="宋体" w:hAnsi="宋体" w:cs="宋体" w:eastAsia="宋体"/>
              </w:rPr>
              <w:t>同步控制信号连续；图像无抖动跳跃，色彩无突变，编辑点处图像稳定。</w:t>
            </w:r>
          </w:p>
          <w:p>
            <w:pPr>
              <w:pStyle w:val="null3"/>
              <w:jc w:val="both"/>
            </w:pPr>
            <w:r>
              <w:rPr>
                <w:rFonts w:ascii="宋体" w:hAnsi="宋体" w:cs="宋体" w:eastAsia="宋体"/>
              </w:rPr>
              <w:t>信噪比：图像信噪比不低于</w:t>
            </w:r>
            <w:r>
              <w:rPr>
                <w:rFonts w:ascii="calibri" w:hAnsi="calibri" w:cs="calibri" w:eastAsia="calibri"/>
              </w:rPr>
              <w:t>55dB</w:t>
            </w:r>
            <w:r>
              <w:rPr>
                <w:rFonts w:ascii="宋体" w:hAnsi="宋体" w:cs="宋体" w:eastAsia="宋体"/>
              </w:rPr>
              <w:t>，无明显杂波。</w:t>
            </w:r>
          </w:p>
          <w:p>
            <w:pPr>
              <w:pStyle w:val="null3"/>
              <w:jc w:val="both"/>
            </w:pPr>
            <w:r>
              <w:rPr>
                <w:rFonts w:ascii="宋体" w:hAnsi="宋体" w:cs="宋体" w:eastAsia="宋体"/>
              </w:rPr>
              <w:t>色调：白平衡正确，无明显偏色，多机拍摄的镜头衔接处无明显色差。</w:t>
            </w:r>
          </w:p>
          <w:p>
            <w:pPr>
              <w:pStyle w:val="null3"/>
              <w:jc w:val="both"/>
            </w:pPr>
            <w:r>
              <w:rPr>
                <w:rFonts w:ascii="宋体" w:hAnsi="宋体" w:cs="宋体" w:eastAsia="宋体"/>
              </w:rPr>
              <w:t>视频电平：视频全讯号幅度为</w:t>
            </w:r>
            <w:r>
              <w:rPr>
                <w:rFonts w:ascii="calibri" w:hAnsi="calibri" w:cs="calibri" w:eastAsia="calibri"/>
              </w:rPr>
              <w:t xml:space="preserve">1 Vp-p </w:t>
            </w:r>
            <w:r>
              <w:rPr>
                <w:rFonts w:ascii="宋体" w:hAnsi="宋体" w:cs="宋体" w:eastAsia="宋体"/>
              </w:rPr>
              <w:t>，最大不超过</w:t>
            </w:r>
            <w:r>
              <w:rPr>
                <w:rFonts w:ascii="calibri" w:hAnsi="calibri" w:cs="calibri" w:eastAsia="calibri"/>
              </w:rPr>
              <w:t>1.1</w:t>
            </w:r>
            <w:r>
              <w:rPr>
                <w:rFonts w:ascii="宋体" w:hAnsi="宋体" w:cs="宋体" w:eastAsia="宋体"/>
              </w:rPr>
              <w:t>Ⅴ</w:t>
            </w:r>
            <w:r>
              <w:rPr>
                <w:rFonts w:ascii="calibri" w:hAnsi="calibri" w:cs="calibri" w:eastAsia="calibri"/>
              </w:rPr>
              <w:t>p-p</w:t>
            </w:r>
            <w:r>
              <w:rPr>
                <w:rFonts w:ascii="宋体" w:hAnsi="宋体" w:cs="宋体" w:eastAsia="宋体"/>
              </w:rPr>
              <w:t>。其中，消隐电平为</w:t>
            </w:r>
            <w:r>
              <w:rPr>
                <w:rFonts w:ascii="calibri" w:hAnsi="calibri" w:cs="calibri" w:eastAsia="calibri"/>
              </w:rPr>
              <w:t>0V</w:t>
            </w:r>
            <w:r>
              <w:rPr>
                <w:rFonts w:ascii="宋体" w:hAnsi="宋体" w:cs="宋体" w:eastAsia="宋体"/>
              </w:rPr>
              <w:t>时，白电平幅度</w:t>
            </w:r>
            <w:r>
              <w:rPr>
                <w:rFonts w:ascii="calibri" w:hAnsi="calibri" w:cs="calibri" w:eastAsia="calibri"/>
              </w:rPr>
              <w:t>0.7</w:t>
            </w:r>
            <w:r>
              <w:rPr>
                <w:rFonts w:ascii="宋体" w:hAnsi="宋体" w:cs="宋体" w:eastAsia="宋体"/>
              </w:rPr>
              <w:t>Ⅴ</w:t>
            </w:r>
            <w:r>
              <w:rPr>
                <w:rFonts w:ascii="calibri" w:hAnsi="calibri" w:cs="calibri" w:eastAsia="calibri"/>
              </w:rPr>
              <w:t>p-p</w:t>
            </w:r>
            <w:r>
              <w:rPr>
                <w:rFonts w:ascii="宋体" w:hAnsi="宋体" w:cs="宋体" w:eastAsia="宋体"/>
              </w:rPr>
              <w:t>，同步信号</w:t>
            </w:r>
            <w:r>
              <w:rPr>
                <w:rFonts w:ascii="calibri" w:hAnsi="calibri" w:cs="calibri" w:eastAsia="calibri"/>
              </w:rPr>
              <w:t>-0.3V</w:t>
            </w:r>
            <w:r>
              <w:rPr>
                <w:rFonts w:ascii="宋体" w:hAnsi="宋体" w:cs="宋体" w:eastAsia="宋体"/>
              </w:rPr>
              <w:t>，色同步信号幅度</w:t>
            </w:r>
            <w:r>
              <w:rPr>
                <w:rFonts w:ascii="calibri" w:hAnsi="calibri" w:cs="calibri" w:eastAsia="calibri"/>
              </w:rPr>
              <w:t>0.3Vp-p (</w:t>
            </w:r>
            <w:r>
              <w:rPr>
                <w:rFonts w:ascii="宋体" w:hAnsi="宋体" w:cs="宋体" w:eastAsia="宋体"/>
              </w:rPr>
              <w:t>以消隐线上下对称</w:t>
            </w:r>
            <w:r>
              <w:rPr>
                <w:rFonts w:ascii="calibri" w:hAnsi="calibri" w:cs="calibri" w:eastAsia="calibri"/>
              </w:rPr>
              <w:t>)</w:t>
            </w:r>
            <w:r>
              <w:rPr>
                <w:rFonts w:ascii="宋体" w:hAnsi="宋体" w:cs="宋体" w:eastAsia="宋体"/>
              </w:rPr>
              <w:t>，全篇一致。</w:t>
            </w:r>
          </w:p>
          <w:p>
            <w:pPr>
              <w:pStyle w:val="null3"/>
              <w:jc w:val="both"/>
            </w:pPr>
            <w:r>
              <w:rPr>
                <w:rFonts w:ascii="宋体" w:hAnsi="宋体" w:cs="宋体" w:eastAsia="宋体"/>
              </w:rPr>
              <w:t>音频信号源：</w:t>
            </w:r>
          </w:p>
          <w:p>
            <w:pPr>
              <w:pStyle w:val="null3"/>
              <w:jc w:val="both"/>
            </w:pPr>
            <w:r>
              <w:rPr>
                <w:rFonts w:ascii="calibri" w:hAnsi="calibri" w:cs="calibri" w:eastAsia="calibri"/>
              </w:rPr>
              <w:t>1)</w:t>
            </w:r>
            <w:r>
              <w:rPr>
                <w:rFonts w:ascii="宋体" w:hAnsi="宋体" w:cs="宋体" w:eastAsia="宋体"/>
              </w:rPr>
              <w:t>声道：中文内容音频信号记录于第</w:t>
            </w:r>
            <w:r>
              <w:rPr>
                <w:rFonts w:ascii="calibri" w:hAnsi="calibri" w:cs="calibri" w:eastAsia="calibri"/>
              </w:rPr>
              <w:t>1</w:t>
            </w:r>
            <w:r>
              <w:rPr>
                <w:rFonts w:ascii="宋体" w:hAnsi="宋体" w:cs="宋体" w:eastAsia="宋体"/>
              </w:rPr>
              <w:t>声道，音乐、音效、同期声记录于第</w:t>
            </w:r>
            <w:r>
              <w:rPr>
                <w:rFonts w:ascii="calibri" w:hAnsi="calibri" w:cs="calibri" w:eastAsia="calibri"/>
              </w:rPr>
              <w:t>2</w:t>
            </w:r>
            <w:r>
              <w:rPr>
                <w:rFonts w:ascii="宋体" w:hAnsi="宋体" w:cs="宋体" w:eastAsia="宋体"/>
              </w:rPr>
              <w:t>声道，若有其他文字解说记录于第</w:t>
            </w:r>
            <w:r>
              <w:rPr>
                <w:rFonts w:ascii="calibri" w:hAnsi="calibri" w:cs="calibri" w:eastAsia="calibri"/>
              </w:rPr>
              <w:t>3</w:t>
            </w:r>
            <w:r>
              <w:rPr>
                <w:rFonts w:ascii="宋体" w:hAnsi="宋体" w:cs="宋体" w:eastAsia="宋体"/>
              </w:rPr>
              <w:t>声道（如录音设备无第</w:t>
            </w:r>
            <w:r>
              <w:rPr>
                <w:rFonts w:ascii="calibri" w:hAnsi="calibri" w:cs="calibri" w:eastAsia="calibri"/>
              </w:rPr>
              <w:t>3</w:t>
            </w:r>
            <w:r>
              <w:rPr>
                <w:rFonts w:ascii="宋体" w:hAnsi="宋体" w:cs="宋体" w:eastAsia="宋体"/>
              </w:rPr>
              <w:t>声道，则录于第</w:t>
            </w:r>
            <w:r>
              <w:rPr>
                <w:rFonts w:ascii="calibri" w:hAnsi="calibri" w:cs="calibri" w:eastAsia="calibri"/>
              </w:rPr>
              <w:t>2</w:t>
            </w:r>
            <w:r>
              <w:rPr>
                <w:rFonts w:ascii="宋体" w:hAnsi="宋体" w:cs="宋体" w:eastAsia="宋体"/>
              </w:rPr>
              <w:t>声道）。</w:t>
            </w:r>
          </w:p>
          <w:p>
            <w:pPr>
              <w:pStyle w:val="null3"/>
              <w:jc w:val="both"/>
            </w:pPr>
            <w:r>
              <w:rPr>
                <w:rFonts w:ascii="calibri" w:hAnsi="calibri" w:cs="calibri" w:eastAsia="calibri"/>
              </w:rPr>
              <w:t>2)</w:t>
            </w:r>
            <w:r>
              <w:rPr>
                <w:rFonts w:ascii="宋体" w:hAnsi="宋体" w:cs="宋体" w:eastAsia="宋体"/>
              </w:rPr>
              <w:t>电平指标：</w:t>
            </w:r>
            <w:r>
              <w:rPr>
                <w:rFonts w:ascii="calibri" w:hAnsi="calibri" w:cs="calibri" w:eastAsia="calibri"/>
              </w:rPr>
              <w:t xml:space="preserve">-2db </w:t>
            </w:r>
            <w:r>
              <w:rPr>
                <w:rFonts w:ascii="宋体" w:hAnsi="宋体" w:cs="宋体" w:eastAsia="宋体"/>
              </w:rPr>
              <w:t xml:space="preserve">— </w:t>
            </w:r>
            <w:r>
              <w:rPr>
                <w:rFonts w:ascii="calibri" w:hAnsi="calibri" w:cs="calibri" w:eastAsia="calibri"/>
              </w:rPr>
              <w:t>-8db</w:t>
            </w:r>
            <w:r>
              <w:rPr>
                <w:rFonts w:ascii="宋体" w:hAnsi="宋体" w:cs="宋体" w:eastAsia="宋体"/>
              </w:rPr>
              <w:t>声音应无明显失真、放音过冲、过弱。</w:t>
            </w:r>
          </w:p>
          <w:p>
            <w:pPr>
              <w:pStyle w:val="null3"/>
              <w:jc w:val="both"/>
            </w:pPr>
            <w:r>
              <w:rPr>
                <w:rFonts w:ascii="calibri" w:hAnsi="calibri" w:cs="calibri" w:eastAsia="calibri"/>
              </w:rPr>
              <w:t>3)</w:t>
            </w:r>
            <w:r>
              <w:rPr>
                <w:rFonts w:ascii="宋体" w:hAnsi="宋体" w:cs="宋体" w:eastAsia="宋体"/>
              </w:rPr>
              <w:t>音频信噪比不低于</w:t>
            </w:r>
            <w:r>
              <w:rPr>
                <w:rFonts w:ascii="calibri" w:hAnsi="calibri" w:cs="calibri" w:eastAsia="calibri"/>
              </w:rPr>
              <w:t>48db</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声音和画面要求同步，无交流声或其他杂音等缺陷。</w:t>
            </w:r>
          </w:p>
          <w:p>
            <w:pPr>
              <w:pStyle w:val="null3"/>
              <w:jc w:val="both"/>
            </w:pPr>
            <w:r>
              <w:rPr>
                <w:rFonts w:ascii="calibri" w:hAnsi="calibri" w:cs="calibri" w:eastAsia="calibri"/>
              </w:rPr>
              <w:t>5)</w:t>
            </w:r>
            <w:r>
              <w:rPr>
                <w:rFonts w:ascii="宋体" w:hAnsi="宋体" w:cs="宋体" w:eastAsia="宋体"/>
              </w:rPr>
              <w:t>伴音清晰、饱满、圆润，无失真、噪声杂音干扰、音量忽大忽小现象。</w:t>
            </w:r>
          </w:p>
          <w:p>
            <w:pPr>
              <w:pStyle w:val="null3"/>
              <w:jc w:val="both"/>
            </w:pPr>
            <w:r>
              <w:rPr>
                <w:rFonts w:ascii="宋体" w:hAnsi="宋体" w:cs="宋体" w:eastAsia="宋体"/>
                <w:sz w:val="21"/>
              </w:rPr>
              <w:t>视频发布要求：视频发布格式提倡采用流式媒体中的通用格式（以</w:t>
            </w:r>
            <w:r>
              <w:rPr>
                <w:rFonts w:ascii="calibri" w:hAnsi="calibri" w:cs="calibri" w:eastAsia="calibri"/>
                <w:sz w:val="21"/>
              </w:rPr>
              <w:t>MP4</w:t>
            </w:r>
            <w:r>
              <w:rPr>
                <w:rFonts w:ascii="宋体" w:hAnsi="宋体" w:cs="宋体" w:eastAsia="宋体"/>
                <w:sz w:val="21"/>
              </w:rPr>
              <w:t>为主）</w:t>
            </w:r>
          </w:p>
        </w:tc>
      </w:tr>
      <w:tr>
        <w:tc>
          <w:tcPr>
            <w:tcW w:type="dxa" w:w="2769"/>
          </w:tcPr>
          <w:p/>
        </w:tc>
        <w:tc>
          <w:tcPr>
            <w:tcW w:type="dxa" w:w="2769"/>
          </w:tcPr>
          <w:p>
            <w:pPr>
              <w:pStyle w:val="null3"/>
            </w:pPr>
            <w:r>
              <w:rPr/>
              <w:t>9</w:t>
            </w:r>
          </w:p>
        </w:tc>
        <w:tc>
          <w:tcPr>
            <w:tcW w:type="dxa" w:w="2769"/>
          </w:tcPr>
          <w:p>
            <w:pPr>
              <w:pStyle w:val="null3"/>
              <w:jc w:val="both"/>
            </w:pPr>
            <w:r>
              <w:rPr>
                <w:rFonts w:ascii="calibri" w:hAnsi="calibri" w:cs="calibri" w:eastAsia="calibri"/>
              </w:rPr>
              <w:t>4</w:t>
            </w:r>
            <w:r>
              <w:rPr>
                <w:rFonts w:ascii="宋体" w:hAnsi="宋体" w:cs="宋体" w:eastAsia="宋体"/>
              </w:rPr>
              <w:t>、动画项目制作要求</w:t>
            </w:r>
          </w:p>
          <w:p>
            <w:pPr>
              <w:pStyle w:val="null3"/>
              <w:jc w:val="both"/>
            </w:pPr>
            <w:r>
              <w:rPr>
                <w:rFonts w:ascii="calibri" w:hAnsi="calibri" w:cs="calibri" w:eastAsia="calibri"/>
              </w:rPr>
              <w:t>1</w:t>
            </w:r>
            <w:r>
              <w:rPr>
                <w:rFonts w:ascii="宋体" w:hAnsi="宋体" w:cs="宋体" w:eastAsia="宋体"/>
              </w:rPr>
              <w:t>）制作基本流程</w:t>
            </w:r>
          </w:p>
          <w:p>
            <w:pPr>
              <w:pStyle w:val="null3"/>
              <w:jc w:val="both"/>
            </w:pPr>
            <w:r>
              <w:rPr>
                <w:rFonts w:ascii="宋体" w:hAnsi="宋体" w:cs="宋体" w:eastAsia="宋体"/>
              </w:rPr>
              <w:t>前期制作：策划、剧本、资料的收集和整理、风格设计、角色造型设计、场景设计、分镜头脚本（</w:t>
            </w:r>
            <w:r>
              <w:rPr>
                <w:rFonts w:ascii="calibri" w:hAnsi="calibri" w:cs="calibri" w:eastAsia="calibri"/>
              </w:rPr>
              <w:t>2DLayout</w:t>
            </w:r>
            <w:r>
              <w:rPr>
                <w:rFonts w:ascii="宋体" w:hAnsi="宋体" w:cs="宋体" w:eastAsia="宋体"/>
              </w:rPr>
              <w:t>）</w:t>
            </w:r>
          </w:p>
          <w:p>
            <w:pPr>
              <w:pStyle w:val="null3"/>
              <w:jc w:val="both"/>
            </w:pPr>
            <w:r>
              <w:rPr>
                <w:rFonts w:ascii="宋体" w:hAnsi="宋体" w:cs="宋体" w:eastAsia="宋体"/>
              </w:rPr>
              <w:t>中期制作：设计稿、背景绘制、原画、加动画、动作检查</w:t>
            </w:r>
          </w:p>
          <w:p>
            <w:pPr>
              <w:pStyle w:val="null3"/>
              <w:jc w:val="both"/>
            </w:pPr>
            <w:r>
              <w:rPr>
                <w:rFonts w:ascii="宋体" w:hAnsi="宋体" w:cs="宋体" w:eastAsia="宋体"/>
              </w:rPr>
              <w:t>后期制作：扫描、电脑描线、上色、合成、输出、剪辑、配音、影片输出。</w:t>
            </w:r>
          </w:p>
          <w:p>
            <w:pPr>
              <w:pStyle w:val="null3"/>
              <w:jc w:val="both"/>
            </w:pPr>
            <w:r>
              <w:rPr>
                <w:rFonts w:ascii="calibri" w:hAnsi="calibri" w:cs="calibri" w:eastAsia="calibri"/>
              </w:rPr>
              <w:t>2</w:t>
            </w:r>
            <w:r>
              <w:rPr>
                <w:rFonts w:ascii="宋体" w:hAnsi="宋体" w:cs="宋体" w:eastAsia="宋体"/>
              </w:rPr>
              <w:t>）二维技术标准</w:t>
            </w:r>
          </w:p>
          <w:p>
            <w:pPr>
              <w:pStyle w:val="null3"/>
              <w:jc w:val="both"/>
            </w:pPr>
            <w:r>
              <w:rPr>
                <w:rFonts w:ascii="宋体" w:hAnsi="宋体" w:cs="宋体" w:eastAsia="宋体"/>
                <w:sz w:val="21"/>
              </w:rPr>
              <w:t>格式为</w:t>
            </w:r>
            <w:r>
              <w:rPr>
                <w:rFonts w:ascii="calibri" w:hAnsi="calibri" w:cs="calibri" w:eastAsia="calibri"/>
                <w:sz w:val="21"/>
              </w:rPr>
              <w:t>SWF</w:t>
            </w:r>
            <w:r>
              <w:rPr>
                <w:rFonts w:ascii="宋体" w:hAnsi="宋体" w:cs="宋体" w:eastAsia="宋体"/>
                <w:sz w:val="21"/>
              </w:rPr>
              <w:t>格式。</w:t>
            </w:r>
            <w:r>
              <w:rPr>
                <w:rFonts w:ascii="calibri" w:hAnsi="calibri" w:cs="calibri" w:eastAsia="calibri"/>
                <w:sz w:val="21"/>
              </w:rPr>
              <w:t>FLASH</w:t>
            </w:r>
            <w:r>
              <w:rPr>
                <w:rFonts w:ascii="宋体" w:hAnsi="宋体" w:cs="宋体" w:eastAsia="宋体"/>
                <w:sz w:val="21"/>
              </w:rPr>
              <w:t>导出版本为</w:t>
            </w:r>
            <w:r>
              <w:rPr>
                <w:rFonts w:ascii="calibri" w:hAnsi="calibri" w:cs="calibri" w:eastAsia="calibri"/>
                <w:sz w:val="21"/>
              </w:rPr>
              <w:t>10.0</w:t>
            </w:r>
            <w:r>
              <w:rPr>
                <w:rFonts w:ascii="宋体" w:hAnsi="宋体" w:cs="宋体" w:eastAsia="宋体"/>
                <w:sz w:val="21"/>
              </w:rPr>
              <w:t>以上，在导出时，音频流格式为</w:t>
            </w:r>
            <w:r>
              <w:rPr>
                <w:rFonts w:ascii="calibri" w:hAnsi="calibri" w:cs="calibri" w:eastAsia="calibri"/>
                <w:sz w:val="21"/>
              </w:rPr>
              <w:t>mp3</w:t>
            </w:r>
            <w:r>
              <w:rPr>
                <w:rFonts w:ascii="宋体" w:hAnsi="宋体" w:cs="宋体" w:eastAsia="宋体"/>
                <w:sz w:val="21"/>
              </w:rPr>
              <w:t>，</w:t>
            </w:r>
            <w:r>
              <w:rPr>
                <w:rFonts w:ascii="calibri" w:hAnsi="calibri" w:cs="calibri" w:eastAsia="calibri"/>
                <w:sz w:val="21"/>
              </w:rPr>
              <w:t>16kps;</w:t>
            </w:r>
            <w:r>
              <w:rPr>
                <w:rFonts w:ascii="宋体" w:hAnsi="宋体" w:cs="宋体" w:eastAsia="宋体"/>
                <w:sz w:val="21"/>
              </w:rPr>
              <w:t>音频事件格式为</w:t>
            </w:r>
            <w:r>
              <w:rPr>
                <w:rFonts w:ascii="calibri" w:hAnsi="calibri" w:cs="calibri" w:eastAsia="calibri"/>
                <w:sz w:val="21"/>
              </w:rPr>
              <w:t>mp3</w:t>
            </w:r>
            <w:r>
              <w:rPr>
                <w:rFonts w:ascii="宋体" w:hAnsi="宋体" w:cs="宋体" w:eastAsia="宋体"/>
                <w:sz w:val="21"/>
              </w:rPr>
              <w:t>，</w:t>
            </w:r>
            <w:r>
              <w:rPr>
                <w:rFonts w:ascii="calibri" w:hAnsi="calibri" w:cs="calibri" w:eastAsia="calibri"/>
                <w:sz w:val="21"/>
              </w:rPr>
              <w:t>16kps</w:t>
            </w:r>
            <w:r>
              <w:rPr>
                <w:rFonts w:ascii="宋体" w:hAnsi="宋体" w:cs="宋体" w:eastAsia="宋体"/>
                <w:sz w:val="21"/>
              </w:rPr>
              <w:t>。</w:t>
            </w:r>
            <w:r>
              <w:rPr>
                <w:rFonts w:ascii="calibri" w:hAnsi="calibri" w:cs="calibri" w:eastAsia="calibri"/>
                <w:sz w:val="21"/>
              </w:rPr>
              <w:t>FLASH</w:t>
            </w:r>
            <w:r>
              <w:rPr>
                <w:rFonts w:ascii="宋体" w:hAnsi="宋体" w:cs="宋体" w:eastAsia="宋体"/>
                <w:sz w:val="21"/>
              </w:rPr>
              <w:t>动画帧频为</w:t>
            </w:r>
            <w:r>
              <w:rPr>
                <w:rFonts w:ascii="calibri" w:hAnsi="calibri" w:cs="calibri" w:eastAsia="calibri"/>
                <w:sz w:val="21"/>
              </w:rPr>
              <w:t>24</w:t>
            </w:r>
            <w:r>
              <w:rPr>
                <w:rFonts w:ascii="宋体" w:hAnsi="宋体" w:cs="宋体" w:eastAsia="宋体"/>
                <w:sz w:val="21"/>
              </w:rPr>
              <w:t>帧，动画统一设定模板、颜色，标题大小为</w:t>
            </w:r>
            <w:r>
              <w:rPr>
                <w:rFonts w:ascii="calibri" w:hAnsi="calibri" w:cs="calibri" w:eastAsia="calibri"/>
                <w:sz w:val="21"/>
              </w:rPr>
              <w:t xml:space="preserve">32 </w:t>
            </w:r>
            <w:r>
              <w:rPr>
                <w:rFonts w:ascii="宋体" w:hAnsi="宋体" w:cs="宋体" w:eastAsia="宋体"/>
                <w:sz w:val="21"/>
              </w:rPr>
              <w:t>号字。交互动画要制定统一播放器，要有控制按钮进行操作，可控制音频声音，可任意调整播放进度。动画的框架可视内容而定，但层次结构原则上不应超过</w:t>
            </w:r>
            <w:r>
              <w:rPr>
                <w:rFonts w:ascii="calibri" w:hAnsi="calibri" w:cs="calibri" w:eastAsia="calibri"/>
                <w:sz w:val="21"/>
              </w:rPr>
              <w:t>3</w:t>
            </w:r>
            <w:r>
              <w:rPr>
                <w:rFonts w:ascii="宋体" w:hAnsi="宋体" w:cs="宋体" w:eastAsia="宋体"/>
                <w:sz w:val="21"/>
              </w:rPr>
              <w:t>层，静止时间不超过</w:t>
            </w:r>
            <w:r>
              <w:rPr>
                <w:rFonts w:ascii="calibri" w:hAnsi="calibri" w:cs="calibri" w:eastAsia="calibri"/>
                <w:sz w:val="21"/>
              </w:rPr>
              <w:t>5</w:t>
            </w:r>
            <w:r>
              <w:rPr>
                <w:rFonts w:ascii="宋体" w:hAnsi="宋体" w:cs="宋体" w:eastAsia="宋体"/>
                <w:sz w:val="21"/>
              </w:rPr>
              <w:t>秒。</w:t>
            </w:r>
          </w:p>
        </w:tc>
      </w:tr>
      <w:tr>
        <w:tc>
          <w:tcPr>
            <w:tcW w:type="dxa" w:w="2769"/>
          </w:tcPr>
          <w:p/>
        </w:tc>
        <w:tc>
          <w:tcPr>
            <w:tcW w:type="dxa" w:w="2769"/>
          </w:tcPr>
          <w:p>
            <w:pPr>
              <w:pStyle w:val="null3"/>
            </w:pPr>
            <w:r>
              <w:rPr/>
              <w:t>10</w:t>
            </w:r>
          </w:p>
        </w:tc>
        <w:tc>
          <w:tcPr>
            <w:tcW w:type="dxa" w:w="2769"/>
          </w:tcPr>
          <w:p>
            <w:pPr>
              <w:pStyle w:val="null3"/>
              <w:jc w:val="both"/>
            </w:pPr>
            <w:r>
              <w:rPr>
                <w:rFonts w:ascii="calibri" w:hAnsi="calibri" w:cs="calibri" w:eastAsia="calibri"/>
              </w:rPr>
              <w:t>5.</w:t>
            </w:r>
            <w:r>
              <w:rPr>
                <w:rFonts w:ascii="宋体" w:hAnsi="宋体" w:cs="宋体" w:eastAsia="宋体"/>
              </w:rPr>
              <w:t>课程制作审核</w:t>
            </w:r>
          </w:p>
          <w:p>
            <w:pPr>
              <w:pStyle w:val="null3"/>
              <w:jc w:val="both"/>
            </w:pPr>
            <w:r>
              <w:rPr>
                <w:rFonts w:ascii="宋体" w:hAnsi="宋体" w:cs="宋体" w:eastAsia="宋体"/>
              </w:rPr>
              <w:t>课程制作完毕交付学校验收前，制作方应完成详细的审查。需要经过课程制作团队对视频、音频、效果各方面的自查；教学设计团队对课程成品进行审查，审查成品是否按照设计方案进行制作；配合授课团队对课程视频全局各环节细节进行审核把关，并根据教学团队的意见进行修改完善。</w:t>
            </w:r>
          </w:p>
          <w:p>
            <w:pPr>
              <w:pStyle w:val="null3"/>
              <w:jc w:val="both"/>
            </w:pPr>
            <w:r>
              <w:rPr>
                <w:rFonts w:ascii="宋体" w:hAnsi="宋体" w:cs="宋体" w:eastAsia="宋体"/>
                <w:sz w:val="21"/>
              </w:rPr>
              <w:t>最终完善后，发于采购方进行审核。未通过审核的，可根据教师提供的反馈和要求，对视频、知识点、特效等进行及时的修改，直到通过校方审核。</w:t>
            </w:r>
          </w:p>
        </w:tc>
      </w:tr>
      <w:tr>
        <w:tc>
          <w:tcPr>
            <w:tcW w:type="dxa" w:w="2769"/>
          </w:tcPr>
          <w:p/>
        </w:tc>
        <w:tc>
          <w:tcPr>
            <w:tcW w:type="dxa" w:w="2769"/>
          </w:tcPr>
          <w:p>
            <w:pPr>
              <w:pStyle w:val="null3"/>
            </w:pPr>
            <w:r>
              <w:rPr/>
              <w:t>11</w:t>
            </w:r>
          </w:p>
        </w:tc>
        <w:tc>
          <w:tcPr>
            <w:tcW w:type="dxa" w:w="2769"/>
          </w:tcPr>
          <w:p>
            <w:pPr>
              <w:pStyle w:val="null3"/>
              <w:jc w:val="both"/>
            </w:pPr>
            <w:r>
              <w:rPr>
                <w:rFonts w:ascii="calibri" w:hAnsi="calibri" w:cs="calibri" w:eastAsia="calibri"/>
                <w:sz w:val="21"/>
              </w:rPr>
              <w:t>6.</w:t>
            </w:r>
            <w:r>
              <w:rPr>
                <w:rFonts w:ascii="宋体" w:hAnsi="宋体" w:cs="宋体" w:eastAsia="宋体"/>
                <w:sz w:val="21"/>
              </w:rPr>
              <w:t>课程运营与推广</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calibri" w:hAnsi="calibri" w:cs="calibri" w:eastAsia="calibri"/>
                <w:sz w:val="21"/>
              </w:rPr>
              <w:t>6.1</w:t>
            </w:r>
            <w:r>
              <w:rPr>
                <w:rFonts w:ascii="宋体" w:hAnsi="宋体" w:cs="宋体" w:eastAsia="宋体"/>
                <w:sz w:val="21"/>
              </w:rPr>
              <w:t>制作完成的课程成品要满足上线到国家公开慕课平台的标准，同时要付符合教育部国家研究生教育智慧平台的上线标准。</w:t>
            </w:r>
          </w:p>
        </w:tc>
      </w:tr>
      <w:tr>
        <w:tc>
          <w:tcPr>
            <w:tcW w:type="dxa" w:w="2769"/>
          </w:tcPr>
          <w:p/>
        </w:tc>
        <w:tc>
          <w:tcPr>
            <w:tcW w:type="dxa" w:w="2769"/>
          </w:tcPr>
          <w:p>
            <w:pPr>
              <w:pStyle w:val="null3"/>
            </w:pPr>
            <w:r>
              <w:rPr/>
              <w:t>13</w:t>
            </w:r>
          </w:p>
        </w:tc>
        <w:tc>
          <w:tcPr>
            <w:tcW w:type="dxa" w:w="2769"/>
          </w:tcPr>
          <w:p>
            <w:pPr>
              <w:pStyle w:val="null3"/>
              <w:jc w:val="both"/>
            </w:pPr>
            <w:r>
              <w:rPr>
                <w:rFonts w:ascii="calibri" w:hAnsi="calibri" w:cs="calibri" w:eastAsia="calibri"/>
              </w:rPr>
              <w:t>6.2</w:t>
            </w:r>
            <w:r>
              <w:rPr>
                <w:rFonts w:ascii="宋体" w:hAnsi="宋体" w:cs="宋体" w:eastAsia="宋体"/>
              </w:rPr>
              <w:t>课程制作方要能够提供专业的、全流程课程运营服务，助力精品课评选、提升课程选课人数，以扩大学校和授课教师的影响力，主要（不限于）运营服务内容如下：</w:t>
            </w:r>
          </w:p>
          <w:p>
            <w:pPr>
              <w:pStyle w:val="null3"/>
              <w:jc w:val="both"/>
            </w:pPr>
            <w:r>
              <w:rPr>
                <w:rFonts w:ascii="calibri" w:hAnsi="calibri" w:cs="calibri" w:eastAsia="calibri"/>
              </w:rPr>
              <w:t>1</w:t>
            </w:r>
            <w:r>
              <w:rPr>
                <w:rFonts w:ascii="宋体" w:hAnsi="宋体" w:cs="宋体" w:eastAsia="宋体"/>
              </w:rPr>
              <w:t>）专业的教学支持和及运营团队全天候服务，及时高效的解决相关问题，让教与学之路畅通无阻</w:t>
            </w:r>
          </w:p>
          <w:p>
            <w:pPr>
              <w:pStyle w:val="null3"/>
              <w:jc w:val="both"/>
            </w:pPr>
            <w:r>
              <w:rPr>
                <w:rFonts w:ascii="calibri" w:hAnsi="calibri" w:cs="calibri" w:eastAsia="calibri"/>
              </w:rPr>
              <w:t>2</w:t>
            </w:r>
            <w:r>
              <w:rPr>
                <w:rFonts w:ascii="宋体" w:hAnsi="宋体" w:cs="宋体" w:eastAsia="宋体"/>
              </w:rPr>
              <w:t>）提供系统的平台操作培训服务，课程运营流程培训以及助教培训等相关服务</w:t>
            </w:r>
          </w:p>
          <w:p>
            <w:pPr>
              <w:pStyle w:val="null3"/>
              <w:jc w:val="both"/>
            </w:pPr>
            <w:r>
              <w:rPr>
                <w:rFonts w:ascii="calibri" w:hAnsi="calibri" w:cs="calibri" w:eastAsia="calibri"/>
              </w:rPr>
              <w:t>3</w:t>
            </w:r>
            <w:r>
              <w:rPr>
                <w:rFonts w:ascii="宋体" w:hAnsi="宋体" w:cs="宋体" w:eastAsia="宋体"/>
              </w:rPr>
              <w:t>）提供课程基础运行解决方案，包括但不限于课程公告的发送技巧、群邮件功能应用、讨论区运营的操作技巧、教学日历设计等；</w:t>
            </w:r>
          </w:p>
          <w:p>
            <w:pPr>
              <w:pStyle w:val="null3"/>
              <w:jc w:val="both"/>
            </w:pPr>
            <w:r>
              <w:rPr>
                <w:rFonts w:ascii="calibri" w:hAnsi="calibri" w:cs="calibri" w:eastAsia="calibri"/>
              </w:rPr>
              <w:t>4</w:t>
            </w:r>
            <w:r>
              <w:rPr>
                <w:rFonts w:ascii="宋体" w:hAnsi="宋体" w:cs="宋体" w:eastAsia="宋体"/>
              </w:rPr>
              <w:t>）提供建设性的国家精品课评选意见，并第一时间同步教育部文件信息</w:t>
            </w:r>
            <w:r>
              <w:rPr>
                <w:rFonts w:ascii="calibri" w:hAnsi="calibri" w:cs="calibri" w:eastAsia="calibri"/>
              </w:rPr>
              <w:t>;</w:t>
            </w:r>
          </w:p>
          <w:p>
            <w:pPr>
              <w:pStyle w:val="null3"/>
              <w:jc w:val="both"/>
            </w:pPr>
            <w:r>
              <w:rPr>
                <w:rFonts w:ascii="calibri" w:hAnsi="calibri" w:cs="calibri" w:eastAsia="calibri"/>
              </w:rPr>
              <w:t>5</w:t>
            </w:r>
            <w:r>
              <w:rPr>
                <w:rFonts w:ascii="宋体" w:hAnsi="宋体" w:cs="宋体" w:eastAsia="宋体"/>
              </w:rPr>
              <w:t>）指导教师课程团队展开高效率的课程运营活动，并保证活动落地，协同课程团队完成课程运营目标；</w:t>
            </w:r>
          </w:p>
          <w:p>
            <w:pPr>
              <w:pStyle w:val="null3"/>
              <w:jc w:val="both"/>
            </w:pPr>
            <w:r>
              <w:rPr>
                <w:rFonts w:ascii="calibri" w:hAnsi="calibri" w:cs="calibri" w:eastAsia="calibri"/>
              </w:rPr>
              <w:t>6</w:t>
            </w:r>
            <w:r>
              <w:rPr>
                <w:rFonts w:ascii="宋体" w:hAnsi="宋体" w:cs="宋体" w:eastAsia="宋体"/>
              </w:rPr>
              <w:t>）提供课程深化运营服务，每门课程配备专业教学设计师参与课程管理和运营，定期更新课程内容，另外还有专业助教参与学生互动，讨论区答疑，试卷批改等相关工作，使课程成为一门“活”的课程。</w:t>
            </w:r>
          </w:p>
          <w:p>
            <w:pPr>
              <w:pStyle w:val="null3"/>
              <w:jc w:val="both"/>
            </w:pPr>
            <w:r>
              <w:rPr>
                <w:rFonts w:ascii="calibri" w:hAnsi="calibri" w:cs="calibri" w:eastAsia="calibri"/>
                <w:sz w:val="21"/>
              </w:rPr>
              <w:t>7</w:t>
            </w:r>
            <w:r>
              <w:rPr>
                <w:rFonts w:ascii="宋体" w:hAnsi="宋体" w:cs="宋体" w:eastAsia="宋体"/>
                <w:sz w:val="21"/>
              </w:rPr>
              <w:t>）结课时，为每门上线课程提供运行数据报告</w:t>
            </w:r>
            <w:r>
              <w:rPr>
                <w:rFonts w:ascii="calibri" w:hAnsi="calibri" w:cs="calibri" w:eastAsia="calibri"/>
                <w:sz w:val="21"/>
              </w:rPr>
              <w:t xml:space="preserve">, </w:t>
            </w:r>
            <w:r>
              <w:rPr>
                <w:rFonts w:ascii="宋体" w:hAnsi="宋体" w:cs="宋体" w:eastAsia="宋体"/>
                <w:sz w:val="21"/>
              </w:rPr>
              <w:t>帮助教师优化教学设计，改进教学方法。并全程课程团队提供专业的用户数据分析解读；</w:t>
            </w:r>
          </w:p>
        </w:tc>
      </w:tr>
      <w:tr>
        <w:tc>
          <w:tcPr>
            <w:tcW w:type="dxa" w:w="2769"/>
          </w:tcPr>
          <w:p>
            <w:pPr>
              <w:pStyle w:val="null3"/>
            </w:pPr>
            <w:r>
              <w:rPr/>
              <w:t>▲</w:t>
            </w:r>
          </w:p>
        </w:tc>
        <w:tc>
          <w:tcPr>
            <w:tcW w:type="dxa" w:w="2769"/>
          </w:tcPr>
          <w:p>
            <w:pPr>
              <w:pStyle w:val="null3"/>
            </w:pPr>
            <w:r>
              <w:rPr/>
              <w:t>14</w:t>
            </w:r>
          </w:p>
        </w:tc>
        <w:tc>
          <w:tcPr>
            <w:tcW w:type="dxa" w:w="2769"/>
          </w:tcPr>
          <w:p>
            <w:pPr>
              <w:pStyle w:val="null3"/>
              <w:jc w:val="both"/>
            </w:pPr>
            <w:r>
              <w:rPr>
                <w:rFonts w:ascii="calibri" w:hAnsi="calibri" w:cs="calibri" w:eastAsia="calibri"/>
              </w:rPr>
              <w:t>8</w:t>
            </w:r>
            <w:r>
              <w:rPr>
                <w:rFonts w:ascii="宋体" w:hAnsi="宋体" w:cs="宋体" w:eastAsia="宋体"/>
              </w:rPr>
              <w:t>）多渠道的课程推广服务</w:t>
            </w:r>
          </w:p>
          <w:p>
            <w:pPr>
              <w:pStyle w:val="null3"/>
              <w:jc w:val="both"/>
            </w:pPr>
            <w:r>
              <w:rPr>
                <w:rFonts w:ascii="宋体" w:hAnsi="宋体" w:cs="宋体" w:eastAsia="宋体"/>
                <w:sz w:val="21"/>
              </w:rPr>
              <w:t>采购方能够为课程提供多渠道的宣传推广服务，以提升课程、教师和学校的影响力。针对课程特点提供专业的课程推广服务方案，主要的推广方式包括但不限于国家公开在线课程平台、教育部研究生智慧教育平台推荐等。</w:t>
            </w:r>
          </w:p>
        </w:tc>
      </w:tr>
      <w:tr>
        <w:tc>
          <w:tcPr>
            <w:tcW w:type="dxa" w:w="2769"/>
          </w:tcPr>
          <w:p/>
        </w:tc>
        <w:tc>
          <w:tcPr>
            <w:tcW w:type="dxa" w:w="2769"/>
          </w:tcPr>
          <w:p>
            <w:pPr>
              <w:pStyle w:val="null3"/>
            </w:pPr>
            <w:r>
              <w:rPr/>
              <w:t>15</w:t>
            </w:r>
          </w:p>
        </w:tc>
        <w:tc>
          <w:tcPr>
            <w:tcW w:type="dxa" w:w="2769"/>
          </w:tcPr>
          <w:p>
            <w:pPr>
              <w:pStyle w:val="null3"/>
              <w:jc w:val="both"/>
            </w:pPr>
            <w:r>
              <w:rPr>
                <w:rFonts w:ascii="calibri" w:hAnsi="calibri" w:cs="calibri" w:eastAsia="calibri"/>
              </w:rPr>
              <w:t>7.</w:t>
            </w:r>
            <w:r>
              <w:rPr>
                <w:rFonts w:ascii="宋体" w:hAnsi="宋体" w:cs="宋体" w:eastAsia="宋体"/>
              </w:rPr>
              <w:t>专业工具</w:t>
            </w:r>
          </w:p>
          <w:p>
            <w:pPr>
              <w:pStyle w:val="null3"/>
              <w:jc w:val="both"/>
            </w:pPr>
            <w:r>
              <w:rPr>
                <w:rFonts w:ascii="calibri" w:hAnsi="calibri" w:cs="calibri" w:eastAsia="calibri"/>
              </w:rPr>
              <w:t>1</w:t>
            </w:r>
            <w:r>
              <w:rPr>
                <w:rFonts w:ascii="宋体" w:hAnsi="宋体" w:cs="宋体" w:eastAsia="宋体"/>
              </w:rPr>
              <w:t>）教学内容与资源要求</w:t>
            </w:r>
          </w:p>
          <w:p>
            <w:pPr>
              <w:pStyle w:val="null3"/>
              <w:jc w:val="both"/>
            </w:pPr>
            <w:r>
              <w:rPr>
                <w:rFonts w:ascii="宋体" w:hAnsi="宋体" w:cs="宋体" w:eastAsia="宋体"/>
              </w:rPr>
              <w:t>要求服务提供商对教育及教学工作有深入了解，选派技术人员参与课程建设团队，协助教师根据预设教学目标、学科特点、学生认知规律及教学方式，提供开课咨询服务，组织辅导开课教师进行教学目标、教学大纲梳理，制定见面课教案、教学辅导、参考资料、考核方式、在线作业、在线答疑、在线视频等。服务提供商应协助教师开发设计一门完整的课程体系，设计多媒体教学过程（含必要的动画等）。</w:t>
            </w:r>
          </w:p>
          <w:p>
            <w:pPr>
              <w:pStyle w:val="null3"/>
              <w:jc w:val="both"/>
            </w:pPr>
            <w:r>
              <w:rPr>
                <w:rFonts w:ascii="calibri" w:hAnsi="calibri" w:cs="calibri" w:eastAsia="calibri"/>
              </w:rPr>
              <w:t>2</w:t>
            </w:r>
            <w:r>
              <w:rPr>
                <w:rFonts w:ascii="宋体" w:hAnsi="宋体" w:cs="宋体" w:eastAsia="宋体"/>
              </w:rPr>
              <w:t>）教学设计与方法：</w:t>
            </w:r>
          </w:p>
          <w:p>
            <w:pPr>
              <w:pStyle w:val="null3"/>
              <w:jc w:val="both"/>
            </w:pPr>
            <w:r>
              <w:rPr>
                <w:rFonts w:ascii="宋体" w:hAnsi="宋体" w:cs="宋体" w:eastAsia="宋体"/>
              </w:rPr>
              <w:t>要遵循有效教学的基本规律，开展在线学习与课堂教学相结合、翻转课堂等多种方式的课堂教学模式。</w:t>
            </w:r>
          </w:p>
          <w:p>
            <w:pPr>
              <w:pStyle w:val="null3"/>
              <w:jc w:val="both"/>
            </w:pPr>
            <w:r>
              <w:rPr>
                <w:rFonts w:ascii="calibri" w:hAnsi="calibri" w:cs="calibri" w:eastAsia="calibri"/>
              </w:rPr>
              <w:t>3</w:t>
            </w:r>
            <w:r>
              <w:rPr>
                <w:rFonts w:ascii="宋体" w:hAnsi="宋体" w:cs="宋体" w:eastAsia="宋体"/>
              </w:rPr>
              <w:t>）教学效果与影响：（需提供课程运行平台相关功能的截图）</w:t>
            </w:r>
          </w:p>
          <w:p>
            <w:pPr>
              <w:pStyle w:val="null3"/>
              <w:jc w:val="both"/>
            </w:pPr>
            <w:r>
              <w:rPr>
                <w:rFonts w:ascii="宋体" w:hAnsi="宋体" w:cs="宋体" w:eastAsia="宋体"/>
              </w:rPr>
              <w:t>要注重对教学效果的跟踪评价并开展教学研究工作。基于大数据信息采集分析，全程记录和跟踪教师的教学和学生的学习过程、内容、反馈，全面跟踪和掌握每个学生的个性特点、学习行为，改进学校及教师的教学质量，促进因材施教。要求服务提供商提供</w:t>
            </w:r>
            <w:r>
              <w:rPr>
                <w:rFonts w:ascii="宋体" w:hAnsi="宋体" w:cs="宋体" w:eastAsia="宋体"/>
              </w:rPr>
              <w:t>至少</w:t>
            </w:r>
            <w:r>
              <w:rPr>
                <w:rFonts w:ascii="calibri" w:hAnsi="calibri" w:cs="calibri" w:eastAsia="calibri"/>
              </w:rPr>
              <w:t>1</w:t>
            </w:r>
            <w:r>
              <w:rPr>
                <w:rFonts w:ascii="calibri" w:hAnsi="calibri" w:cs="calibri" w:eastAsia="calibri"/>
              </w:rPr>
              <w:t>0</w:t>
            </w:r>
            <w:r>
              <w:rPr>
                <w:rFonts w:ascii="宋体" w:hAnsi="宋体" w:cs="宋体" w:eastAsia="宋体"/>
              </w:rPr>
              <w:t>门课程的运行报告，要求运行报告的大数据分析至少包含课程参与学生人数，在线学习进度分析、学生学习行为分析、线下课程出席及表现情况、学生满意度，意见收集等信息，提供运行报告的扫描件。</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）课程详情：课程统计可以看到每天课程访问数的变化，并显示整门课程的课程资源分布统计。包括：支持柱图、五方图、社会网络分析、问答模式分析等维度统计功能。</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）课程热度分析：提供当前选课人数、累计选课人数、累计退课人数进行环比数据分析，并能提供选课人数随选课时间的变化分析图。</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）学习活跃和学习习惯分析：提供活跃用户占比、活跃时间热力图，直观展示近期用户的学习习惯。</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）学习进度数据：按章节实现视频、讨论、习题多个维度的分析，其中习题实现答题人数占比、不同正确率人数的占比分析。</w:t>
            </w:r>
          </w:p>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）互动模式分析：通过问答模式分析、社会网络分析了解整体发言趋势、学生之间的互动情况，提供总回帖数、总发帖数、零回复帖子数以及这些数据同昨日的环比分析，并通过图表展示。</w:t>
            </w:r>
          </w:p>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）成绩总览：提供人均课程得分率、人均课程学习比例以及标准方差数据。</w:t>
            </w:r>
          </w:p>
          <w:p>
            <w:pPr>
              <w:pStyle w:val="null3"/>
              <w:jc w:val="both"/>
            </w:pPr>
            <w:r>
              <w:rPr>
                <w:rFonts w:ascii="宋体" w:hAnsi="宋体" w:cs="宋体" w:eastAsia="宋体"/>
                <w:sz w:val="21"/>
              </w:rPr>
              <w:t>（</w:t>
            </w:r>
            <w:r>
              <w:rPr>
                <w:rFonts w:ascii="calibri" w:hAnsi="calibri" w:cs="calibri" w:eastAsia="calibri"/>
                <w:sz w:val="21"/>
              </w:rPr>
              <w:t>7</w:t>
            </w:r>
            <w:r>
              <w:rPr>
                <w:rFonts w:ascii="宋体" w:hAnsi="宋体" w:cs="宋体" w:eastAsia="宋体"/>
                <w:sz w:val="21"/>
              </w:rPr>
              <w:t>）学生学习行为大数据分析功能支持特别关注数据、学习习惯数据、学习活跃数据、学习进度数据、讨论活跃数据、得分分布数据、选课记录、退课记录、课程访问记录、视频观看记录、媒体最终得分记录、每题每次提交记录、发帖和回帖记录、个人总成绩、个人记录等元数据下载。</w:t>
            </w:r>
          </w:p>
        </w:tc>
      </w:tr>
      <w:tr>
        <w:tc>
          <w:tcPr>
            <w:tcW w:type="dxa" w:w="2769"/>
          </w:tcPr>
          <w:p>
            <w:pPr>
              <w:pStyle w:val="null3"/>
            </w:pPr>
            <w:r>
              <w:rPr/>
              <w:t>▲</w:t>
            </w:r>
          </w:p>
        </w:tc>
        <w:tc>
          <w:tcPr>
            <w:tcW w:type="dxa" w:w="2769"/>
          </w:tcPr>
          <w:p>
            <w:pPr>
              <w:pStyle w:val="null3"/>
            </w:pPr>
            <w:r>
              <w:rPr/>
              <w:t>16</w:t>
            </w:r>
          </w:p>
        </w:tc>
        <w:tc>
          <w:tcPr>
            <w:tcW w:type="dxa" w:w="2769"/>
          </w:tcPr>
          <w:p>
            <w:pPr>
              <w:pStyle w:val="null3"/>
              <w:jc w:val="both"/>
            </w:pPr>
            <w:r>
              <w:rPr>
                <w:rFonts w:ascii="calibri" w:hAnsi="calibri" w:cs="calibri" w:eastAsia="calibri"/>
              </w:rPr>
              <w:t>4</w:t>
            </w:r>
            <w:r>
              <w:rPr>
                <w:rFonts w:ascii="宋体" w:hAnsi="宋体" w:cs="宋体" w:eastAsia="宋体"/>
              </w:rPr>
              <w:t>）教师教学管理功能（需提供课程运行平台相关功能的截图）</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）学业预警：提供最近预警学生数、最近</w:t>
            </w:r>
            <w:r>
              <w:rPr>
                <w:rFonts w:ascii="calibri" w:hAnsi="calibri" w:cs="calibri" w:eastAsia="calibri"/>
              </w:rPr>
              <w:t>2</w:t>
            </w:r>
            <w:r>
              <w:rPr>
                <w:rFonts w:ascii="宋体" w:hAnsi="宋体" w:cs="宋体" w:eastAsia="宋体"/>
              </w:rPr>
              <w:t>周未学习学生数、最近视频学习率低学生数、最近得分率低学生数。通过姓名、学号、预警时间发送给每位学生并实现预警信息检索。</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）拖拽漏看统计：通过拖拽漏看人数、无拖拽漏看人数、人均拖拽漏看视频数、人均未看完视频数四个维度分析拖拽漏看情况，并能通过下载</w:t>
            </w:r>
            <w:r>
              <w:rPr>
                <w:rFonts w:ascii="calibri" w:hAnsi="calibri" w:cs="calibri" w:eastAsia="calibri"/>
                <w:sz w:val="21"/>
              </w:rPr>
              <w:t>excel</w:t>
            </w:r>
            <w:r>
              <w:rPr>
                <w:rFonts w:ascii="宋体" w:hAnsi="宋体" w:cs="宋体" w:eastAsia="宋体"/>
                <w:sz w:val="21"/>
              </w:rPr>
              <w:t>、</w:t>
            </w:r>
            <w:r>
              <w:rPr>
                <w:rFonts w:ascii="calibri" w:hAnsi="calibri" w:cs="calibri" w:eastAsia="calibri"/>
                <w:sz w:val="21"/>
              </w:rPr>
              <w:t>csv</w:t>
            </w:r>
            <w:r>
              <w:rPr>
                <w:rFonts w:ascii="宋体" w:hAnsi="宋体" w:cs="宋体" w:eastAsia="宋体"/>
                <w:sz w:val="21"/>
              </w:rPr>
              <w:t>格式文件进行高级数据分析。</w:t>
            </w:r>
          </w:p>
        </w:tc>
      </w:tr>
      <w:tr>
        <w:tc>
          <w:tcPr>
            <w:tcW w:type="dxa" w:w="2769"/>
          </w:tcPr>
          <w:p/>
        </w:tc>
        <w:tc>
          <w:tcPr>
            <w:tcW w:type="dxa" w:w="2769"/>
          </w:tcPr>
          <w:p>
            <w:pPr>
              <w:pStyle w:val="null3"/>
            </w:pPr>
            <w:r>
              <w:rPr/>
              <w:t>17</w:t>
            </w:r>
          </w:p>
        </w:tc>
        <w:tc>
          <w:tcPr>
            <w:tcW w:type="dxa" w:w="2769"/>
          </w:tcPr>
          <w:p>
            <w:pPr>
              <w:pStyle w:val="null3"/>
              <w:jc w:val="both"/>
            </w:pPr>
            <w:r>
              <w:rPr>
                <w:rFonts w:ascii="calibri" w:hAnsi="calibri" w:cs="calibri" w:eastAsia="calibri"/>
              </w:rPr>
              <w:t>5</w:t>
            </w:r>
            <w:r>
              <w:rPr>
                <w:rFonts w:ascii="宋体" w:hAnsi="宋体" w:cs="宋体" w:eastAsia="宋体"/>
              </w:rPr>
              <w:t>）移动教学</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）基于微信、</w:t>
            </w:r>
            <w:r>
              <w:rPr>
                <w:rFonts w:ascii="calibri" w:hAnsi="calibri" w:cs="calibri" w:eastAsia="calibri"/>
              </w:rPr>
              <w:t>PPT</w:t>
            </w:r>
            <w:r>
              <w:rPr>
                <w:rFonts w:ascii="宋体" w:hAnsi="宋体" w:cs="宋体" w:eastAsia="宋体"/>
              </w:rPr>
              <w:t>学校现有办公软件，无需安装</w:t>
            </w:r>
            <w:r>
              <w:rPr>
                <w:rFonts w:ascii="calibri" w:hAnsi="calibri" w:cs="calibri" w:eastAsia="calibri"/>
              </w:rPr>
              <w:t>APP,</w:t>
            </w:r>
            <w:r>
              <w:rPr>
                <w:rFonts w:ascii="宋体" w:hAnsi="宋体" w:cs="宋体" w:eastAsia="宋体"/>
              </w:rPr>
              <w:t>实现翻转教学；</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）需支持</w:t>
            </w:r>
            <w:r>
              <w:rPr>
                <w:rFonts w:ascii="calibri" w:hAnsi="calibri" w:cs="calibri" w:eastAsia="calibri"/>
                <w:sz w:val="21"/>
              </w:rPr>
              <w:t>iOS</w:t>
            </w:r>
            <w:r>
              <w:rPr>
                <w:rFonts w:ascii="宋体" w:hAnsi="宋体" w:cs="宋体" w:eastAsia="宋体"/>
                <w:sz w:val="21"/>
              </w:rPr>
              <w:t>和</w:t>
            </w:r>
            <w:r>
              <w:rPr>
                <w:rFonts w:ascii="calibri" w:hAnsi="calibri" w:cs="calibri" w:eastAsia="calibri"/>
                <w:sz w:val="21"/>
              </w:rPr>
              <w:t>Android</w:t>
            </w:r>
            <w:r>
              <w:rPr>
                <w:rFonts w:ascii="宋体" w:hAnsi="宋体" w:cs="宋体" w:eastAsia="宋体"/>
                <w:sz w:val="21"/>
              </w:rPr>
              <w:t>两大在主流操作系统，同时满足手机、平板电脑智能移动终端使用。</w:t>
            </w:r>
          </w:p>
        </w:tc>
      </w:tr>
      <w:tr>
        <w:tc>
          <w:tcPr>
            <w:tcW w:type="dxa" w:w="2769"/>
          </w:tcPr>
          <w:p>
            <w:pPr>
              <w:pStyle w:val="null3"/>
            </w:pPr>
            <w:r>
              <w:rPr/>
              <w:t>▲</w:t>
            </w:r>
          </w:p>
        </w:tc>
        <w:tc>
          <w:tcPr>
            <w:tcW w:type="dxa" w:w="2769"/>
          </w:tcPr>
          <w:p>
            <w:pPr>
              <w:pStyle w:val="null3"/>
            </w:pPr>
            <w:r>
              <w:rPr/>
              <w:t>18</w:t>
            </w:r>
          </w:p>
        </w:tc>
        <w:tc>
          <w:tcPr>
            <w:tcW w:type="dxa" w:w="2769"/>
          </w:tcPr>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）课前推送预习材料</w:t>
            </w:r>
          </w:p>
          <w:p>
            <w:pPr>
              <w:pStyle w:val="null3"/>
              <w:jc w:val="both"/>
            </w:pPr>
            <w:r>
              <w:rPr>
                <w:rFonts w:ascii="calibri" w:hAnsi="calibri" w:cs="calibri" w:eastAsia="calibri"/>
              </w:rPr>
              <w:t>3.1</w:t>
            </w:r>
            <w:r>
              <w:rPr>
                <w:rFonts w:ascii="宋体" w:hAnsi="宋体" w:cs="宋体" w:eastAsia="宋体"/>
              </w:rPr>
              <w:t>教师可以在</w:t>
            </w:r>
            <w:r>
              <w:rPr>
                <w:rFonts w:ascii="calibri" w:hAnsi="calibri" w:cs="calibri" w:eastAsia="calibri"/>
              </w:rPr>
              <w:t>ppt</w:t>
            </w:r>
            <w:r>
              <w:rPr>
                <w:rFonts w:ascii="宋体" w:hAnsi="宋体" w:cs="宋体" w:eastAsia="宋体"/>
              </w:rPr>
              <w:t>中插入多种类型考题，插入慕课视频和优酷土豆等第三方视频插入，可以根据学生专业基础，所在学校的培养目标定位和所在教学团队的所长，借用慕课视频和课件自由组合成属于自己的教学方案，定制符合自己教学风格和教学节奏的教学设计。</w:t>
            </w:r>
          </w:p>
          <w:p>
            <w:pPr>
              <w:pStyle w:val="null3"/>
              <w:jc w:val="both"/>
            </w:pPr>
            <w:r>
              <w:rPr>
                <w:rFonts w:ascii="calibri" w:hAnsi="calibri" w:cs="calibri" w:eastAsia="calibri"/>
              </w:rPr>
              <w:t>3.2</w:t>
            </w:r>
            <w:r>
              <w:rPr>
                <w:rFonts w:ascii="宋体" w:hAnsi="宋体" w:cs="宋体" w:eastAsia="宋体"/>
              </w:rPr>
              <w:t>教师可以将预习材料上传至手机，推送到学生微信（需提供课程运行平台相关功能的截图）。</w:t>
            </w:r>
          </w:p>
          <w:p>
            <w:pPr>
              <w:pStyle w:val="null3"/>
              <w:jc w:val="both"/>
            </w:pPr>
            <w:r>
              <w:rPr>
                <w:rFonts w:ascii="calibri" w:hAnsi="calibri" w:cs="calibri" w:eastAsia="calibri"/>
              </w:rPr>
              <w:t>3.3</w:t>
            </w:r>
            <w:r>
              <w:rPr>
                <w:rFonts w:ascii="宋体" w:hAnsi="宋体" w:cs="宋体" w:eastAsia="宋体"/>
              </w:rPr>
              <w:t>教师可以对每一页课件进行语音讲解，进行重点提点和针对性讲解，丰富课件内容，方便学生理解和学习。</w:t>
            </w:r>
          </w:p>
          <w:p>
            <w:pPr>
              <w:pStyle w:val="null3"/>
              <w:jc w:val="both"/>
            </w:pPr>
            <w:r>
              <w:rPr>
                <w:rFonts w:ascii="calibri" w:hAnsi="calibri" w:cs="calibri" w:eastAsia="calibri"/>
              </w:rPr>
              <w:t>3.4</w:t>
            </w:r>
            <w:r>
              <w:rPr>
                <w:rFonts w:ascii="宋体" w:hAnsi="宋体" w:cs="宋体" w:eastAsia="宋体"/>
              </w:rPr>
              <w:t>教师可以设置预习截止时间，在节点前没有预习的学生会收到信息提示。</w:t>
            </w:r>
          </w:p>
          <w:p>
            <w:pPr>
              <w:pStyle w:val="null3"/>
              <w:jc w:val="both"/>
            </w:pPr>
            <w:r>
              <w:rPr>
                <w:rFonts w:ascii="calibri" w:hAnsi="calibri" w:cs="calibri" w:eastAsia="calibri"/>
              </w:rPr>
              <w:t xml:space="preserve">3.5 </w:t>
            </w:r>
            <w:r>
              <w:rPr>
                <w:rFonts w:ascii="宋体" w:hAnsi="宋体" w:cs="宋体" w:eastAsia="宋体"/>
              </w:rPr>
              <w:t>教师可以详细查看学生预习情况：是否预习，预习时间及时长（默认每页</w:t>
            </w:r>
            <w:r>
              <w:rPr>
                <w:rFonts w:ascii="calibri" w:hAnsi="calibri" w:cs="calibri" w:eastAsia="calibri"/>
              </w:rPr>
              <w:t>PPT</w:t>
            </w:r>
            <w:r>
              <w:rPr>
                <w:rFonts w:ascii="宋体" w:hAnsi="宋体" w:cs="宋体" w:eastAsia="宋体"/>
              </w:rPr>
              <w:t>停留</w:t>
            </w:r>
            <w:r>
              <w:rPr>
                <w:rFonts w:ascii="calibri" w:hAnsi="calibri" w:cs="calibri" w:eastAsia="calibri"/>
              </w:rPr>
              <w:t>3</w:t>
            </w:r>
            <w:r>
              <w:rPr>
                <w:rFonts w:ascii="宋体" w:hAnsi="宋体" w:cs="宋体" w:eastAsia="宋体"/>
              </w:rPr>
              <w:t>秒以上做预习记录）（需提供课程运行平台相关功能的截图）。</w:t>
            </w:r>
          </w:p>
          <w:p>
            <w:pPr>
              <w:pStyle w:val="null3"/>
              <w:jc w:val="both"/>
            </w:pPr>
            <w:r>
              <w:rPr>
                <w:rFonts w:ascii="calibri" w:hAnsi="calibri" w:cs="calibri" w:eastAsia="calibri"/>
              </w:rPr>
              <w:t>3.6</w:t>
            </w:r>
            <w:r>
              <w:rPr>
                <w:rFonts w:ascii="宋体" w:hAnsi="宋体" w:cs="宋体" w:eastAsia="宋体"/>
              </w:rPr>
              <w:t>教师可以随时预览课件。</w:t>
            </w:r>
          </w:p>
          <w:p>
            <w:pPr>
              <w:pStyle w:val="null3"/>
              <w:jc w:val="both"/>
            </w:pPr>
            <w:r>
              <w:rPr>
                <w:rFonts w:ascii="calibri" w:hAnsi="calibri" w:cs="calibri" w:eastAsia="calibri"/>
                <w:sz w:val="21"/>
              </w:rPr>
              <w:t>3.7</w:t>
            </w:r>
            <w:r>
              <w:rPr>
                <w:rFonts w:ascii="宋体" w:hAnsi="宋体" w:cs="宋体" w:eastAsia="宋体"/>
                <w:sz w:val="21"/>
              </w:rPr>
              <w:t>教师在手机端可以随时查看班级课件。</w:t>
            </w:r>
          </w:p>
        </w:tc>
      </w:tr>
      <w:tr>
        <w:tc>
          <w:tcPr>
            <w:tcW w:type="dxa" w:w="2769"/>
          </w:tcPr>
          <w:p/>
        </w:tc>
        <w:tc>
          <w:tcPr>
            <w:tcW w:type="dxa" w:w="2769"/>
          </w:tcPr>
          <w:p>
            <w:pPr>
              <w:pStyle w:val="null3"/>
            </w:pPr>
            <w:r>
              <w:rPr/>
              <w:t>19</w:t>
            </w:r>
          </w:p>
        </w:tc>
        <w:tc>
          <w:tcPr>
            <w:tcW w:type="dxa" w:w="2769"/>
          </w:tcPr>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）课堂教学</w:t>
            </w:r>
          </w:p>
          <w:p>
            <w:pPr>
              <w:pStyle w:val="null3"/>
              <w:jc w:val="both"/>
            </w:pPr>
            <w:r>
              <w:rPr>
                <w:rFonts w:ascii="calibri" w:hAnsi="calibri" w:cs="calibri" w:eastAsia="calibri"/>
                <w:sz w:val="21"/>
              </w:rPr>
              <w:t xml:space="preserve">4.1 </w:t>
            </w:r>
            <w:r>
              <w:rPr>
                <w:rFonts w:ascii="宋体" w:hAnsi="宋体" w:cs="宋体" w:eastAsia="宋体"/>
                <w:sz w:val="21"/>
              </w:rPr>
              <w:t>支持课堂签到：教师一键开启授课，学生扫描课堂二维码、或输入教师分享的邀请码等方式进行签到（需提供课程运行平台相关功能的截图）；</w:t>
            </w:r>
          </w:p>
        </w:tc>
      </w:tr>
      <w:tr>
        <w:tc>
          <w:tcPr>
            <w:tcW w:type="dxa" w:w="2769"/>
          </w:tcPr>
          <w:p>
            <w:pPr>
              <w:pStyle w:val="null3"/>
            </w:pPr>
            <w:r>
              <w:rPr/>
              <w:t>▲</w:t>
            </w:r>
          </w:p>
        </w:tc>
        <w:tc>
          <w:tcPr>
            <w:tcW w:type="dxa" w:w="2769"/>
          </w:tcPr>
          <w:p>
            <w:pPr>
              <w:pStyle w:val="null3"/>
            </w:pPr>
            <w:r>
              <w:rPr/>
              <w:t>20</w:t>
            </w:r>
          </w:p>
        </w:tc>
        <w:tc>
          <w:tcPr>
            <w:tcW w:type="dxa" w:w="2769"/>
          </w:tcPr>
          <w:p>
            <w:pPr>
              <w:pStyle w:val="null3"/>
              <w:jc w:val="both"/>
            </w:pPr>
            <w:r>
              <w:rPr>
                <w:rFonts w:ascii="calibri" w:hAnsi="calibri" w:cs="calibri" w:eastAsia="calibri"/>
                <w:sz w:val="21"/>
              </w:rPr>
              <w:t xml:space="preserve">4.2 </w:t>
            </w:r>
            <w:r>
              <w:rPr>
                <w:rFonts w:ascii="宋体" w:hAnsi="宋体" w:cs="宋体" w:eastAsia="宋体"/>
                <w:sz w:val="21"/>
              </w:rPr>
              <w:t>支持课件同步：课件实时同步到学生手机端（免去学生上课忙于抄写、拍照，课后要</w:t>
            </w:r>
            <w:r>
              <w:rPr>
                <w:rFonts w:ascii="calibri" w:hAnsi="calibri" w:cs="calibri" w:eastAsia="calibri"/>
                <w:sz w:val="21"/>
              </w:rPr>
              <w:t>ppt</w:t>
            </w:r>
            <w:r>
              <w:rPr>
                <w:rFonts w:ascii="宋体" w:hAnsi="宋体" w:cs="宋体" w:eastAsia="宋体"/>
                <w:sz w:val="21"/>
              </w:rPr>
              <w:t>的情形，可随时再现复习课堂教学内容）（需提供课程运行平台相关功能的截图）；</w:t>
            </w:r>
          </w:p>
        </w:tc>
      </w:tr>
      <w:tr>
        <w:tc>
          <w:tcPr>
            <w:tcW w:type="dxa" w:w="2769"/>
          </w:tcPr>
          <w:p/>
        </w:tc>
        <w:tc>
          <w:tcPr>
            <w:tcW w:type="dxa" w:w="2769"/>
          </w:tcPr>
          <w:p>
            <w:pPr>
              <w:pStyle w:val="null3"/>
            </w:pPr>
            <w:r>
              <w:rPr/>
              <w:t>21</w:t>
            </w:r>
          </w:p>
        </w:tc>
        <w:tc>
          <w:tcPr>
            <w:tcW w:type="dxa" w:w="2769"/>
          </w:tcPr>
          <w:p>
            <w:pPr>
              <w:pStyle w:val="null3"/>
            </w:pPr>
            <w:r>
              <w:rPr>
                <w:rFonts w:ascii="calibri" w:hAnsi="calibri" w:cs="calibri" w:eastAsia="calibri"/>
              </w:rPr>
              <w:t xml:space="preserve">4.3 </w:t>
            </w:r>
            <w:r>
              <w:rPr>
                <w:rFonts w:ascii="宋体" w:hAnsi="宋体" w:cs="宋体" w:eastAsia="宋体"/>
              </w:rPr>
              <w:t>支持学习反馈：课堂教学中如有学生不懂，可以点击不懂，也可以收藏课件以备后续复习；</w:t>
            </w:r>
          </w:p>
          <w:p>
            <w:pPr>
              <w:pStyle w:val="null3"/>
            </w:pPr>
            <w:r>
              <w:rPr>
                <w:rFonts w:ascii="calibri" w:hAnsi="calibri" w:cs="calibri" w:eastAsia="calibri"/>
              </w:rPr>
              <w:t xml:space="preserve">4.4 </w:t>
            </w:r>
            <w:r>
              <w:rPr>
                <w:rFonts w:ascii="宋体" w:hAnsi="宋体" w:cs="宋体" w:eastAsia="宋体"/>
              </w:rPr>
              <w:t>支持随堂小测：课堂支持限时随堂测验，支持单选，多选和投票题。随堂测试结果实时显示，方便教师实时了解答题情况。</w:t>
            </w:r>
          </w:p>
          <w:p>
            <w:pPr>
              <w:pStyle w:val="null3"/>
              <w:jc w:val="both"/>
            </w:pPr>
            <w:r>
              <w:rPr>
                <w:rFonts w:ascii="calibri" w:hAnsi="calibri" w:cs="calibri" w:eastAsia="calibri"/>
                <w:sz w:val="21"/>
              </w:rPr>
              <w:t>4.5</w:t>
            </w:r>
            <w:r>
              <w:rPr>
                <w:rFonts w:ascii="宋体" w:hAnsi="宋体" w:cs="宋体" w:eastAsia="宋体"/>
                <w:sz w:val="21"/>
              </w:rPr>
              <w:t>支持随堂考试：课堂结束后，教师可以查看学生答题情况；</w:t>
            </w:r>
          </w:p>
        </w:tc>
      </w:tr>
      <w:tr>
        <w:tc>
          <w:tcPr>
            <w:tcW w:type="dxa" w:w="2769"/>
          </w:tcPr>
          <w:p>
            <w:pPr>
              <w:pStyle w:val="null3"/>
            </w:pPr>
            <w:r>
              <w:rPr/>
              <w:t>▲</w:t>
            </w:r>
          </w:p>
        </w:tc>
        <w:tc>
          <w:tcPr>
            <w:tcW w:type="dxa" w:w="2769"/>
          </w:tcPr>
          <w:p>
            <w:pPr>
              <w:pStyle w:val="null3"/>
            </w:pPr>
            <w:r>
              <w:rPr/>
              <w:t>22</w:t>
            </w:r>
          </w:p>
        </w:tc>
        <w:tc>
          <w:tcPr>
            <w:tcW w:type="dxa" w:w="2769"/>
          </w:tcPr>
          <w:p>
            <w:pPr>
              <w:pStyle w:val="null3"/>
              <w:jc w:val="both"/>
            </w:pPr>
            <w:r>
              <w:rPr>
                <w:rFonts w:ascii="calibri" w:hAnsi="calibri" w:cs="calibri" w:eastAsia="calibri"/>
                <w:sz w:val="21"/>
              </w:rPr>
              <w:t xml:space="preserve">4.6 </w:t>
            </w:r>
            <w:r>
              <w:rPr>
                <w:rFonts w:ascii="宋体" w:hAnsi="宋体" w:cs="宋体" w:eastAsia="宋体"/>
                <w:sz w:val="21"/>
              </w:rPr>
              <w:t>弹幕互动：教师可根据课堂教学情况随时开启弹幕，组织学生讨论，活跃课堂气氛，增加师生实时互动（需提供课程运行平台相关功能的截图）；</w:t>
            </w:r>
          </w:p>
        </w:tc>
      </w:tr>
      <w:tr>
        <w:tc>
          <w:tcPr>
            <w:tcW w:type="dxa" w:w="2769"/>
          </w:tcPr>
          <w:p/>
        </w:tc>
        <w:tc>
          <w:tcPr>
            <w:tcW w:type="dxa" w:w="2769"/>
          </w:tcPr>
          <w:p>
            <w:pPr>
              <w:pStyle w:val="null3"/>
            </w:pPr>
            <w:r>
              <w:rPr/>
              <w:t>23</w:t>
            </w:r>
          </w:p>
        </w:tc>
        <w:tc>
          <w:tcPr>
            <w:tcW w:type="dxa" w:w="2769"/>
          </w:tcPr>
          <w:p>
            <w:pPr>
              <w:pStyle w:val="null3"/>
              <w:jc w:val="both"/>
            </w:pPr>
            <w:r>
              <w:rPr>
                <w:rFonts w:ascii="calibri" w:hAnsi="calibri" w:cs="calibri" w:eastAsia="calibri"/>
              </w:rPr>
              <w:t>4.7</w:t>
            </w:r>
            <w:r>
              <w:rPr>
                <w:rFonts w:ascii="宋体" w:hAnsi="宋体" w:cs="宋体" w:eastAsia="宋体"/>
              </w:rPr>
              <w:t>课堂红包：发红包给随堂考题答题又快又好的学生，激励学生认真听讲，认真掌握所学知识点；</w:t>
            </w:r>
          </w:p>
          <w:p>
            <w:pPr>
              <w:pStyle w:val="null3"/>
              <w:jc w:val="both"/>
            </w:pPr>
            <w:r>
              <w:rPr>
                <w:rFonts w:ascii="calibri" w:hAnsi="calibri" w:cs="calibri" w:eastAsia="calibri"/>
                <w:sz w:val="21"/>
              </w:rPr>
              <w:t>4.8</w:t>
            </w:r>
            <w:r>
              <w:rPr>
                <w:rFonts w:ascii="宋体" w:hAnsi="宋体" w:cs="宋体" w:eastAsia="宋体"/>
                <w:sz w:val="21"/>
              </w:rPr>
              <w:t>支持教学反馈：老师结束授课后，收到</w:t>
            </w:r>
            <w:r>
              <w:rPr>
                <w:rFonts w:ascii="calibri" w:hAnsi="calibri" w:cs="calibri" w:eastAsia="calibri"/>
                <w:sz w:val="21"/>
              </w:rPr>
              <w:t>“</w:t>
            </w:r>
            <w:r>
              <w:rPr>
                <w:rFonts w:ascii="宋体" w:hAnsi="宋体" w:cs="宋体" w:eastAsia="宋体"/>
                <w:sz w:val="21"/>
              </w:rPr>
              <w:t>课程小结</w:t>
            </w:r>
            <w:r>
              <w:rPr>
                <w:rFonts w:ascii="calibri" w:hAnsi="calibri" w:cs="calibri" w:eastAsia="calibri"/>
                <w:sz w:val="21"/>
              </w:rPr>
              <w:t>”</w:t>
            </w:r>
            <w:r>
              <w:rPr>
                <w:rFonts w:ascii="宋体" w:hAnsi="宋体" w:cs="宋体" w:eastAsia="宋体"/>
                <w:sz w:val="21"/>
              </w:rPr>
              <w:t>和随堂小测数据，</w:t>
            </w:r>
            <w:r>
              <w:rPr>
                <w:rFonts w:ascii="calibri" w:hAnsi="calibri" w:cs="calibri" w:eastAsia="calibri"/>
                <w:sz w:val="21"/>
              </w:rPr>
              <w:t>“</w:t>
            </w:r>
            <w:r>
              <w:rPr>
                <w:rFonts w:ascii="宋体" w:hAnsi="宋体" w:cs="宋体" w:eastAsia="宋体"/>
                <w:sz w:val="21"/>
              </w:rPr>
              <w:t>不懂</w:t>
            </w:r>
            <w:r>
              <w:rPr>
                <w:rFonts w:ascii="calibri" w:hAnsi="calibri" w:cs="calibri" w:eastAsia="calibri"/>
                <w:sz w:val="21"/>
              </w:rPr>
              <w:t>”</w:t>
            </w:r>
            <w:r>
              <w:rPr>
                <w:rFonts w:ascii="宋体" w:hAnsi="宋体" w:cs="宋体" w:eastAsia="宋体"/>
                <w:sz w:val="21"/>
              </w:rPr>
              <w:t>课件数据，教学课件详情，考卷数据，弹幕详情，教学笔记等）（需提供课程运行平台相关功能的截图）。</w:t>
            </w:r>
          </w:p>
        </w:tc>
      </w:tr>
      <w:tr>
        <w:tc>
          <w:tcPr>
            <w:tcW w:type="dxa" w:w="2769"/>
          </w:tcPr>
          <w:p/>
        </w:tc>
        <w:tc>
          <w:tcPr>
            <w:tcW w:type="dxa" w:w="2769"/>
          </w:tcPr>
          <w:p>
            <w:pPr>
              <w:pStyle w:val="null3"/>
            </w:pPr>
            <w:r>
              <w:rPr/>
              <w:t>24</w:t>
            </w:r>
          </w:p>
        </w:tc>
        <w:tc>
          <w:tcPr>
            <w:tcW w:type="dxa" w:w="2769"/>
          </w:tcPr>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）课后练习</w:t>
            </w:r>
          </w:p>
          <w:p>
            <w:pPr>
              <w:pStyle w:val="null3"/>
              <w:jc w:val="both"/>
            </w:pPr>
            <w:r>
              <w:rPr>
                <w:rFonts w:ascii="calibri" w:hAnsi="calibri" w:cs="calibri" w:eastAsia="calibri"/>
              </w:rPr>
              <w:t>5.1</w:t>
            </w:r>
            <w:r>
              <w:rPr>
                <w:rFonts w:ascii="宋体" w:hAnsi="宋体" w:cs="宋体" w:eastAsia="宋体"/>
              </w:rPr>
              <w:t>教师可从试卷库选择考卷发送给指定的班级。</w:t>
            </w:r>
          </w:p>
          <w:p>
            <w:pPr>
              <w:pStyle w:val="null3"/>
              <w:jc w:val="both"/>
            </w:pPr>
            <w:r>
              <w:rPr>
                <w:rFonts w:ascii="calibri" w:hAnsi="calibri" w:cs="calibri" w:eastAsia="calibri"/>
              </w:rPr>
              <w:t>5.2</w:t>
            </w:r>
            <w:r>
              <w:rPr>
                <w:rFonts w:ascii="宋体" w:hAnsi="宋体" w:cs="宋体" w:eastAsia="宋体"/>
              </w:rPr>
              <w:t>教师可自定义答案显示时间。延迟显示答案，防止作弊。</w:t>
            </w:r>
          </w:p>
          <w:p>
            <w:pPr>
              <w:pStyle w:val="null3"/>
              <w:jc w:val="both"/>
            </w:pPr>
            <w:r>
              <w:rPr>
                <w:rFonts w:ascii="calibri" w:hAnsi="calibri" w:cs="calibri" w:eastAsia="calibri"/>
              </w:rPr>
              <w:t>5.3</w:t>
            </w:r>
            <w:r>
              <w:rPr>
                <w:rFonts w:ascii="宋体" w:hAnsi="宋体" w:cs="宋体" w:eastAsia="宋体"/>
              </w:rPr>
              <w:t>教师可以设置答卷截止日期，截止日期前没有答卷的学生会收到提醒。</w:t>
            </w:r>
          </w:p>
          <w:p>
            <w:pPr>
              <w:pStyle w:val="null3"/>
              <w:jc w:val="both"/>
            </w:pPr>
            <w:r>
              <w:rPr>
                <w:rFonts w:ascii="calibri" w:hAnsi="calibri" w:cs="calibri" w:eastAsia="calibri"/>
                <w:sz w:val="21"/>
              </w:rPr>
              <w:t>5.4</w:t>
            </w:r>
            <w:r>
              <w:rPr>
                <w:rFonts w:ascii="宋体" w:hAnsi="宋体" w:cs="宋体" w:eastAsia="宋体"/>
                <w:sz w:val="21"/>
              </w:rPr>
              <w:t>试卷小结：教师可实时查看考卷数据，包括考卷预览，考卷完成情况，学生得分分布情况，学生答题正确率对比图，学生答题详情。</w:t>
            </w:r>
          </w:p>
        </w:tc>
      </w:tr>
      <w:tr>
        <w:tc>
          <w:tcPr>
            <w:tcW w:type="dxa" w:w="2769"/>
          </w:tcPr>
          <w:p>
            <w:pPr>
              <w:pStyle w:val="null3"/>
            </w:pPr>
            <w:r>
              <w:rPr/>
              <w:t>▲</w:t>
            </w:r>
          </w:p>
        </w:tc>
        <w:tc>
          <w:tcPr>
            <w:tcW w:type="dxa" w:w="2769"/>
          </w:tcPr>
          <w:p>
            <w:pPr>
              <w:pStyle w:val="null3"/>
            </w:pPr>
            <w:r>
              <w:rPr/>
              <w:t>25</w:t>
            </w:r>
          </w:p>
        </w:tc>
        <w:tc>
          <w:tcPr>
            <w:tcW w:type="dxa" w:w="2769"/>
          </w:tcPr>
          <w:p>
            <w:pPr>
              <w:pStyle w:val="null3"/>
              <w:jc w:val="both"/>
            </w:pPr>
            <w:r>
              <w:rPr>
                <w:rFonts w:ascii="calibri" w:hAnsi="calibri" w:cs="calibri" w:eastAsia="calibri"/>
              </w:rPr>
              <w:t>6</w:t>
            </w:r>
            <w:r>
              <w:rPr>
                <w:rFonts w:ascii="宋体" w:hAnsi="宋体" w:cs="宋体" w:eastAsia="宋体"/>
              </w:rPr>
              <w:t>）教学平台</w:t>
            </w:r>
          </w:p>
          <w:p>
            <w:pPr>
              <w:pStyle w:val="null3"/>
              <w:jc w:val="both"/>
            </w:pPr>
            <w:r>
              <w:rPr>
                <w:rFonts w:ascii="calibri" w:hAnsi="calibri" w:cs="calibri" w:eastAsia="calibri"/>
              </w:rPr>
              <w:t>6.1</w:t>
            </w:r>
            <w:r>
              <w:rPr>
                <w:rFonts w:ascii="宋体" w:hAnsi="宋体" w:cs="宋体" w:eastAsia="宋体"/>
              </w:rPr>
              <w:t>符合《教育部办公厅关于开展</w:t>
            </w:r>
            <w:r>
              <w:rPr>
                <w:rFonts w:ascii="calibri" w:hAnsi="calibri" w:cs="calibri" w:eastAsia="calibri"/>
              </w:rPr>
              <w:t>2018</w:t>
            </w:r>
            <w:r>
              <w:rPr>
                <w:rFonts w:ascii="宋体" w:hAnsi="宋体" w:cs="宋体" w:eastAsia="宋体"/>
              </w:rPr>
              <w:t>年国家精品在线开放课程认定工作的通知》中规定的“全国性公开课程平台，可面向高校和社会学习者开展教学活动”注册用户数在</w:t>
            </w:r>
            <w:r>
              <w:rPr>
                <w:rFonts w:ascii="calibri" w:hAnsi="calibri" w:cs="calibri" w:eastAsia="calibri"/>
              </w:rPr>
              <w:t>500</w:t>
            </w:r>
            <w:r>
              <w:rPr>
                <w:rFonts w:ascii="宋体" w:hAnsi="宋体" w:cs="宋体" w:eastAsia="宋体"/>
              </w:rPr>
              <w:t>万注册用户以上，须提供承诺函。</w:t>
            </w:r>
          </w:p>
          <w:p>
            <w:pPr>
              <w:pStyle w:val="null3"/>
              <w:jc w:val="both"/>
            </w:pPr>
            <w:r>
              <w:rPr>
                <w:rFonts w:ascii="calibri" w:hAnsi="calibri" w:cs="calibri" w:eastAsia="calibri"/>
              </w:rPr>
              <w:t>6.</w:t>
            </w:r>
            <w:r>
              <w:rPr>
                <w:rFonts w:ascii="calibri" w:hAnsi="calibri" w:cs="calibri" w:eastAsia="calibri"/>
              </w:rPr>
              <w:t>2</w:t>
            </w:r>
            <w:r>
              <w:rPr>
                <w:rFonts w:ascii="宋体" w:hAnsi="宋体" w:cs="宋体" w:eastAsia="宋体"/>
              </w:rPr>
              <w:t>平台能实现随堂学习、自主学习两种模式。</w:t>
            </w:r>
          </w:p>
          <w:p>
            <w:pPr>
              <w:pStyle w:val="null3"/>
              <w:jc w:val="both"/>
            </w:pPr>
            <w:r>
              <w:rPr>
                <w:rFonts w:ascii="calibri" w:hAnsi="calibri" w:cs="calibri" w:eastAsia="calibri"/>
                <w:sz w:val="21"/>
              </w:rPr>
              <w:t>6.</w:t>
            </w:r>
            <w:r>
              <w:rPr>
                <w:rFonts w:ascii="calibri" w:hAnsi="calibri" w:cs="calibri" w:eastAsia="calibri"/>
                <w:sz w:val="21"/>
              </w:rPr>
              <w:t>3</w:t>
            </w:r>
            <w:r>
              <w:rPr>
                <w:rFonts w:ascii="宋体" w:hAnsi="宋体" w:cs="宋体" w:eastAsia="宋体"/>
                <w:sz w:val="21"/>
              </w:rPr>
              <w:t>因课程涉及到校内知识产权以及教学成果，课程运行平台须具有信息系统安全等级保护证书。</w:t>
            </w:r>
          </w:p>
        </w:tc>
      </w:tr>
      <w:tr>
        <w:tc>
          <w:tcPr>
            <w:tcW w:type="dxa" w:w="2769"/>
          </w:tcPr>
          <w:p/>
        </w:tc>
        <w:tc>
          <w:tcPr>
            <w:tcW w:type="dxa" w:w="2769"/>
          </w:tcPr>
          <w:p>
            <w:pPr>
              <w:pStyle w:val="null3"/>
            </w:pPr>
            <w:r>
              <w:rPr/>
              <w:t>26</w:t>
            </w:r>
          </w:p>
        </w:tc>
        <w:tc>
          <w:tcPr>
            <w:tcW w:type="dxa" w:w="2769"/>
          </w:tcPr>
          <w:p>
            <w:pPr>
              <w:pStyle w:val="null3"/>
              <w:jc w:val="both"/>
            </w:pPr>
            <w:r>
              <w:rPr>
                <w:rFonts w:ascii="宋体" w:hAnsi="宋体" w:cs="宋体" w:eastAsia="宋体"/>
                <w:sz w:val="21"/>
              </w:rPr>
              <w:t>四、售后服务</w:t>
            </w:r>
          </w:p>
        </w:tc>
      </w:tr>
      <w:tr>
        <w:tc>
          <w:tcPr>
            <w:tcW w:type="dxa" w:w="2769"/>
          </w:tcPr>
          <w:p/>
        </w:tc>
        <w:tc>
          <w:tcPr>
            <w:tcW w:type="dxa" w:w="2769"/>
          </w:tcPr>
          <w:p>
            <w:pPr>
              <w:pStyle w:val="null3"/>
            </w:pPr>
            <w:r>
              <w:rPr/>
              <w:t>27</w:t>
            </w:r>
          </w:p>
        </w:tc>
        <w:tc>
          <w:tcPr>
            <w:tcW w:type="dxa" w:w="2769"/>
          </w:tcPr>
          <w:p>
            <w:pPr>
              <w:pStyle w:val="null3"/>
              <w:jc w:val="both"/>
            </w:pPr>
            <w:r>
              <w:rPr>
                <w:rFonts w:ascii="calibri" w:hAnsi="calibri" w:cs="calibri" w:eastAsia="calibri"/>
              </w:rPr>
              <w:t>1</w:t>
            </w:r>
            <w:r>
              <w:rPr>
                <w:rFonts w:ascii="宋体" w:hAnsi="宋体" w:cs="宋体" w:eastAsia="宋体"/>
              </w:rPr>
              <w:t>）自项目验收合格之日起</w:t>
            </w:r>
            <w:r>
              <w:rPr>
                <w:rFonts w:ascii="calibri" w:hAnsi="calibri" w:cs="calibri" w:eastAsia="calibri"/>
              </w:rPr>
              <w:t>2</w:t>
            </w:r>
            <w:r>
              <w:rPr>
                <w:rFonts w:ascii="宋体" w:hAnsi="宋体" w:cs="宋体" w:eastAsia="宋体"/>
              </w:rPr>
              <w:t>年质保期，保障课程正常运行，质保期内免费视频修改量不低于总量的</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）完全按照磋商文件视频建设标准执行；</w:t>
            </w:r>
          </w:p>
          <w:p>
            <w:pPr>
              <w:pStyle w:val="null3"/>
              <w:jc w:val="both"/>
            </w:pPr>
            <w:r>
              <w:rPr>
                <w:rFonts w:ascii="calibri" w:hAnsi="calibri" w:cs="calibri" w:eastAsia="calibri"/>
              </w:rPr>
              <w:t>3</w:t>
            </w:r>
            <w:r>
              <w:rPr>
                <w:rFonts w:ascii="宋体" w:hAnsi="宋体" w:cs="宋体" w:eastAsia="宋体"/>
              </w:rPr>
              <w:t>）视频交付后，若我方对内容、标准提出相关问题采购方应及时响应并解决；</w:t>
            </w:r>
          </w:p>
          <w:p>
            <w:pPr>
              <w:pStyle w:val="null3"/>
              <w:jc w:val="both"/>
            </w:pPr>
            <w:r>
              <w:rPr>
                <w:rFonts w:ascii="calibri" w:hAnsi="calibri" w:cs="calibri" w:eastAsia="calibri"/>
              </w:rPr>
              <w:t>4</w:t>
            </w:r>
            <w:r>
              <w:rPr>
                <w:rFonts w:ascii="宋体" w:hAnsi="宋体" w:cs="宋体" w:eastAsia="宋体"/>
              </w:rPr>
              <w:t>）提供</w:t>
            </w:r>
            <w:r>
              <w:rPr>
                <w:rFonts w:ascii="calibri" w:hAnsi="calibri" w:cs="calibri" w:eastAsia="calibri"/>
              </w:rPr>
              <w:t>2</w:t>
            </w:r>
            <w:r>
              <w:rPr>
                <w:rFonts w:ascii="宋体" w:hAnsi="宋体" w:cs="宋体" w:eastAsia="宋体"/>
              </w:rPr>
              <w:t>年的维保，指派</w:t>
            </w:r>
            <w:r>
              <w:rPr>
                <w:rFonts w:ascii="calibri" w:hAnsi="calibri" w:cs="calibri" w:eastAsia="calibri"/>
              </w:rPr>
              <w:t>2</w:t>
            </w:r>
            <w:r>
              <w:rPr>
                <w:rFonts w:ascii="宋体" w:hAnsi="宋体" w:cs="宋体" w:eastAsia="宋体"/>
              </w:rPr>
              <w:t>名工程师</w:t>
            </w:r>
            <w:r>
              <w:rPr>
                <w:rFonts w:ascii="calibri" w:hAnsi="calibri" w:cs="calibri" w:eastAsia="calibri"/>
              </w:rPr>
              <w:t>5</w:t>
            </w:r>
            <w:r>
              <w:rPr>
                <w:rFonts w:ascii="宋体" w:hAnsi="宋体" w:cs="宋体" w:eastAsia="宋体"/>
              </w:rPr>
              <w:t>×</w:t>
            </w:r>
            <w:r>
              <w:rPr>
                <w:rFonts w:ascii="calibri" w:hAnsi="calibri" w:cs="calibri" w:eastAsia="calibri"/>
              </w:rPr>
              <w:t>8</w:t>
            </w:r>
            <w:r>
              <w:rPr>
                <w:rFonts w:ascii="宋体" w:hAnsi="宋体" w:cs="宋体" w:eastAsia="宋体"/>
              </w:rPr>
              <w:t>小时在线技术响应，维保期自验收合格之日起计算；</w:t>
            </w:r>
          </w:p>
          <w:p>
            <w:pPr>
              <w:pStyle w:val="null3"/>
              <w:jc w:val="both"/>
            </w:pPr>
            <w:r>
              <w:rPr>
                <w:rFonts w:ascii="calibri" w:hAnsi="calibri" w:cs="calibri" w:eastAsia="calibri"/>
              </w:rPr>
              <w:t>5</w:t>
            </w:r>
            <w:r>
              <w:rPr>
                <w:rFonts w:ascii="宋体" w:hAnsi="宋体" w:cs="宋体" w:eastAsia="宋体"/>
              </w:rPr>
              <w:t>）对于校方在视频制作过程中遇到的问题在</w:t>
            </w:r>
            <w:r>
              <w:rPr>
                <w:rFonts w:ascii="calibri" w:hAnsi="calibri" w:cs="calibri" w:eastAsia="calibri"/>
              </w:rPr>
              <w:t>12</w:t>
            </w:r>
            <w:r>
              <w:rPr>
                <w:rFonts w:ascii="宋体" w:hAnsi="宋体" w:cs="宋体" w:eastAsia="宋体"/>
              </w:rPr>
              <w:t>小时响应，</w:t>
            </w:r>
            <w:r>
              <w:rPr>
                <w:rFonts w:ascii="calibri" w:hAnsi="calibri" w:cs="calibri" w:eastAsia="calibri"/>
              </w:rPr>
              <w:t>48</w:t>
            </w:r>
            <w:r>
              <w:rPr>
                <w:rFonts w:ascii="宋体" w:hAnsi="宋体" w:cs="宋体" w:eastAsia="宋体"/>
              </w:rPr>
              <w:t>小时之内解决问题</w:t>
            </w:r>
          </w:p>
          <w:p>
            <w:pPr>
              <w:pStyle w:val="null3"/>
              <w:jc w:val="both"/>
            </w:pPr>
            <w:r>
              <w:rPr>
                <w:rFonts w:ascii="calibri" w:hAnsi="calibri" w:cs="calibri" w:eastAsia="calibri"/>
              </w:rPr>
              <w:t>6</w:t>
            </w:r>
            <w:r>
              <w:rPr>
                <w:rFonts w:ascii="宋体" w:hAnsi="宋体" w:cs="宋体" w:eastAsia="宋体"/>
              </w:rPr>
              <w:t>）未经书面许可，不复制或向第三方公开项目的课程资源。对方案及工作中涉及的敏感数据和报告保密；校方拥有课程的绝对知识产权，未经允许，采购方不允许提供给第三方，不允许随意修改课程数据；</w:t>
            </w:r>
          </w:p>
          <w:p>
            <w:pPr>
              <w:pStyle w:val="null3"/>
              <w:jc w:val="both"/>
            </w:pPr>
            <w:r>
              <w:rPr>
                <w:rFonts w:ascii="calibri" w:hAnsi="calibri" w:cs="calibri" w:eastAsia="calibri"/>
              </w:rPr>
              <w:t>7</w:t>
            </w:r>
            <w:r>
              <w:rPr>
                <w:rFonts w:ascii="宋体" w:hAnsi="宋体" w:cs="宋体" w:eastAsia="宋体"/>
              </w:rPr>
              <w:t>）当课程成品完成后，教师需对课程做大面积修改，如重新或增加课程拍摄、重新或增加视频编辑等，采购方可提供有偿服务；</w:t>
            </w:r>
          </w:p>
          <w:p>
            <w:pPr>
              <w:pStyle w:val="null3"/>
              <w:jc w:val="both"/>
            </w:pPr>
            <w:r>
              <w:rPr>
                <w:rFonts w:ascii="calibri" w:hAnsi="calibri" w:cs="calibri" w:eastAsia="calibri"/>
                <w:sz w:val="21"/>
              </w:rPr>
              <w:t>8</w:t>
            </w:r>
            <w:r>
              <w:rPr>
                <w:rFonts w:ascii="宋体" w:hAnsi="宋体" w:cs="宋体" w:eastAsia="宋体"/>
                <w:sz w:val="21"/>
              </w:rPr>
              <w:t>）质量保证期过后，如我方需要继续提供售后服务的，</w:t>
            </w:r>
            <w:r>
              <w:rPr>
                <w:rFonts w:ascii="宋体" w:hAnsi="宋体" w:cs="宋体" w:eastAsia="宋体"/>
                <w:sz w:val="21"/>
              </w:rPr>
              <w:t>应以不高于市场价格提供售后服务。</w:t>
            </w:r>
          </w:p>
        </w:tc>
      </w:tr>
      <w:tr>
        <w:tc>
          <w:tcPr>
            <w:tcW w:type="dxa" w:w="2769"/>
          </w:tcPr>
          <w:p/>
        </w:tc>
        <w:tc>
          <w:tcPr>
            <w:tcW w:type="dxa" w:w="2769"/>
          </w:tcPr>
          <w:p>
            <w:pPr>
              <w:pStyle w:val="null3"/>
            </w:pPr>
            <w:r>
              <w:rPr/>
              <w:t>28</w:t>
            </w:r>
          </w:p>
        </w:tc>
        <w:tc>
          <w:tcPr>
            <w:tcW w:type="dxa" w:w="2769"/>
          </w:tcPr>
          <w:p>
            <w:pPr>
              <w:pStyle w:val="null3"/>
              <w:jc w:val="both"/>
            </w:pPr>
            <w:r>
              <w:rPr>
                <w:rFonts w:ascii="宋体" w:hAnsi="宋体" w:cs="宋体" w:eastAsia="宋体"/>
                <w:sz w:val="21"/>
              </w:rPr>
              <w:t>五、培训服务</w:t>
            </w:r>
          </w:p>
        </w:tc>
      </w:tr>
      <w:tr>
        <w:tc>
          <w:tcPr>
            <w:tcW w:type="dxa" w:w="2769"/>
          </w:tcPr>
          <w:p/>
        </w:tc>
        <w:tc>
          <w:tcPr>
            <w:tcW w:type="dxa" w:w="2769"/>
          </w:tcPr>
          <w:p>
            <w:pPr>
              <w:pStyle w:val="null3"/>
            </w:pPr>
            <w:r>
              <w:rPr/>
              <w:t>29</w:t>
            </w:r>
          </w:p>
        </w:tc>
        <w:tc>
          <w:tcPr>
            <w:tcW w:type="dxa" w:w="2769"/>
          </w:tcPr>
          <w:p>
            <w:pPr>
              <w:pStyle w:val="null3"/>
              <w:jc w:val="both"/>
            </w:pPr>
            <w:r>
              <w:rPr>
                <w:rFonts w:ascii="宋体" w:hAnsi="宋体" w:cs="宋体" w:eastAsia="宋体"/>
              </w:rPr>
              <w:t>采购方应提供完善的培训计划与安排，包括慕课制作流程培训、课程设计相关培训、在线课程录课技巧培训、平台操作使用等相关培训，提供全面的系统整体支持服务，使整个系统运行更为可靠、稳定。根据实际出现的问题进行解决，全力满足项目需求，保证课程质量。</w:t>
            </w:r>
          </w:p>
          <w:p>
            <w:pPr>
              <w:pStyle w:val="null3"/>
              <w:jc w:val="both"/>
            </w:pPr>
            <w:r>
              <w:rPr>
                <w:rFonts w:ascii="宋体" w:hAnsi="宋体" w:cs="宋体" w:eastAsia="宋体"/>
                <w:sz w:val="21"/>
              </w:rPr>
              <w:t>培训方式包括采用远程、现场培训、会议培训等方式，针对不同层次需求的人员，开设不同的培训内容。</w:t>
            </w:r>
          </w:p>
        </w:tc>
      </w:tr>
    </w:tbl>
    <w:p>
      <w:pPr>
        <w:pStyle w:val="null3"/>
        <w:outlineLvl w:val="2"/>
      </w:pPr>
      <w:r>
        <w:rPr>
          <w:b/>
          <w:sz w:val="28"/>
        </w:rPr>
        <w:t>3.2.3人员配置要求</w:t>
      </w:r>
    </w:p>
    <w:p>
      <w:pPr>
        <w:pStyle w:val="null3"/>
      </w:pPr>
      <w:r>
        <w:rPr/>
        <w:t>采购包1：</w:t>
      </w:r>
    </w:p>
    <w:p>
      <w:pPr>
        <w:pStyle w:val="null3"/>
      </w:pPr>
      <w:r>
        <w:rPr/>
        <w:t>根据采购文件采购要求执行</w:t>
      </w:r>
    </w:p>
    <w:p>
      <w:pPr>
        <w:pStyle w:val="null3"/>
        <w:outlineLvl w:val="2"/>
      </w:pPr>
      <w:r>
        <w:rPr>
          <w:b/>
          <w:sz w:val="28"/>
        </w:rPr>
        <w:t>3.2.4设施设备要求</w:t>
      </w:r>
    </w:p>
    <w:p>
      <w:pPr>
        <w:pStyle w:val="null3"/>
      </w:pPr>
      <w:r>
        <w:rPr/>
        <w:t>采购包1：</w:t>
      </w:r>
    </w:p>
    <w:p>
      <w:pPr>
        <w:pStyle w:val="null3"/>
      </w:pPr>
      <w:r>
        <w:rPr/>
        <w:t>根据采购文件采购要求执行</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自合同签订之日起360日</w:t>
      </w:r>
    </w:p>
    <w:p>
      <w:pPr>
        <w:pStyle w:val="null3"/>
        <w:outlineLvl w:val="3"/>
      </w:pPr>
      <w:r>
        <w:rPr>
          <w:b/>
          <w:sz w:val="24"/>
        </w:rPr>
        <w:t>3.3.2服务地点</w:t>
      </w:r>
    </w:p>
    <w:p>
      <w:pPr>
        <w:pStyle w:val="null3"/>
      </w:pPr>
      <w:r>
        <w:rPr/>
        <w:t>采购包1：</w:t>
      </w:r>
    </w:p>
    <w:p>
      <w:pPr>
        <w:pStyle w:val="null3"/>
      </w:pPr>
      <w:r>
        <w:rPr/>
        <w:t>西安邮电大学指定地点</w:t>
      </w:r>
    </w:p>
    <w:p>
      <w:pPr>
        <w:pStyle w:val="null3"/>
        <w:outlineLvl w:val="3"/>
      </w:pPr>
      <w:r>
        <w:rPr>
          <w:b/>
          <w:sz w:val="24"/>
        </w:rPr>
        <w:t>3.3.3考核（验收）标准和方法</w:t>
      </w:r>
    </w:p>
    <w:p>
      <w:pPr>
        <w:pStyle w:val="null3"/>
      </w:pPr>
      <w:r>
        <w:rPr/>
        <w:t>采购包1：</w:t>
      </w:r>
    </w:p>
    <w:p>
      <w:pPr>
        <w:pStyle w:val="null3"/>
      </w:pPr>
      <w:r>
        <w:rPr/>
        <w:t>按采购文件和投标文件执行</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乙方承担的所有课程建设及运行完成并通过验收后</w:t>
      </w:r>
      <w:r>
        <w:rPr/>
        <w:t xml:space="preserve"> ，达到付款条件起 </w:t>
      </w:r>
      <w:r>
        <w:rPr/>
        <w:t>15</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按采购文件和投标文件执行</w:t>
      </w:r>
    </w:p>
    <w:p>
      <w:pPr>
        <w:pStyle w:val="null3"/>
        <w:outlineLvl w:val="2"/>
      </w:pPr>
      <w:r>
        <w:rPr>
          <w:b/>
          <w:sz w:val="28"/>
        </w:rPr>
        <w:t>3.4其他要求</w:t>
      </w:r>
    </w:p>
    <w:p>
      <w:pPr>
        <w:pStyle w:val="null3"/>
      </w:pPr>
      <w:r>
        <w:rPr/>
        <w:t>质保期：验收合格后2年</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特定资格证明文件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响应文件封面 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提供2022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 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 3 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非法定代表人参加磋商的，须提供法定代表人委托授权书及被授权人身份证，法定代表人参加磋商时,只须提供法定代表人身份证</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本项目不接受联合体响应</w:t>
            </w:r>
          </w:p>
        </w:tc>
        <w:tc>
          <w:tcPr>
            <w:tcW w:type="dxa" w:w="1661"/>
          </w:tcPr>
          <w:p>
            <w:pPr>
              <w:pStyle w:val="null3"/>
            </w:pPr>
            <w:r>
              <w:rPr/>
              <w:t>特定资格证明文件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响应文件封面 标的清单 报价表</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服务期限满足竞争性磋商文件最低要求(合格)，服务期限不满足竞争性 磋商文件最低要求(不合格)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质保期限</w:t>
            </w:r>
          </w:p>
        </w:tc>
        <w:tc>
          <w:tcPr>
            <w:tcW w:type="dxa" w:w="3322"/>
          </w:tcPr>
          <w:p>
            <w:pPr>
              <w:pStyle w:val="null3"/>
            </w:pPr>
            <w:r>
              <w:rPr/>
              <w:t>质保期限满足竞争性磋商文件最低要求(合格)，质保期限不满足竞争性 磋商文件最低要求(不合格)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响应文件的签署、盖章符合竞争性磋商文件要求(合格)，响应文件的签署、盖章不符合竞争性磋商文件要求 (不合格)</w:t>
            </w:r>
          </w:p>
        </w:tc>
        <w:tc>
          <w:tcPr>
            <w:tcW w:type="dxa" w:w="1661"/>
          </w:tcPr>
          <w:p>
            <w:pPr>
              <w:pStyle w:val="null3"/>
            </w:pPr>
            <w:r>
              <w:rPr/>
              <w:t>响应文件封面 服务内容及服务邀请应答表 中小企业声明函 残疾人福利性单位声明函 商务应答表 供应商应提交的相关资格证明材料 标的清单 报价表 特定资格证明文件 响应函 监狱企业的证明文件</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响应文件投标有效期符合竞争性磋商文件要求的(合格)，响应文件无投标有效期或有效期达不到竞争性磋商 文件要求的(不合格)</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供应商按照竞争性磋商文件要求缴纳磋商保证金的(合格)，供应商未按照竞争性磋商文件要求缴纳磋商保证金或磋商保证金缴纳金额少于竞争性 磋商文件要求的(不合格)</w:t>
            </w:r>
          </w:p>
        </w:tc>
        <w:tc>
          <w:tcPr>
            <w:tcW w:type="dxa" w:w="1661"/>
          </w:tcPr>
          <w:p>
            <w:pPr>
              <w:pStyle w:val="null3"/>
            </w:pPr>
            <w:r>
              <w:rPr/>
              <w:t>响应文件封面 供应商认为有必要说明的其他问题</w:t>
            </w:r>
          </w:p>
        </w:tc>
      </w:tr>
      <w:tr>
        <w:tc>
          <w:tcPr>
            <w:tcW w:type="dxa" w:w="831"/>
          </w:tcPr>
          <w:p>
            <w:pPr>
              <w:pStyle w:val="null3"/>
            </w:pPr>
            <w:r>
              <w:rPr/>
              <w:t>8</w:t>
            </w:r>
          </w:p>
        </w:tc>
        <w:tc>
          <w:tcPr>
            <w:tcW w:type="dxa" w:w="2492"/>
          </w:tcPr>
          <w:p>
            <w:pPr>
              <w:pStyle w:val="null3"/>
            </w:pPr>
            <w:r>
              <w:rPr/>
              <w:t>递交两份或多份内容不同的响应文件或出现选择性报价</w:t>
            </w:r>
          </w:p>
        </w:tc>
        <w:tc>
          <w:tcPr>
            <w:tcW w:type="dxa" w:w="3322"/>
          </w:tcPr>
          <w:p>
            <w:pPr>
              <w:pStyle w:val="null3"/>
            </w:pPr>
            <w:r>
              <w:rPr/>
              <w:t>供应商针对同一项目未递交两份或多份内容不同的响应文件，未出现选择性报价的(合格)，供应商针对同一项目递交两份或多份内容不同的响应文件，未书面声明哪一份是有效的 或出现选择性报价的(不合格)</w:t>
            </w:r>
          </w:p>
        </w:tc>
        <w:tc>
          <w:tcPr>
            <w:tcW w:type="dxa" w:w="1661"/>
          </w:tcPr>
          <w:p>
            <w:pPr>
              <w:pStyle w:val="null3"/>
            </w:pPr>
            <w:r>
              <w:rPr/>
              <w:t>响应文件封面 分项报价表 标的清单 报价表</w:t>
            </w:r>
          </w:p>
        </w:tc>
      </w:tr>
      <w:tr>
        <w:tc>
          <w:tcPr>
            <w:tcW w:type="dxa" w:w="831"/>
          </w:tcPr>
          <w:p>
            <w:pPr>
              <w:pStyle w:val="null3"/>
            </w:pPr>
            <w:r>
              <w:rPr/>
              <w:t>9</w:t>
            </w:r>
          </w:p>
        </w:tc>
        <w:tc>
          <w:tcPr>
            <w:tcW w:type="dxa" w:w="2492"/>
          </w:tcPr>
          <w:p>
            <w:pPr>
              <w:pStyle w:val="null3"/>
            </w:pPr>
            <w:r>
              <w:rPr/>
              <w:t>响应文件标的或数量</w:t>
            </w:r>
          </w:p>
        </w:tc>
        <w:tc>
          <w:tcPr>
            <w:tcW w:type="dxa" w:w="3322"/>
          </w:tcPr>
          <w:p>
            <w:pPr>
              <w:pStyle w:val="null3"/>
            </w:pPr>
            <w:r>
              <w:rPr/>
              <w:t>响应文件标的或数量满足采购要求（合格）响应文件标的或数量不满足采购要求（不合格）</w:t>
            </w:r>
          </w:p>
        </w:tc>
        <w:tc>
          <w:tcPr>
            <w:tcW w:type="dxa" w:w="1661"/>
          </w:tcPr>
          <w:p>
            <w:pPr>
              <w:pStyle w:val="null3"/>
            </w:pPr>
            <w:r>
              <w:rPr/>
              <w:t>响应文件封面 标的清单</w:t>
            </w:r>
          </w:p>
        </w:tc>
      </w:tr>
      <w:tr>
        <w:tc>
          <w:tcPr>
            <w:tcW w:type="dxa" w:w="831"/>
          </w:tcPr>
          <w:p>
            <w:pPr>
              <w:pStyle w:val="null3"/>
            </w:pPr>
            <w:r>
              <w:rPr/>
              <w:t>10</w:t>
            </w:r>
          </w:p>
        </w:tc>
        <w:tc>
          <w:tcPr>
            <w:tcW w:type="dxa" w:w="2492"/>
          </w:tcPr>
          <w:p>
            <w:pPr>
              <w:pStyle w:val="null3"/>
            </w:pPr>
            <w:r>
              <w:rPr/>
              <w:t>供应商是否提供赠品、回扣或者与采购无关的其他商品、服务</w:t>
            </w:r>
          </w:p>
        </w:tc>
        <w:tc>
          <w:tcPr>
            <w:tcW w:type="dxa" w:w="3322"/>
          </w:tcPr>
          <w:p>
            <w:pPr>
              <w:pStyle w:val="null3"/>
            </w:pPr>
            <w:r>
              <w:rPr/>
              <w:t>供应商不含有提供赠品、回扣或者与采购无关的其他商品、服务（不包括采购项目本身所包括涉及的采购事项，供应商不能以“赠送、赠予”等任何名义提供货物和服务以规避采购文件的约束）（合格）供应商提供赠品、回扣或者与采购无关的其他商品、服务（不包括采购项目本身所包括涉及的采购事项，供应商不能以“赠送、赠予”等任何名义提供货物和服务以规避采购文件的约束）（不合格）</w:t>
            </w:r>
          </w:p>
        </w:tc>
        <w:tc>
          <w:tcPr>
            <w:tcW w:type="dxa" w:w="1661"/>
          </w:tcPr>
          <w:p>
            <w:pPr>
              <w:pStyle w:val="null3"/>
            </w:pPr>
            <w:r>
              <w:rPr/>
              <w:t>响应文件封面 服务方案</w:t>
            </w:r>
          </w:p>
        </w:tc>
      </w:tr>
      <w:tr>
        <w:tc>
          <w:tcPr>
            <w:tcW w:type="dxa" w:w="831"/>
          </w:tcPr>
          <w:p>
            <w:pPr>
              <w:pStyle w:val="null3"/>
            </w:pPr>
            <w:r>
              <w:rPr/>
              <w:t>11</w:t>
            </w:r>
          </w:p>
        </w:tc>
        <w:tc>
          <w:tcPr>
            <w:tcW w:type="dxa" w:w="2492"/>
          </w:tcPr>
          <w:p>
            <w:pPr>
              <w:pStyle w:val="null3"/>
            </w:pPr>
            <w:r>
              <w:rPr/>
              <w:t>响应文件含有采购人不能接受的附加条件的</w:t>
            </w:r>
          </w:p>
        </w:tc>
        <w:tc>
          <w:tcPr>
            <w:tcW w:type="dxa" w:w="3322"/>
          </w:tcPr>
          <w:p>
            <w:pPr>
              <w:pStyle w:val="null3"/>
            </w:pPr>
            <w:r>
              <w:rPr/>
              <w:t>响应文件没有采购人不能接受的附加条件的（合格）响应文件含有采购人不能接受的附加条件的（不合格）</w:t>
            </w:r>
          </w:p>
        </w:tc>
        <w:tc>
          <w:tcPr>
            <w:tcW w:type="dxa" w:w="1661"/>
          </w:tcPr>
          <w:p>
            <w:pPr>
              <w:pStyle w:val="null3"/>
            </w:pPr>
            <w:r>
              <w:rPr/>
              <w:t>响应文件封面 服务方案</w:t>
            </w:r>
          </w:p>
        </w:tc>
      </w:tr>
      <w:tr>
        <w:tc>
          <w:tcPr>
            <w:tcW w:type="dxa" w:w="831"/>
          </w:tcPr>
          <w:p>
            <w:pPr>
              <w:pStyle w:val="null3"/>
            </w:pPr>
            <w:r>
              <w:rPr/>
              <w:t>12</w:t>
            </w:r>
          </w:p>
        </w:tc>
        <w:tc>
          <w:tcPr>
            <w:tcW w:type="dxa" w:w="2492"/>
          </w:tcPr>
          <w:p>
            <w:pPr>
              <w:pStyle w:val="null3"/>
            </w:pPr>
            <w:r>
              <w:rPr/>
              <w:t>法律、法规和招标文件规定的其他无效情形</w:t>
            </w:r>
          </w:p>
        </w:tc>
        <w:tc>
          <w:tcPr>
            <w:tcW w:type="dxa" w:w="3322"/>
          </w:tcPr>
          <w:p>
            <w:pPr>
              <w:pStyle w:val="null3"/>
            </w:pPr>
            <w:r>
              <w:rPr/>
              <w:t>法律、法规和招标文件规定的其他无效情形</w:t>
            </w:r>
          </w:p>
        </w:tc>
        <w:tc>
          <w:tcPr>
            <w:tcW w:type="dxa" w:w="1661"/>
          </w:tcPr>
          <w:p>
            <w:pPr>
              <w:pStyle w:val="null3"/>
            </w:pPr>
            <w:r>
              <w:rPr/>
              <w:t>响应文件封面 商务应答表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供应商完全响应磋商文件的全部采购需求,得满分25分；每有一条▲号项需求不满足，扣 2 分；一般指标不满足，每项扣0.5 分，扣完为止。 （响应文件未按采购文件要求提供明材料或提供的证明材料不符合采购文件要求视为负偏离。）</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根据供应商提供的前期准备方案、中期拍摄方案、后期制作方案、运营及推广方案、项目申报方案进行综合评审，方案制定内容齐全，各类措施健全，完全满足采购需求并符合本项目实施特点的得10分；以上方面中每缺少一方面内容扣2分；每有一处内容与实际需求不符或不满足要求或与本项目需求不切合或直接套用其他项目内容的扣0.5-1.5分，扣完为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服务支持能力</w:t>
            </w:r>
          </w:p>
        </w:tc>
        <w:tc>
          <w:tcPr>
            <w:tcW w:type="dxa" w:w="2492"/>
          </w:tcPr>
          <w:p>
            <w:pPr>
              <w:pStyle w:val="null3"/>
            </w:pPr>
            <w:r>
              <w:rPr/>
              <w:t>课程运行实力及项目经验： 1.供应商所投平台具备国家精品在线开放课程运行申报经验，平台上成功申报国家精品在线开放课程的数量,认定课程数量＞200门，得 14分；180门＜数量≤200 门，得10分；150门＜数量≤180门，得7分；0门＜数量≤150门，得5分；无申报经验不得分。【注：课程清单以《教育部关于公布 2017 年、2018 年国家精品在线开放课程认定结果的通知》、2020 年《教育部关于公布首批国家级一流本科课程认定结果的通知》、2023 年《第二批国家级一流本科课程公示名单》为准。供应商提供相关截图等证明材料并加盖供应商单位公章，否则不得分】； 2.供应商具备教育部认可的高校在线教学国际平台，提供相关证明材料（如教育部新闻发布会、新闻报道，与国外主流慕课平台、知名院校合作协议等）得1分，未提供不得分。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人员配备及安排</w:t>
            </w:r>
          </w:p>
        </w:tc>
        <w:tc>
          <w:tcPr>
            <w:tcW w:type="dxa" w:w="2492"/>
          </w:tcPr>
          <w:p>
            <w:pPr>
              <w:pStyle w:val="null3"/>
            </w:pPr>
            <w:r>
              <w:rPr/>
              <w:t>根据供应商针对本项目提供的服务人员配置清单、人员能力证明资料（相关能力证书）、人员证明资料（社保）进行综合比较；服务团队结构和数量合理、人员分工明确、相应专业技术人员齐全，完全满足采购需求并符合本项目实施特点的得6分；以上方面中每缺少一方面内容扣2分；每有一处内容与实际需求不符或不满足要求或与本项目需求不切合或直接套用其他项目内容的扣0.3-1.5分，扣完为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专用工具设备</w:t>
            </w:r>
          </w:p>
        </w:tc>
        <w:tc>
          <w:tcPr>
            <w:tcW w:type="dxa" w:w="2492"/>
          </w:tcPr>
          <w:p>
            <w:pPr>
              <w:pStyle w:val="null3"/>
            </w:pPr>
            <w:r>
              <w:rPr/>
              <w:t>根据供应商针对本项目提供的专用工具设备清单、证明材料（包括但不限于自有证明、租赁合同等证明材料等） 提供各类设备健全、证明材料齐全，完全满足采购需求并符合本项目实施特点的得4分；以上方面中每缺少一方面内容扣2分；每有一处内容与实际需求不符或不满足要求或与本项目需求不切合或直接套用其他项目内容的扣0.3-1.5分，扣完为止。</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售后及培训方案</w:t>
            </w:r>
          </w:p>
        </w:tc>
        <w:tc>
          <w:tcPr>
            <w:tcW w:type="dxa" w:w="2492"/>
          </w:tcPr>
          <w:p>
            <w:pPr>
              <w:pStyle w:val="null3"/>
            </w:pPr>
            <w:r>
              <w:rPr/>
              <w:t>1、根据供应商提供的售后服务总体方案、后期平台维护管理方案、后期课程修改完善服务方案进行综合评审，方案制定内容齐全，各类措施健全，完全满足采购需求并符合本项目实施特点的得6分；以上方面中每缺少一方面内容扣2分；每有一处内容与实际需求不符或不满足要求或与本项目需求不切合或直接套用其他项目内容的扣0.5-1.5分，扣完为止。 根据供应商提供的培训方案（含培训内容、培训人员配置、培训目标、培训方式）进行综合比较，方案制定内容齐全，各类措施健全，完全满足采购需求并符合本项目实施特点的得4分；以上方面中每缺少一方面内容扣1分；每有一处内容与实际需求不符或不满足要求或与本项目需求不切合或直接套用其他项目内容的扣0.1-0.8分，扣完为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2020年1月1日至今承担过同类型在线课程建设类似项目业绩，提供业绩业绩列表及合同复印件（至少提供合同首页、采购内容与金额、双方签字盖章页，业绩列表至少包含项目名称、用户单位名称、负责人联系电话，加盖供应商公章），每提供1个有效业绩得1分，最多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ind w:firstLine="960"/>
      </w:pPr>
      <w:r>
        <w:rPr/>
        <w:t>详见附件：供应商认为有必要说明的其他问题</w:t>
      </w:r>
    </w:p>
    <w:p>
      <w:pPr>
        <w:pStyle w:val="null3"/>
        <w:ind w:firstLine="960"/>
      </w:pPr>
      <w:r>
        <w:rPr/>
        <w:t>详见附件：分项报价表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